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38" w:name="basis-of-design---csi-masterformat"/>
    <w:p>
      <w:pPr>
        <w:pStyle w:val="Heading1"/>
      </w:pPr>
      <w:r>
        <w:t xml:space="preserve">BASIS OF DESIGN - CSI MASTERFORMAT</w:t>
      </w:r>
    </w:p>
    <w:bookmarkStart w:id="10" w:name="pryor-data-center---pachyderm-global"/>
    <w:p>
      <w:pPr>
        <w:pStyle w:val="Heading2"/>
      </w:pPr>
      <w:r>
        <w:t xml:space="preserve">Pryor Data Center - PACHYDERM GLOBAL</w:t>
      </w:r>
    </w:p>
    <w:bookmarkStart w:id="9" w:name="pryor-oklahoma"/>
    <w:p>
      <w:pPr>
        <w:pStyle w:val="Heading3"/>
      </w:pPr>
      <w:r>
        <w:t xml:space="preserve">Pryor, Oklahoma</w: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REVISION 01 - 138 kV Substation + Microgrid Design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29, 2025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Comprehensive Basis of Design for Pryor Data Center organized by CSI Master Format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21" w:name="executive-summary"/>
    <w:p>
      <w:pPr>
        <w:pStyle w:val="Heading2"/>
      </w:pPr>
      <w:r>
        <w:t xml:space="preserve">EXECUTIVE SUMMARY</w:t>
      </w:r>
    </w:p>
    <w:bookmarkStart w:id="11" w:name="facility-overview"/>
    <w:p>
      <w:pPr>
        <w:pStyle w:val="Heading3"/>
      </w:pPr>
      <w:r>
        <w:rPr>
          <w:b/>
          <w:bCs/>
        </w:rPr>
        <w:t xml:space="preserve">FACILITY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 Capacity:</w:t>
      </w:r>
      <w:r>
        <w:t xml:space="preserve"> </w:t>
      </w:r>
      <w:r>
        <w:t xml:space="preserve">3 MW Phase 1 (30 cabinets @ 100 kW); 12 MW Phase 2 (30 cabinets @ 400 kW); [TBD] - Follow-on Phases up to 12 MW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White Space:</w:t>
      </w:r>
      <w:r>
        <w:t xml:space="preserve"> </w:t>
      </w:r>
      <w:r>
        <w:t xml:space="preserve">20,000 SF total all Phases (two 10,000 SF data halls); Phase 1 &amp; 2 inside first 10,000 SF Data Hall (DH-E - East End of the Building)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Power Density:</w:t>
      </w:r>
      <w:r>
        <w:t xml:space="preserve"> </w:t>
      </w:r>
      <w:r>
        <w:t xml:space="preserve">Phase 1: 300 W/SF; Phase 2: 1,200 W/SF; up to 1,200 W/SF in Data Hall W (DH-W)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Cabinet Configuration:</w:t>
      </w:r>
      <w:r>
        <w:t xml:space="preserve"> </w:t>
      </w:r>
      <w:r>
        <w:t xml:space="preserve">Master Planned 30 × DDC S-Series cabinets (52U, 36” wide)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Availability:</w:t>
      </w:r>
      <w:r>
        <w:t xml:space="preserve"> </w:t>
      </w:r>
      <w:r>
        <w:t xml:space="preserve">Tier III (2N IT power, N+1 mechanical, concurrent maintainability)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PUE:</w:t>
      </w:r>
      <w:r>
        <w:t xml:space="preserve"> </w:t>
      </w:r>
      <w:r>
        <w:t xml:space="preserve">1.35 (Phase 1), 1.25 (Phase 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WUE:</w:t>
      </w:r>
      <w:r>
        <w:t xml:space="preserve"> </w:t>
      </w:r>
      <w:r>
        <w:t xml:space="preserve">&lt;0.5 L/kWh (air-cooled, zero water consumption)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Site:</w:t>
      </w:r>
      <w:r>
        <w:t xml:space="preserve"> </w:t>
      </w:r>
      <w:r>
        <w:t xml:space="preserve">Pryor, Oklahoma (Tornado Alley - FM 1-150 protection)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Differentiator:</w:t>
      </w:r>
      <w:r>
        <w:t xml:space="preserve"> </w:t>
      </w:r>
      <w:r>
        <w:t xml:space="preserve">Customer-owned 138 kV substation with true microgrid capability</w:t>
      </w:r>
    </w:p>
    <w:p>
      <w:r>
        <w:pict>
          <v:rect style="width:0;height:1.5pt" o:hralign="center" o:hrstd="t" o:hr="t"/>
        </w:pict>
      </w:r>
    </w:p>
    <w:bookmarkEnd w:id="11"/>
    <w:bookmarkStart w:id="12" w:name="electrical-systems"/>
    <w:p>
      <w:pPr>
        <w:pStyle w:val="Heading3"/>
      </w:pPr>
      <w:r>
        <w:rPr>
          <w:b/>
          <w:bCs/>
        </w:rPr>
        <w:t xml:space="preserve">ELECTRICAL SYSTEMS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 Utility Service:</w:t>
      </w:r>
      <w:r>
        <w:t xml:space="preserve"> </w:t>
      </w:r>
      <w:r>
        <w:t xml:space="preserve">Customer-owned 138 kV substation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138 kV Transmission:</w:t>
      </w:r>
      <w:r>
        <w:t xml:space="preserve"> </w:t>
      </w:r>
      <w:r>
        <w:t xml:space="preserve">Direct connection to utility transmission system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Substation Transformers:</w:t>
      </w:r>
      <w:r>
        <w:t xml:space="preserve"> </w:t>
      </w:r>
      <w:r>
        <w:t xml:space="preserve">2 × 25 MVA, 138kV/11kV (2N redundancy)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Capacity:</w:t>
      </w:r>
      <w:r>
        <w:t xml:space="preserve"> </w:t>
      </w:r>
      <w:r>
        <w:t xml:space="preserve">Supports 24 MW master plan without utility upgrades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~$5-9M (justified by future capacity + microgrid flexibility)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11 kV Common Bus:</w:t>
      </w:r>
      <w:r>
        <w:t xml:space="preserve"> </w:t>
      </w:r>
      <w:r>
        <w:t xml:space="preserve">Single voltage platform for utility, solar, BESS, generators, data center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MV Distribution:</w:t>
      </w:r>
      <w:r>
        <w:t xml:space="preserve"> </w:t>
      </w:r>
      <w:r>
        <w:t xml:space="preserve">11 kV dual-ring topology (Ring A + Ring B) via 6 RMUs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Generators:</w:t>
      </w:r>
      <w:r>
        <w:t xml:space="preserve"> </w:t>
      </w:r>
      <w:r>
        <w:t xml:space="preserve">6 × 4.0 MW @ 11 kV, diesel, Tier 4 Final (N+1)</w:t>
      </w:r>
    </w:p>
    <w:p>
      <w:pPr>
        <w:pStyle w:val="Compact"/>
        <w:numPr>
          <w:ilvl w:val="1"/>
          <w:numId w:val="1004"/>
        </w:numPr>
      </w:pPr>
      <w:r>
        <w:t xml:space="preserve">Phase 1: 3 units; Phase 2: +3 units</w:t>
      </w:r>
    </w:p>
    <w:p>
      <w:pPr>
        <w:pStyle w:val="Compact"/>
        <w:numPr>
          <w:ilvl w:val="1"/>
          <w:numId w:val="1004"/>
        </w:numPr>
      </w:pPr>
      <w:r>
        <w:t xml:space="preserve">Fuel: ~2,000 gal belly tanks per unit connected via common manifold to centralized bulk fuel storage (24-hour runtime with redundant fuel contracts)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Transformers:</w:t>
      </w:r>
      <w:r>
        <w:t xml:space="preserve"> </w:t>
      </w:r>
      <w:r>
        <w:t xml:space="preserve">8 × 3,500 kVA (11 kV/480V) oil-filled, N+1 with concurrent maintainability</w:t>
      </w:r>
    </w:p>
    <w:p>
      <w:pPr>
        <w:pStyle w:val="Compact"/>
        <w:numPr>
          <w:ilvl w:val="1"/>
          <w:numId w:val="1005"/>
        </w:numPr>
      </w:pPr>
      <w:r>
        <w:t xml:space="preserve">Phase 1: 3 units; Phase 2: +5 units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IT UPS:</w:t>
      </w:r>
      <w:r>
        <w:t xml:space="preserve"> </w:t>
      </w:r>
      <w:r>
        <w:t xml:space="preserve">N+1 modular architecture (path redundancy from self-healing MV dual-ring)</w:t>
      </w:r>
    </w:p>
    <w:p>
      <w:pPr>
        <w:pStyle w:val="Compact"/>
        <w:numPr>
          <w:ilvl w:val="1"/>
          <w:numId w:val="1006"/>
        </w:numPr>
      </w:pPr>
      <w:r>
        <w:t xml:space="preserve">Phase 1: 5-6 × 1,250 kVA modules (4-5 running, 1 standby)</w:t>
      </w:r>
    </w:p>
    <w:p>
      <w:pPr>
        <w:pStyle w:val="Compact"/>
        <w:numPr>
          <w:ilvl w:val="1"/>
          <w:numId w:val="1006"/>
        </w:numPr>
      </w:pPr>
      <w:r>
        <w:t xml:space="preserve">Phase 2: 13-15 × 1,250 kVA modules (12-13 running, 1-2 standby)</w:t>
      </w:r>
    </w:p>
    <w:p>
      <w:pPr>
        <w:pStyle w:val="Compact"/>
        <w:numPr>
          <w:ilvl w:val="1"/>
          <w:numId w:val="1006"/>
        </w:numPr>
      </w:pPr>
      <w:r>
        <w:t xml:space="preserve">Battery: 5-minute runtime maximum (allows for MV generator sync to bus, even two attempts)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Redundancy Philosophy:</w:t>
      </w:r>
      <w:r>
        <w:t xml:space="preserve"> </w:t>
      </w:r>
      <w:r>
        <w:t xml:space="preserve">11 kV dual-ring provides path redundancy via self-healing SCADA switching; N+1 UPS provides component redundancy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Mechanical UPS:</w:t>
      </w:r>
      <w:r>
        <w:t xml:space="preserve"> </w:t>
      </w:r>
      <w:r>
        <w:t xml:space="preserve">Phase 1: 8 × 250 kW; Phase 2: 20 × 250 kW (N+1 for pumps/fans)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LV Distribution:</w:t>
      </w:r>
      <w:r>
        <w:t xml:space="preserve"> </w:t>
      </w:r>
      <w:r>
        <w:t xml:space="preserve">Dual switchboards (SWBD-A/B) fed from different MV ring segments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Cabinet Power:</w:t>
      </w:r>
      <w:r>
        <w:t xml:space="preserve"> </w:t>
      </w:r>
      <w:r>
        <w:t xml:space="preserve">Dual PDUs fed from different 480V distribution panels - Phase 1: 2 × 50 kW; Phase 2: 2 × 200 kW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Electrical Enclosures:</w:t>
      </w:r>
      <w:r>
        <w:t xml:space="preserve"> </w:t>
      </w:r>
      <w:r>
        <w:t xml:space="preserve">Prefabricated PDMs with LV switchboards, UPS, MV gear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MV Distribution:</w:t>
      </w:r>
      <w:r>
        <w:t xml:space="preserve"> </w:t>
      </w:r>
      <w:r>
        <w:t xml:space="preserve">6 RMUs (11 kV, 630A), dual-ring topology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Non-Critical Building Power (Separate System):</w:t>
      </w:r>
    </w:p>
    <w:p>
      <w:pPr>
        <w:pStyle w:val="Compact"/>
        <w:numPr>
          <w:ilvl w:val="1"/>
          <w:numId w:val="1007"/>
        </w:numPr>
      </w:pPr>
      <w:r>
        <w:t xml:space="preserve">House generators: 2 × 250-350 kW natural gas (N+1 redundancy)</w:t>
      </w:r>
    </w:p>
    <w:p>
      <w:pPr>
        <w:pStyle w:val="Compact"/>
        <w:numPr>
          <w:ilvl w:val="1"/>
          <w:numId w:val="1007"/>
        </w:numPr>
      </w:pPr>
      <w:r>
        <w:t xml:space="preserve">Serves: offices, bathrooms, hallways, SCR, SCB, loading dock, NOC, gym, storm shelter</w:t>
      </w:r>
    </w:p>
    <w:p>
      <w:pPr>
        <w:pStyle w:val="Compact"/>
        <w:numPr>
          <w:ilvl w:val="1"/>
          <w:numId w:val="1007"/>
        </w:numPr>
      </w:pPr>
      <w:r>
        <w:t xml:space="preserve">Portable UPS: ~20-30 units for IT equipment ride-through in non-critical areas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Electrical Code:</w:t>
      </w:r>
      <w:r>
        <w:t xml:space="preserve"> </w:t>
      </w:r>
      <w:r>
        <w:t xml:space="preserve">NEC 2023, Oklahoma amendments</w:t>
      </w:r>
    </w:p>
    <w:p>
      <w:r>
        <w:pict>
          <v:rect style="width:0;height:1.5pt" o:hralign="center" o:hrstd="t" o:hr="t"/>
        </w:pict>
      </w:r>
    </w:p>
    <w:bookmarkEnd w:id="12"/>
    <w:bookmarkStart w:id="13" w:name="mechanical-systems"/>
    <w:p>
      <w:pPr>
        <w:pStyle w:val="Heading3"/>
      </w:pPr>
      <w:r>
        <w:rPr>
          <w:b/>
          <w:bCs/>
        </w:rPr>
        <w:t xml:space="preserve">MECHANICAL SYSTEMS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Cooling Strategy:</w:t>
      </w:r>
      <w:r>
        <w:t xml:space="preserve"> </w:t>
      </w:r>
      <w:r>
        <w:t xml:space="preserve">Phased deployment aligned with IT load growth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Phase 1 (Air Cooling Only):</w:t>
      </w:r>
    </w:p>
    <w:p>
      <w:pPr>
        <w:pStyle w:val="Compact"/>
        <w:numPr>
          <w:ilvl w:val="1"/>
          <w:numId w:val="1009"/>
        </w:numPr>
      </w:pPr>
      <w:r>
        <w:t xml:space="preserve">IT Load: 3,000 kW (30 cabinets @ 100 kW each)</w:t>
      </w:r>
    </w:p>
    <w:p>
      <w:pPr>
        <w:pStyle w:val="Compact"/>
        <w:numPr>
          <w:ilvl w:val="1"/>
          <w:numId w:val="1009"/>
        </w:numPr>
      </w:pPr>
      <w:r>
        <w:t xml:space="preserve">Cabinet FCUs: 100 kW capacity each (dual coils: 50 kW Loop 1 + 50 kW Loop 2)</w:t>
      </w:r>
    </w:p>
    <w:p>
      <w:pPr>
        <w:pStyle w:val="Compact"/>
        <w:numPr>
          <w:ilvl w:val="1"/>
          <w:numId w:val="1009"/>
        </w:numPr>
      </w:pPr>
      <w:r>
        <w:t xml:space="preserve">Chillers: 4 × 1,500 kW air-cooled (Loops 1+2 shared plant, N+1)</w:t>
      </w:r>
    </w:p>
    <w:p>
      <w:pPr>
        <w:pStyle w:val="Compact"/>
        <w:numPr>
          <w:ilvl w:val="1"/>
          <w:numId w:val="1009"/>
        </w:numPr>
      </w:pPr>
      <w:r>
        <w:t xml:space="preserve">Supply temp: 7-10°C; COP: 3.8-4.2 (mechanical), 15-25 (free cooling)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Phase 2 (Air + D2C Cooling):</w:t>
      </w:r>
    </w:p>
    <w:p>
      <w:pPr>
        <w:pStyle w:val="Compact"/>
        <w:numPr>
          <w:ilvl w:val="1"/>
          <w:numId w:val="1010"/>
        </w:numPr>
      </w:pPr>
      <w:r>
        <w:t xml:space="preserve">IT Load: 12,000 kW (30 cabinets @ 400 kW: 100 kW air + 300 kW D2C)</w:t>
      </w:r>
    </w:p>
    <w:p>
      <w:pPr>
        <w:pStyle w:val="Compact"/>
        <w:numPr>
          <w:ilvl w:val="1"/>
          <w:numId w:val="1010"/>
        </w:numPr>
      </w:pPr>
      <w:r>
        <w:t xml:space="preserve">Air cooling: Same 4 chillers (Loops 1+2, 3,000 kW load unchanged)</w:t>
      </w:r>
    </w:p>
    <w:p>
      <w:pPr>
        <w:pStyle w:val="Compact"/>
        <w:numPr>
          <w:ilvl w:val="1"/>
          <w:numId w:val="1010"/>
        </w:numPr>
      </w:pPr>
      <w:r>
        <w:t xml:space="preserve">D2C cooling: 8 × 1,500 kW air-cooled chillers (Loop 3 independent, N+1)</w:t>
      </w:r>
    </w:p>
    <w:p>
      <w:pPr>
        <w:pStyle w:val="Compact"/>
        <w:numPr>
          <w:ilvl w:val="1"/>
          <w:numId w:val="1010"/>
        </w:numPr>
      </w:pPr>
      <w:r>
        <w:t xml:space="preserve">CDUs: 60 × 300 kW units (2 per cabinet, A/B redundancy)</w:t>
      </w:r>
    </w:p>
    <w:p>
      <w:pPr>
        <w:pStyle w:val="Compact"/>
        <w:numPr>
          <w:ilvl w:val="1"/>
          <w:numId w:val="1010"/>
        </w:numPr>
      </w:pPr>
      <w:r>
        <w:t xml:space="preserve">Supply temp: 25°C; COP: 5.0-5.5 (higher efficiency than air cooling)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Free Cooling:</w:t>
      </w:r>
      <w:r>
        <w:t xml:space="preserve"> </w:t>
      </w:r>
      <w:r>
        <w:t xml:space="preserve">~3,500-4,000 hours/year (Oklahoma climate)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Zero Water Strategy:</w:t>
      </w:r>
      <w:r>
        <w:t xml:space="preserve"> </w:t>
      </w:r>
      <w:r>
        <w:t xml:space="preserve">No evaporative cooling, closed-loop glycol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Building HVAC:</w:t>
      </w:r>
      <w:r>
        <w:t xml:space="preserve"> </w:t>
      </w:r>
      <w:r>
        <w:t xml:space="preserve">RTUs for offices, NOC, support spaces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Mechanical Code:</w:t>
      </w:r>
      <w:r>
        <w:t xml:space="preserve"> </w:t>
      </w:r>
      <w:r>
        <w:t xml:space="preserve">IMC 2021, ASHRAE 90.1-2019</w:t>
      </w:r>
    </w:p>
    <w:p>
      <w:r>
        <w:pict>
          <v:rect style="width:0;height:1.5pt" o:hralign="center" o:hrstd="t" o:hr="t"/>
        </w:pict>
      </w:r>
    </w:p>
    <w:bookmarkEnd w:id="13"/>
    <w:bookmarkStart w:id="14" w:name="facility-construction"/>
    <w:p>
      <w:pPr>
        <w:pStyle w:val="Heading3"/>
      </w:pPr>
      <w:r>
        <w:rPr>
          <w:b/>
          <w:bCs/>
        </w:rPr>
        <w:t xml:space="preserve">FACILITY CONSTRUCTION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Structure:</w:t>
      </w:r>
      <w:r>
        <w:t xml:space="preserve"> </w:t>
      </w:r>
      <w:r>
        <w:t xml:space="preserve">Pre-cast concrete tilt-up construction (tornado-resistant)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Total Building:</w:t>
      </w:r>
      <w:r>
        <w:t xml:space="preserve"> </w:t>
      </w:r>
      <w:r>
        <w:t xml:space="preserve">50,000 GSF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Configuration:</w:t>
      </w:r>
      <w:r>
        <w:t xml:space="preserve"> </w:t>
      </w:r>
      <w:r>
        <w:t xml:space="preserve">Two 10,000 SF data halls + 30,000 SF support spaces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Roofing:</w:t>
      </w:r>
      <w:r>
        <w:t xml:space="preserve"> </w:t>
      </w:r>
      <w:r>
        <w:t xml:space="preserve">FM 1-150 tornado-rated (150 mph winds, Class 4 hail); storm-rated stainless steel debris screen; protected roof equipment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Walls:</w:t>
      </w:r>
      <w:r>
        <w:t xml:space="preserve"> </w:t>
      </w:r>
      <w:r>
        <w:t xml:space="preserve">Tilt-up concrete panels (8-12” thick, reinforced for high wind loads)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Floor:</w:t>
      </w:r>
      <w:r>
        <w:t xml:space="preserve"> </w:t>
      </w:r>
      <w:r>
        <w:t xml:space="preserve">Slab-on-grade (raised floor: Not Applicable), sealed concrete with optional epoxy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Ceiling Height:</w:t>
      </w:r>
      <w:r>
        <w:t xml:space="preserve"> </w:t>
      </w:r>
      <w:r>
        <w:t xml:space="preserve">28-30 ft clear in data halls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Containment:</w:t>
      </w:r>
      <w:r>
        <w:t xml:space="preserve"> </w:t>
      </w:r>
      <w:r>
        <w:t xml:space="preserve">Not Applicable (DDC cabinets provide integrated cooling)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Storm Shelter/Safe Room:</w:t>
      </w:r>
      <w:r>
        <w:t xml:space="preserve"> </w:t>
      </w:r>
      <w:r>
        <w:t xml:space="preserve">FEMA 361 compliant prefabricated module (EF5 protection), 20 person capacity, located on Level 1 adjacent to elevator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Security:</w:t>
      </w:r>
    </w:p>
    <w:p>
      <w:pPr>
        <w:pStyle w:val="Compact"/>
        <w:numPr>
          <w:ilvl w:val="1"/>
          <w:numId w:val="1012"/>
        </w:numPr>
      </w:pPr>
      <w:r>
        <w:t xml:space="preserve">K-rated perimeter fence (8 ft height, 100 ft building standoff)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Two property entrances:</w:t>
      </w:r>
    </w:p>
    <w:p>
      <w:pPr>
        <w:pStyle w:val="Compact"/>
        <w:numPr>
          <w:ilvl w:val="2"/>
          <w:numId w:val="1013"/>
        </w:numPr>
      </w:pPr>
      <w:r>
        <w:rPr>
          <w:b/>
          <w:bCs/>
        </w:rPr>
        <w:t xml:space="preserve">Main entrance (NE corner):</w:t>
      </w:r>
      <w:r>
        <w:t xml:space="preserve"> </w:t>
      </w:r>
      <w:r>
        <w:t xml:space="preserve">Sally port vehicle trap with permanent manned visitor center</w:t>
      </w:r>
    </w:p>
    <w:p>
      <w:pPr>
        <w:pStyle w:val="Compact"/>
        <w:numPr>
          <w:ilvl w:val="2"/>
          <w:numId w:val="1013"/>
        </w:numPr>
      </w:pPr>
      <w:r>
        <w:rPr>
          <w:b/>
          <w:bCs/>
        </w:rPr>
        <w:t xml:space="preserve">Secondary entrance (NW side):</w:t>
      </w:r>
      <w:r>
        <w:t xml:space="preserve"> </w:t>
      </w:r>
      <w:r>
        <w:t xml:space="preserve">Emergency/construction access (normally unmanned, visible from loading dock SCB)</w:t>
      </w:r>
    </w:p>
    <w:p>
      <w:pPr>
        <w:pStyle w:val="Compact"/>
        <w:numPr>
          <w:ilvl w:val="1"/>
          <w:numId w:val="1012"/>
        </w:numPr>
      </w:pPr>
      <w:r>
        <w:t xml:space="preserve">Mantrap entry, full MFA (card + biometric), CCTV with 90-day retention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Rationale for Tilt-Up:</w:t>
      </w:r>
      <w:r>
        <w:t xml:space="preserve"> </w:t>
      </w:r>
      <w:r>
        <w:t xml:space="preserve">Superior tornado resistance vs. PEMB, better thermal mass, lower insurance premiums</w:t>
      </w:r>
    </w:p>
    <w:p>
      <w:r>
        <w:pict>
          <v:rect style="width:0;height:1.5pt" o:hralign="center" o:hrstd="t" o:hr="t"/>
        </w:pict>
      </w:r>
    </w:p>
    <w:bookmarkEnd w:id="14"/>
    <w:bookmarkStart w:id="15" w:name="support-spaces"/>
    <w:p>
      <w:pPr>
        <w:pStyle w:val="Heading3"/>
      </w:pPr>
      <w:r>
        <w:rPr>
          <w:b/>
          <w:bCs/>
        </w:rPr>
        <w:t xml:space="preserve">SUPPORT SPACES</w:t>
      </w:r>
    </w:p>
    <w:p>
      <w:pPr>
        <w:pStyle w:val="FirstParagraph"/>
      </w:pPr>
      <w:r>
        <w:rPr>
          <w:b/>
          <w:bCs/>
        </w:rPr>
        <w:t xml:space="preserve">East End Entry Zone: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 entrance (Blue Zone):</w:t>
      </w:r>
      <w:r>
        <w:t xml:space="preserve"> </w:t>
      </w:r>
      <w:r>
        <w:t xml:space="preserve">Lobby with luggage room, public restroom, Security Control Room (SCR)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office zone (Yellow Zone):</w:t>
      </w:r>
      <w:r>
        <w:t xml:space="preserve"> </w:t>
      </w:r>
      <w:r>
        <w:t xml:space="preserve">Post-mantrap access to conference room, 2 restrooms, hoteling office area, 2 soundproof call pods, seating area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Telecommunications:</w:t>
      </w:r>
      <w:r>
        <w:t xml:space="preserve"> </w:t>
      </w:r>
      <w:r>
        <w:t xml:space="preserve">MPOE (fiber entrance), MMR (meet-me-room), fire riser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Perimeter corridor:</w:t>
      </w:r>
      <w:r>
        <w:t xml:space="preserve"> </w:t>
      </w:r>
      <w:r>
        <w:t xml:space="preserve">Secure perimeter corridor providing access to secure data hall access points and secure indoor mechanical gallery maintenance areas</w:t>
      </w:r>
    </w:p>
    <w:p>
      <w:pPr>
        <w:pStyle w:val="BodyText"/>
      </w:pPr>
      <w:r>
        <w:rPr>
          <w:b/>
          <w:bCs/>
        </w:rPr>
        <w:t xml:space="preserve">West End Loading Zone: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Loading dock:</w:t>
      </w:r>
      <w:r>
        <w:t xml:space="preserve"> </w:t>
      </w:r>
      <w:r>
        <w:t xml:space="preserve">2-bay weather-protected loading area with Security Control Booth (SCB)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Support areas:</w:t>
      </w:r>
      <w:r>
        <w:t xml:space="preserve"> </w:t>
      </w:r>
      <w:r>
        <w:t xml:space="preserve">Secure staging, secure storage, janitor closet, internal restroom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Telecommunications:</w:t>
      </w:r>
      <w:r>
        <w:t xml:space="preserve"> </w:t>
      </w:r>
      <w:r>
        <w:t xml:space="preserve">Second MPOE (redundant fiber entrance), second MMR (redundant meet-me-room), fire riser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Delivery driver restroom:</w:t>
      </w:r>
      <w:r>
        <w:t xml:space="preserve"> </w:t>
      </w:r>
      <w:r>
        <w:t xml:space="preserve">Accessible only from outside at NW corner (within view of security)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PDMs:</w:t>
      </w:r>
      <w:r>
        <w:t xml:space="preserve"> </w:t>
      </w:r>
      <w:r>
        <w:t xml:space="preserve">Power Delivery Modules located outside in electrical equipment yard</w:t>
      </w:r>
    </w:p>
    <w:p>
      <w:pPr>
        <w:pStyle w:val="BodyText"/>
      </w:pPr>
      <w:r>
        <w:rPr>
          <w:b/>
          <w:bCs/>
        </w:rPr>
        <w:t xml:space="preserve">Multi-Level Central Spine (4 Levels):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Level 1:</w:t>
      </w:r>
      <w:r>
        <w:t xml:space="preserve"> </w:t>
      </w:r>
      <w:r>
        <w:t xml:space="preserve">Prefabricated storm shelter/safe room (20 person), elevator/stairwell, redundant restrooms, men’s/women’s showers, break room, lounge, gaming area (TBD)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Level 2 (Secure NOC):</w:t>
      </w:r>
      <w:r>
        <w:t xml:space="preserve"> </w:t>
      </w:r>
      <w:r>
        <w:t xml:space="preserve">NOC (~2,060 SF), private NOC area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Level 3 (Fitness/Tour Route):</w:t>
      </w:r>
      <w:r>
        <w:t xml:space="preserve"> </w:t>
      </w:r>
      <w:r>
        <w:t xml:space="preserve">Gym/fitness center, secure tour route with internal windows into critical areas, weather-protected balconies (north/south) for equipment yard views, accessible to security and technical operations staff for routine site walks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Roof Level:</w:t>
      </w:r>
      <w:r>
        <w:t xml:space="preserve"> </w:t>
      </w:r>
      <w:r>
        <w:t xml:space="preserve">Weather-protected access via elevator/stairwell; storm-rated SS debris screen; protected roof-mounted equipment</w:t>
      </w:r>
    </w:p>
    <w:p>
      <w:pPr>
        <w:pStyle w:val="BodyText"/>
      </w:pPr>
      <w:r>
        <w:rPr>
          <w:b/>
          <w:bCs/>
        </w:rPr>
        <w:t xml:space="preserve">Equipment Yards:</w:t>
      </w:r>
      <w:r>
        <w:t xml:space="preserve"> </w:t>
      </w:r>
      <w:r>
        <w:t xml:space="preserve">- Electrical: ~100,000 SF (sized for 24 MW master plan)</w:t>
      </w:r>
      <w:r>
        <w:t xml:space="preserve"> </w:t>
      </w:r>
      <w:r>
        <w:t xml:space="preserve">- Mechanical: ~50,000 SF (sized for 12 chillers total)</w:t>
      </w:r>
    </w:p>
    <w:p>
      <w:r>
        <w:pict>
          <v:rect style="width:0;height:1.5pt" o:hralign="center" o:hrstd="t" o:hr="t"/>
        </w:pict>
      </w:r>
    </w:p>
    <w:bookmarkEnd w:id="15"/>
    <w:bookmarkStart w:id="16" w:name="renewable-energy-utilities"/>
    <w:p>
      <w:pPr>
        <w:pStyle w:val="Heading3"/>
      </w:pPr>
      <w:r>
        <w:rPr>
          <w:b/>
          <w:bCs/>
        </w:rPr>
        <w:t xml:space="preserve">RENEWABLE ENERGY &amp; UTILITIES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Solar:</w:t>
      </w:r>
      <w:r>
        <w:t xml:space="preserve"> </w:t>
      </w:r>
      <w:r>
        <w:t xml:space="preserve">Adjacent 8+ MW solar array (owned separately, behind-the-meter)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BESS:</w:t>
      </w:r>
      <w:r>
        <w:t xml:space="preserve"> </w:t>
      </w:r>
      <w:r>
        <w:t xml:space="preserve">Battery Energy Storage System (separate from UPS)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Primary Utility Service:</w:t>
      </w:r>
      <w:r>
        <w:t xml:space="preserve"> </w:t>
      </w:r>
      <w:r>
        <w:t xml:space="preserve">Owner-constructed 138 kV substation with 2 × 25 MVA transformers (138kV/11kV, 2N redundancy)</w:t>
      </w:r>
    </w:p>
    <w:p>
      <w:pPr>
        <w:pStyle w:val="Compact"/>
        <w:numPr>
          <w:ilvl w:val="1"/>
          <w:numId w:val="1015"/>
        </w:numPr>
      </w:pPr>
      <w:r>
        <w:t xml:space="preserve">Dual redundant 138 kV transmission line feeds</w:t>
      </w:r>
    </w:p>
    <w:p>
      <w:pPr>
        <w:pStyle w:val="Compact"/>
        <w:numPr>
          <w:ilvl w:val="1"/>
          <w:numId w:val="1015"/>
        </w:numPr>
      </w:pPr>
      <w:r>
        <w:t xml:space="preserve">All power transformed to 11 kV common bus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Water:</w:t>
      </w:r>
      <w:r>
        <w:t xml:space="preserve"> </w:t>
      </w:r>
      <w:r>
        <w:t xml:space="preserve">Municipal or well (domestic use only, ~500-1,000 gal/day)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Sewer:</w:t>
      </w:r>
      <w:r>
        <w:t xml:space="preserve"> </w:t>
      </w:r>
      <w:r>
        <w:t xml:space="preserve">Municipal or septic (domestic wastewater)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Natural Gas:</w:t>
      </w:r>
      <w:r>
        <w:t xml:space="preserve"> </w:t>
      </w:r>
      <w:r>
        <w:t xml:space="preserve">Utility service for house generators (backup power to non-critical areas)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[TBD] OPTIONAL Micro-Turbine Natural Gas Generators:</w:t>
      </w:r>
      <w:r>
        <w:t xml:space="preserve"> </w:t>
      </w:r>
      <w:r>
        <w:t xml:space="preserve">For Oklahoma SB 480 qualification (budget in Solar/BESS CAPEX, not Data Center)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Fiber:</w:t>
      </w:r>
      <w:r>
        <w:t xml:space="preserve"> </w:t>
      </w:r>
      <w:r>
        <w:t xml:space="preserve">Dual diverse entries via underground ductbank</w:t>
      </w:r>
    </w:p>
    <w:p>
      <w:r>
        <w:pict>
          <v:rect style="width:0;height:1.5pt" o:hralign="center" o:hrstd="t" o:hr="t"/>
        </w:pict>
      </w:r>
    </w:p>
    <w:bookmarkEnd w:id="16"/>
    <w:bookmarkStart w:id="17" w:name="fire-protection-life-safety"/>
    <w:p>
      <w:pPr>
        <w:pStyle w:val="Heading3"/>
      </w:pPr>
      <w:r>
        <w:rPr>
          <w:b/>
          <w:bCs/>
        </w:rPr>
        <w:t xml:space="preserve">FIRE PROTECTION &amp; LIFE SAFETY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Halls:</w:t>
      </w:r>
      <w:r>
        <w:t xml:space="preserve"> </w:t>
      </w:r>
      <w:r>
        <w:t xml:space="preserve">Zoned preaction sprinkler system with VESDA early warning detection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Cabinet Suppression:</w:t>
      </w:r>
      <w:r>
        <w:t xml:space="preserve"> </w:t>
      </w:r>
      <w:r>
        <w:t xml:space="preserve">Integrated fire suppression in DDC cabinets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Prefabricated PDMs:</w:t>
      </w:r>
      <w:r>
        <w:t xml:space="preserve"> </w:t>
      </w:r>
      <w:r>
        <w:t xml:space="preserve">Clean agent or other suppression per NFPA standards in PDM enclosures housing UPS, switchboards, MV gear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Detection:</w:t>
      </w:r>
      <w:r>
        <w:t xml:space="preserve"> </w:t>
      </w:r>
      <w:r>
        <w:t xml:space="preserve">VESDA (Very Early Smoke Detection Apparatus) in data halls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Egress:</w:t>
      </w:r>
      <w:r>
        <w:t xml:space="preserve"> </w:t>
      </w:r>
      <w:r>
        <w:t xml:space="preserve">2 minimum exits per data hall, 36” doors (44” preferred)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Emergency Lighting:</w:t>
      </w:r>
      <w:r>
        <w:t xml:space="preserve"> </w:t>
      </w:r>
      <w:r>
        <w:t xml:space="preserve">90-minute battery backup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NFPA Compliance:</w:t>
      </w:r>
      <w:r>
        <w:t xml:space="preserve"> </w:t>
      </w:r>
      <w:r>
        <w:t xml:space="preserve">NFPA 72, 75, 76, 2001, 101; IBC 2021</w:t>
      </w:r>
    </w:p>
    <w:p>
      <w:r>
        <w:pict>
          <v:rect style="width:0;height:1.5pt" o:hralign="center" o:hrstd="t" o:hr="t"/>
        </w:pict>
      </w:r>
    </w:p>
    <w:bookmarkEnd w:id="17"/>
    <w:bookmarkStart w:id="18" w:name="cost-summary"/>
    <w:p>
      <w:pPr>
        <w:pStyle w:val="Heading3"/>
      </w:pPr>
      <w:r>
        <w:rPr>
          <w:b/>
          <w:bCs/>
        </w:rPr>
        <w:t xml:space="preserve">COST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IT Capacity</w:t>
            </w:r>
          </w:p>
        </w:tc>
        <w:tc>
          <w:tcPr/>
          <w:p>
            <w:pPr>
              <w:pStyle w:val="Compact"/>
            </w:pPr>
            <w:r>
              <w:t xml:space="preserve">Electrical Cost</w:t>
            </w:r>
          </w:p>
        </w:tc>
        <w:tc>
          <w:tcPr/>
          <w:p>
            <w:pPr>
              <w:pStyle w:val="Compact"/>
            </w:pPr>
            <w:r>
              <w:t xml:space="preserve">Total Project Cost*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1</w:t>
            </w:r>
          </w:p>
        </w:tc>
        <w:tc>
          <w:tcPr/>
          <w:p>
            <w:pPr>
              <w:pStyle w:val="Compact"/>
            </w:pPr>
            <w:r>
              <w:t xml:space="preserve">3 MW</w:t>
            </w:r>
          </w:p>
        </w:tc>
        <w:tc>
          <w:tcPr/>
          <w:p>
            <w:pPr>
              <w:pStyle w:val="Compact"/>
            </w:pPr>
            <w:r>
              <w:t xml:space="preserve">$14.3M</w:t>
            </w:r>
          </w:p>
        </w:tc>
        <w:tc>
          <w:tcPr/>
          <w:p>
            <w:pPr>
              <w:pStyle w:val="Compact"/>
            </w:pPr>
            <w:r>
              <w:t xml:space="preserve">$34-41M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2</w:t>
            </w:r>
          </w:p>
        </w:tc>
        <w:tc>
          <w:tcPr/>
          <w:p>
            <w:pPr>
              <w:pStyle w:val="Compact"/>
            </w:pPr>
            <w:r>
              <w:t xml:space="preserve">+9 MW (12 MW total)</w:t>
            </w:r>
          </w:p>
        </w:tc>
        <w:tc>
          <w:tcPr/>
          <w:p>
            <w:pPr>
              <w:pStyle w:val="Compact"/>
            </w:pPr>
            <w:r>
              <w:t xml:space="preserve">$22.3M</w:t>
            </w:r>
          </w:p>
        </w:tc>
        <w:tc>
          <w:tcPr/>
          <w:p>
            <w:pPr>
              <w:pStyle w:val="Compact"/>
            </w:pPr>
            <w:r>
              <w:t xml:space="preserve">$27-34M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 MW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$36.6M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$61-75M</w:t>
            </w:r>
          </w:p>
        </w:tc>
      </w:tr>
    </w:tbl>
    <w:p>
      <w:pPr>
        <w:pStyle w:val="BodyText"/>
      </w:pPr>
      <w:r>
        <w:t xml:space="preserve">*Total project includes civil, architectural, site work, MEP systems</w:t>
      </w:r>
    </w:p>
    <w:p>
      <w:pPr>
        <w:pStyle w:val="BodyText"/>
      </w:pPr>
      <w:r>
        <w:rPr>
          <w:b/>
          <w:bCs/>
        </w:rPr>
        <w:t xml:space="preserve">Cost per MW:</w:t>
      </w:r>
      <w:r>
        <w:t xml:space="preserve"> </w:t>
      </w:r>
      <w:r>
        <w:t xml:space="preserve">- Phase 1: $11.3-13.7M per MW (includes full infrastructure)</w:t>
      </w:r>
      <w:r>
        <w:t xml:space="preserve"> </w:t>
      </w:r>
      <w:r>
        <w:t xml:space="preserve">- Phase 2: $3.0-3.8M per MW (incremental)</w:t>
      </w:r>
      <w:r>
        <w:t xml:space="preserve"> </w:t>
      </w:r>
      <w:r>
        <w:t xml:space="preserve">- Blended average: $5.1-6.3M per MW</w:t>
      </w:r>
    </w:p>
    <w:p>
      <w:pPr>
        <w:pStyle w:val="BodyText"/>
      </w:pPr>
      <w:r>
        <w:rPr>
          <w:b/>
          <w:bCs/>
        </w:rPr>
        <w:t xml:space="preserve">Phase 1 Electrical Breakdown:</w:t>
      </w:r>
      <w:r>
        <w:t xml:space="preserve"> </w:t>
      </w:r>
      <w:r>
        <w:t xml:space="preserve">- Generators (3 × 4.0 MW @ 11 kV diesel): $4.5M</w:t>
      </w:r>
      <w:r>
        <w:t xml:space="preserve"> </w:t>
      </w:r>
      <w:r>
        <w:t xml:space="preserve">- House generators (2 × 300 kW natural gas): $0.1M</w:t>
      </w:r>
      <w:r>
        <w:t xml:space="preserve"> </w:t>
      </w:r>
      <w:r>
        <w:t xml:space="preserve">- Transformers (3 × 3,500 kVA, 11kV/480V): $0.5M</w:t>
      </w:r>
      <w:r>
        <w:t xml:space="preserve"> </w:t>
      </w:r>
      <w:r>
        <w:t xml:space="preserve">- RMUs, MV switchgear, cable (including dual-ring SCADA controls): $1.4M</w:t>
      </w:r>
      <w:r>
        <w:t xml:space="preserve"> </w:t>
      </w:r>
      <w:r>
        <w:t xml:space="preserve">- LV switchboards, distribution: $1.3M</w:t>
      </w:r>
      <w:r>
        <w:t xml:space="preserve"> </w:t>
      </w:r>
      <w:r>
        <w:t xml:space="preserve">- IT UPS (5-6 × 1,250 kVA N+1 + batteries): $1.2M</w:t>
      </w:r>
      <w:r>
        <w:t xml:space="preserve"> </w:t>
      </w:r>
      <w:r>
        <w:t xml:space="preserve">- Mechanical UPS (8 × 250 kW): $0.8M</w:t>
      </w:r>
      <w:r>
        <w:t xml:space="preserve"> </w:t>
      </w:r>
      <w:r>
        <w:t xml:space="preserve">- Portable UPS (non-critical areas): $0.05M</w:t>
      </w:r>
      <w:r>
        <w:t xml:space="preserve"> </w:t>
      </w:r>
      <w:r>
        <w:t xml:space="preserve">- PDMs (2 units): $2.5M</w:t>
      </w:r>
      <w:r>
        <w:t xml:space="preserve"> </w:t>
      </w:r>
      <w:r>
        <w:t xml:space="preserve">- Installation, testing, commissioning: $2.0M</w:t>
      </w:r>
    </w:p>
    <w:p>
      <w:pPr>
        <w:pStyle w:val="BodyText"/>
      </w:pPr>
      <w:r>
        <w:rPr>
          <w:b/>
          <w:bCs/>
        </w:rPr>
        <w:t xml:space="preserve">Phase 2 Electrical Breakdown:</w:t>
      </w:r>
      <w:r>
        <w:t xml:space="preserve"> </w:t>
      </w:r>
      <w:r>
        <w:t xml:space="preserve">- Generators (3 × 4.0 MW): $4.5M</w:t>
      </w:r>
      <w:r>
        <w:t xml:space="preserve"> </w:t>
      </w:r>
      <w:r>
        <w:t xml:space="preserve">- Transformers (5 × 3,500 kVA): $0.85M</w:t>
      </w:r>
      <w:r>
        <w:t xml:space="preserve"> </w:t>
      </w:r>
      <w:r>
        <w:t xml:space="preserve">- MV/LV distribution expansion: $1.5M</w:t>
      </w:r>
      <w:r>
        <w:t xml:space="preserve"> </w:t>
      </w:r>
      <w:r>
        <w:t xml:space="preserve">- IT UPS (8-9 × 1,250 kVA N+1 + batteries): $1.8M</w:t>
      </w:r>
      <w:r>
        <w:t xml:space="preserve"> </w:t>
      </w:r>
      <w:r>
        <w:t xml:space="preserve">- Mechanical UPS (12 × 250 kW): $1.2M</w:t>
      </w:r>
      <w:r>
        <w:t xml:space="preserve"> </w:t>
      </w:r>
      <w:r>
        <w:t xml:space="preserve">- Chillers Loop 3 (8 × 1,500 kW): $6.0M</w:t>
      </w:r>
      <w:r>
        <w:t xml:space="preserve"> </w:t>
      </w:r>
      <w:r>
        <w:t xml:space="preserve">- CDUs (60 units): $3.0M</w:t>
      </w:r>
      <w:r>
        <w:t xml:space="preserve"> </w:t>
      </w:r>
      <w:r>
        <w:t xml:space="preserve">- Cabinet PDU upgrades: $0.45M</w:t>
      </w:r>
      <w:r>
        <w:t xml:space="preserve"> </w:t>
      </w:r>
      <w:r>
        <w:t xml:space="preserve">- Installation, testing, commissioning: $3.0M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If utility provides 34.5 kV service, add ~$1.0-1.5M for two 34.5kV/11kV step-down transformers</w:t>
      </w:r>
    </w:p>
    <w:p>
      <w:r>
        <w:pict>
          <v:rect style="width:0;height:1.5pt" o:hralign="center" o:hrstd="t" o:hr="t"/>
        </w:pict>
      </w:r>
    </w:p>
    <w:bookmarkEnd w:id="18"/>
    <w:bookmarkStart w:id="19" w:name="design-standards"/>
    <w:p>
      <w:pPr>
        <w:pStyle w:val="Heading3"/>
      </w:pPr>
      <w:r>
        <w:rPr>
          <w:b/>
          <w:bCs/>
        </w:rPr>
        <w:t xml:space="preserve">DESIGN STANDARDS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Redundancy: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Path redundancy:</w:t>
      </w:r>
      <w:r>
        <w:t xml:space="preserve"> </w:t>
      </w:r>
      <w:r>
        <w:t xml:space="preserve">11 kV dual-ring MV distribution with self-healing automated switching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Component redundancy:</w:t>
      </w:r>
      <w:r>
        <w:t xml:space="preserve"> </w:t>
      </w:r>
      <w:r>
        <w:t xml:space="preserve">N+1 (IT UPS, generators, transformers, chillers)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Cooling redundancy:</w:t>
      </w:r>
      <w:r>
        <w:t xml:space="preserve"> </w:t>
      </w:r>
      <w:r>
        <w:t xml:space="preserve">N+N (air cooling loops - Loop 1 + Loop 2 independent)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Concurrent Maintainability:</w:t>
      </w:r>
      <w:r>
        <w:t xml:space="preserve"> </w:t>
      </w:r>
      <w:r>
        <w:t xml:space="preserve">All systems serviceable without IT interruption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Zero Single Points of Failure:</w:t>
      </w:r>
      <w:r>
        <w:t xml:space="preserve"> </w:t>
      </w:r>
      <w:r>
        <w:t xml:space="preserve">From 138 kV utility to cabinet-level distribution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Uptime:</w:t>
      </w:r>
      <w:r>
        <w:t xml:space="preserve"> </w:t>
      </w:r>
      <w:r>
        <w:t xml:space="preserve">Tier III-equivalent (99.982% = 1.6 hours downtime/year)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DCIM with BMS and EPMS integration</w:t>
      </w:r>
    </w:p>
    <w:p>
      <w:r>
        <w:pict>
          <v:rect style="width:0;height:1.5pt" o:hralign="center" o:hrstd="t" o:hr="t"/>
        </w:pict>
      </w:r>
    </w:p>
    <w:bookmarkEnd w:id="19"/>
    <w:bookmarkStart w:id="20" w:name="phasing-strategy"/>
    <w:p>
      <w:pPr>
        <w:pStyle w:val="Heading3"/>
      </w:pPr>
      <w:r>
        <w:rPr>
          <w:b/>
          <w:bCs/>
        </w:rPr>
        <w:t xml:space="preserve">PHASING STRATEGY</w:t>
      </w:r>
    </w:p>
    <w:p>
      <w:pPr>
        <w:pStyle w:val="FirstParagraph"/>
      </w:pPr>
      <w:r>
        <w:rPr>
          <w:b/>
          <w:bCs/>
        </w:rPr>
        <w:t xml:space="preserve">Phase 1: Foundation Operations (3 MW)</w:t>
      </w:r>
      <w:r>
        <w:t xml:space="preserve"> </w:t>
      </w:r>
      <w:r>
        <w:t xml:space="preserve">- Data Hall 1 operational: 30 cabinets @ 100 kW each</w:t>
      </w:r>
      <w:r>
        <w:t xml:space="preserve"> </w:t>
      </w:r>
      <w:r>
        <w:t xml:space="preserve">- Air cooling: Loops 1+2 (4 chillers, N+1)</w:t>
      </w:r>
      <w:r>
        <w:t xml:space="preserve"> </w:t>
      </w:r>
      <w:r>
        <w:t xml:space="preserve">- Power: 3 generators, 3 transformers, 4 IT UPS, 8 mechanical UPS</w:t>
      </w:r>
      <w:r>
        <w:t xml:space="preserve"> </w:t>
      </w:r>
      <w:r>
        <w:t xml:space="preserve">- Data Hall 2: Built as powered shell</w:t>
      </w:r>
      <w:r>
        <w:t xml:space="preserve"> </w:t>
      </w:r>
      <w:r>
        <w:t xml:space="preserve">- Timeline: [ROM] 18-24 months</w:t>
      </w:r>
      <w:r>
        <w:t xml:space="preserve"> </w:t>
      </w:r>
      <w:r>
        <w:t xml:space="preserve">- Cost: [ROM] $34-41M</w:t>
      </w:r>
    </w:p>
    <w:p>
      <w:pPr>
        <w:pStyle w:val="BodyText"/>
      </w:pPr>
      <w:r>
        <w:rPr>
          <w:b/>
          <w:bCs/>
        </w:rPr>
        <w:t xml:space="preserve">Phase 2: High-Density Expansion (12 MW)</w:t>
      </w:r>
      <w:r>
        <w:t xml:space="preserve"> </w:t>
      </w:r>
      <w:r>
        <w:t xml:space="preserve">- Same 30 cabinets: Upgrade to 400 kW (100 kW air + 300 kW D2C)</w:t>
      </w:r>
      <w:r>
        <w:t xml:space="preserve"> </w:t>
      </w:r>
      <w:r>
        <w:t xml:space="preserve">- D2C cooling: Loop 3 (8 chillers, 60 CDUs, independent from air cooling)</w:t>
      </w:r>
      <w:r>
        <w:t xml:space="preserve"> </w:t>
      </w:r>
      <w:r>
        <w:t xml:space="preserve">- Power: Add 3 generators, 5 transformers, 6 IT UPS, 12 mechanical UPS</w:t>
      </w:r>
      <w:r>
        <w:t xml:space="preserve"> </w:t>
      </w:r>
      <w:r>
        <w:t xml:space="preserve">- Zero-downtime implementation</w:t>
      </w:r>
      <w:r>
        <w:t xml:space="preserve"> </w:t>
      </w:r>
      <w:r>
        <w:t xml:space="preserve">- Timeline: [ROM] 12-15 months</w:t>
      </w:r>
      <w:r>
        <w:t xml:space="preserve"> </w:t>
      </w:r>
      <w:r>
        <w:t xml:space="preserve">- Cost: [ROM] $27-34M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9" w:name="csi-masterformat-outline"/>
    <w:p>
      <w:pPr>
        <w:pStyle w:val="Heading2"/>
      </w:pPr>
      <w:r>
        <w:t xml:space="preserve">CSI MASTERFORMAT OUTLINE</w:t>
      </w:r>
    </w:p>
    <w:bookmarkStart w:id="23" w:name="X5c1a620da44c9e81a34f4a5d8aa14655a3562c5"/>
    <w:p>
      <w:pPr>
        <w:pStyle w:val="Heading3"/>
      </w:pPr>
      <w:r>
        <w:rPr>
          <w:b/>
          <w:bCs/>
        </w:rPr>
        <w:t xml:space="preserve">PROCUREMENT AND CONTRACTING REQUIREMENTS GROUP</w:t>
      </w:r>
    </w:p>
    <w:bookmarkStart w:id="22" w:name="Xfb203960a49cf19c42245f26a7ffd5ebc3f4017"/>
    <w:p>
      <w:pPr>
        <w:pStyle w:val="Heading4"/>
      </w:pPr>
      <w:r>
        <w:rPr>
          <w:b/>
          <w:bCs/>
        </w:rPr>
        <w:t xml:space="preserve">Division 00 – Procurement and Contracting Requirements</w:t>
      </w:r>
    </w:p>
    <w:p>
      <w:pPr>
        <w:pStyle w:val="FirstParagraph"/>
      </w:pPr>
      <w:r>
        <w:t xml:space="preserve">See: [[Saga Pryor DC/Basis of Design/Erik_BOD_Updated/0BOD - Procurement &amp; Contracting (CSI Div 00)]]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Delivery Method:</w:t>
      </w:r>
      <w:r>
        <w:t xml:space="preserve"> </w:t>
      </w:r>
      <w:r>
        <w:t xml:space="preserve">Design-Build (DB) with Guaranteed Maximum Price (GMP)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Procurement Strategy:</w:t>
      </w:r>
      <w:r>
        <w:t xml:space="preserve"> </w:t>
      </w:r>
      <w:r>
        <w:t xml:space="preserve">Phased RFP process with early long-lead equipment orders (switchgear, UPS, generators, chillers)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Vendor Selection:</w:t>
      </w:r>
      <w:r>
        <w:t xml:space="preserve"> </w:t>
      </w:r>
      <w:r>
        <w:t xml:space="preserve">Tier 1 vendors only; pre-qualification based on data center experience, financial stability, service network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Contract Structure:</w:t>
      </w:r>
      <w:r>
        <w:t xml:space="preserve"> </w:t>
      </w:r>
      <w:r>
        <w:t xml:space="preserve">GMP with performance guarantees (PUE ≤ 1.4, Tier III uptime, 3 MW capacity)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Risk Allocation:</w:t>
      </w:r>
      <w:r>
        <w:t xml:space="preserve"> </w:t>
      </w:r>
      <w:r>
        <w:t xml:space="preserve">Design-builder assumes design/construction risk; owner retains site conditions and utility coordination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Schedule:</w:t>
      </w:r>
      <w:r>
        <w:t xml:space="preserve"> </w:t>
      </w:r>
      <w:r>
        <w:t xml:space="preserve">24-month fast-track timeline from design kickoff to final completion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Budget:</w:t>
      </w:r>
      <w:r>
        <w:t xml:space="preserve"> </w:t>
      </w:r>
      <w:r>
        <w:t xml:space="preserve">~$34-41M total project cost (3 MW Phase 1); $11.3-13.7M per MW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Assurance:</w:t>
      </w:r>
      <w:r>
        <w:t xml:space="preserve"> </w:t>
      </w:r>
      <w:r>
        <w:t xml:space="preserve">Independent CxA, factory acceptance tests, third-party material testing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specifications-group"/>
    <w:p>
      <w:pPr>
        <w:pStyle w:val="Heading3"/>
      </w:pPr>
      <w:r>
        <w:rPr>
          <w:b/>
          <w:bCs/>
        </w:rPr>
        <w:t xml:space="preserve">SPECIFICATIONS GROUP</w:t>
      </w:r>
    </w:p>
    <w:bookmarkStart w:id="24" w:name="general-requirements-subgroup"/>
    <w:p>
      <w:pPr>
        <w:pStyle w:val="Heading4"/>
      </w:pPr>
      <w:r>
        <w:rPr>
          <w:b/>
          <w:bCs/>
        </w:rPr>
        <w:t xml:space="preserve">GENERAL REQUIREMENTS SUBGROUP</w:t>
      </w:r>
    </w:p>
    <w:p>
      <w:pPr>
        <w:pStyle w:val="FirstParagraph"/>
      </w:pPr>
      <w:r>
        <w:rPr>
          <w:b/>
          <w:bCs/>
        </w:rPr>
        <w:t xml:space="preserve">Division 01 – General Requirements</w:t>
      </w:r>
    </w:p>
    <w:p>
      <w:pPr>
        <w:pStyle w:val="BodyText"/>
      </w:pPr>
      <w:r>
        <w:t xml:space="preserve">See: [[Saga Pryor DC/Basis of Design/Erik_BOD_Updated/1BOD - General Requirements (CSI Div 01)]]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Project Coordination:</w:t>
      </w:r>
      <w:r>
        <w:t xml:space="preserve"> </w:t>
      </w:r>
      <w:r>
        <w:t xml:space="preserve">BIM-based design (LOD 400); weekly OAC meetings; design-assist from key subcontractors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Submittals:</w:t>
      </w:r>
      <w:r>
        <w:t xml:space="preserve"> </w:t>
      </w:r>
      <w:r>
        <w:t xml:space="preserve">Tiered review process (Tier 1: switchgear, UPS, generators, chillers require owner + engineer + CxA review)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Control:</w:t>
      </w:r>
      <w:r>
        <w:t xml:space="preserve"> </w:t>
      </w:r>
      <w:r>
        <w:t xml:space="preserve">3rd-party testing for concrete, soil, fireproofing, electrical thermography; NETA acceptance testing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Commissioning:</w:t>
      </w:r>
      <w:r>
        <w:t xml:space="preserve"> </w:t>
      </w:r>
      <w:r>
        <w:t xml:space="preserve">ASHRAE Guideline 0 + Uptime Tier III; independent CxA; Integrated Systems Test (IST) with simulated failures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Training:</w:t>
      </w:r>
      <w:r>
        <w:t xml:space="preserve"> </w:t>
      </w:r>
      <w:r>
        <w:t xml:space="preserve">40+ hours hands-on training across all critical systems (electrical, mechanical, BMS, fire, security)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Closeout:</w:t>
      </w:r>
      <w:r>
        <w:t xml:space="preserve"> </w:t>
      </w:r>
      <w:r>
        <w:t xml:space="preserve">As-built drawings (CAD/BIM + PDF), O&amp;M manuals (hard copy + digital), warranty register, test reports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Testing:</w:t>
      </w:r>
      <w:r>
        <w:t xml:space="preserve"> </w:t>
      </w:r>
      <w:r>
        <w:t xml:space="preserve">Load bank testing for generators (100% load, 4 hours) and UPS (100% load, 2 hours)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Regulatory:</w:t>
      </w:r>
      <w:r>
        <w:t xml:space="preserve"> </w:t>
      </w:r>
      <w:r>
        <w:t xml:space="preserve">Building permits, utility coordination, environmental permits (SWPPP, SPCC), code compliance (IBC 2018/2021, NEC 2020/2023)</w:t>
      </w:r>
    </w:p>
    <w:p>
      <w:r>
        <w:pict>
          <v:rect style="width:0;height:1.5pt" o:hralign="center" o:hrstd="t" o:hr="t"/>
        </w:pict>
      </w:r>
    </w:p>
    <w:bookmarkEnd w:id="24"/>
    <w:bookmarkStart w:id="25" w:name="facility-construction-subgroup"/>
    <w:p>
      <w:pPr>
        <w:pStyle w:val="Heading4"/>
      </w:pPr>
      <w:r>
        <w:rPr>
          <w:b/>
          <w:bCs/>
        </w:rPr>
        <w:t xml:space="preserve">FACILITY CONSTRUCTION SUBGROUP</w:t>
      </w:r>
    </w:p>
    <w:p>
      <w:pPr>
        <w:pStyle w:val="FirstParagraph"/>
      </w:pPr>
      <w:r>
        <w:t xml:space="preserve">See: [[Saga Pryor DC/Basis of Design/Erik_BOD_Updated/2BOD - Facility Construction (CSI Divs 02-14)]]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02 (Existing Conditions):</w:t>
      </w:r>
      <w:r>
        <w:t xml:space="preserve"> </w:t>
      </w:r>
      <w:r>
        <w:t xml:space="preserve">Greenfield site; clearing, grubbing, erosion control per SWPPP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03 (Concrete):</w:t>
      </w:r>
      <w:r>
        <w:t xml:space="preserve"> </w:t>
      </w:r>
      <w:r>
        <w:t xml:space="preserve">- Foundation: Spread footings below frost line (18-24”); bearing capacity TBD per geotech</w:t>
      </w:r>
      <w:r>
        <w:t xml:space="preserve"> </w:t>
      </w:r>
      <w:r>
        <w:t xml:space="preserve">- Data hall slab: 6-8” reinforced concrete, 4,000 PSI, FF 50 / FL 40 flatness, densifier/sealer finish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rack floor load:</w:t>
      </w:r>
      <w:r>
        <w:t xml:space="preserve"> </w:t>
      </w:r>
      <w:r>
        <w:t xml:space="preserve">750 PSF sustained (supports 3,500 lb racks like NVIDIA GB200 NVL72)</w:t>
      </w:r>
      <w:r>
        <w:t xml:space="preserve"> </w:t>
      </w:r>
      <w:r>
        <w:t xml:space="preserve">- Equipment pads: Isolated pads for chillers/generators; oil containment for transformers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04 (Masonry):</w:t>
      </w:r>
      <w:r>
        <w:t xml:space="preserve"> </w:t>
      </w:r>
      <w:r>
        <w:t xml:space="preserve">Not applicable (precast tilt-up construction)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05 (Metals):</w:t>
      </w:r>
      <w:r>
        <w:t xml:space="preserve"> </w:t>
      </w:r>
      <w:r>
        <w:t xml:space="preserve">Clear-span steel joists/beams (28-30 ft height); seismic IBC Category B; cable tray trapeze hangers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07 (Thermal/Moisture Protection):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Precast tilt-up walls:</w:t>
      </w:r>
      <w:r>
        <w:t xml:space="preserve"> </w:t>
      </w:r>
      <w:r>
        <w:t xml:space="preserve">8-10” panels with R-19 insulation sandwich; tornado resistance (EF3+); 50+ year lifespan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FM 1-150 roof:</w:t>
      </w:r>
      <w:r>
        <w:t xml:space="preserve"> </w:t>
      </w:r>
      <w:r>
        <w:t xml:space="preserve">150 mph wind, Class 4 hail, fire-rated; TPO/EPDM fully adhered; storm-rated debris protection; premium: ~$500-800K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premium:</w:t>
      </w:r>
      <w:r>
        <w:t xml:space="preserve"> </w:t>
      </w:r>
      <w:r>
        <w:t xml:space="preserve">Precast ~$1.3-2.0M more than PEMB; offset by insurance savings ($200-300K/year)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08 (Openings):</w:t>
      </w:r>
      <w:r>
        <w:t xml:space="preserve"> </w:t>
      </w:r>
      <w:r>
        <w:t xml:space="preserve">Security mantrap; data hall doors (at least two 10 ft H × 8 ft W double doors per hall for large equipment, other doors 4 ft single; card + biometric); loading dock; no windows in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09 (Finishes):</w:t>
      </w:r>
      <w:r>
        <w:t xml:space="preserve"> </w:t>
      </w:r>
      <w:r>
        <w:t xml:space="preserve">Sealed concrete floors, painted gypsum walls, exposed MEP ceiling in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13 (Special Construction):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FEMA 361 storm shelter/safe room:</w:t>
      </w:r>
      <w:r>
        <w:t xml:space="preserve"> </w:t>
      </w:r>
      <w:r>
        <w:t xml:space="preserve">Prefabricated module, 20 person capacity, located Level 1 adjacent to elevator, EF5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Division 14 (Conveying Equipment):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Elevator:</w:t>
      </w:r>
      <w:r>
        <w:t xml:space="preserve"> </w:t>
      </w:r>
      <w:r>
        <w:t xml:space="preserve">4-stop (Level 1/2/3/Roof), 2,500-3,500 lb capacity, hydraulic or traction, weather-protected roof access with overhang</w:t>
      </w:r>
    </w:p>
    <w:p>
      <w:r>
        <w:pict>
          <v:rect style="width:0;height:1.5pt" o:hralign="center" o:hrstd="t" o:hr="t"/>
        </w:pict>
      </w:r>
    </w:p>
    <w:bookmarkEnd w:id="25"/>
    <w:bookmarkStart w:id="26" w:name="facility-services-subgroup"/>
    <w:p>
      <w:pPr>
        <w:pStyle w:val="Heading4"/>
      </w:pPr>
      <w:r>
        <w:rPr>
          <w:b/>
          <w:bCs/>
        </w:rPr>
        <w:t xml:space="preserve">FACILITY SERVICES SUBGROUP</w:t>
      </w:r>
    </w:p>
    <w:p>
      <w:pPr>
        <w:pStyle w:val="FirstParagraph"/>
      </w:pPr>
      <w:r>
        <w:rPr>
          <w:b/>
          <w:bCs/>
        </w:rPr>
        <w:t xml:space="preserve">Division 21 – Fire Suppression</w:t>
      </w:r>
    </w:p>
    <w:p>
      <w:pPr>
        <w:pStyle w:val="BodyText"/>
      </w:pPr>
      <w:r>
        <w:t xml:space="preserve">See: [[Saga Pryor DC/Basis of Design/Erik_BOD_Updated/3BOD - Fire Suppression (CSI Div 21)]]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halls:</w:t>
      </w:r>
      <w:r>
        <w:t xml:space="preserve"> </w:t>
      </w:r>
      <w:r>
        <w:t xml:space="preserve">Pre-action sprinkler (NFPA 13) with VESDA early warning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Prefabricated PDMs (UPS/Electrical):</w:t>
      </w:r>
      <w:r>
        <w:t xml:space="preserve"> </w:t>
      </w:r>
      <w:r>
        <w:t xml:space="preserve">Integrated clean agent suppression (FM-200/Novec 1230) in PDM enclosures per NFPA 2001</w:t>
      </w:r>
      <w:r>
        <w:t xml:space="preserve"> </w:t>
      </w:r>
      <w:r>
        <w:t xml:space="preserve">- UPS systems housed in outdoor prefabricated PDMs, not interior rooms</w:t>
      </w:r>
      <w:r>
        <w:t xml:space="preserve"> </w:t>
      </w:r>
      <w:r>
        <w:t xml:space="preserve">- Maximizes building interior space for IT equipment</w:t>
      </w:r>
      <w:r>
        <w:t xml:space="preserve"> </w:t>
      </w:r>
      <w:r>
        <w:t xml:space="preserve">- Factory-tested fire suppression systems for rapid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Electrical/Mechanical rooms (interior):</w:t>
      </w:r>
      <w:r>
        <w:t xml:space="preserve"> </w:t>
      </w:r>
      <w:r>
        <w:t xml:space="preserve">Dry-pipe sprinkler or clean agent (if required)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Support spaces:</w:t>
      </w:r>
      <w:r>
        <w:t xml:space="preserve"> </w:t>
      </w:r>
      <w:r>
        <w:t xml:space="preserve">Wet-pipe sprinkler (offices, NOC, corridors)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Detection:</w:t>
      </w:r>
      <w:r>
        <w:t xml:space="preserve"> </w:t>
      </w:r>
      <w:r>
        <w:t xml:space="preserve">VESDA aspirating smoke detection in data halls; conventional smoke/heat in support spaces and PDMs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Suppression integration:</w:t>
      </w:r>
      <w:r>
        <w:t xml:space="preserve"> </w:t>
      </w:r>
      <w:r>
        <w:t xml:space="preserve">BMS lockouts (HVAC shutdown, damper closure) on alarm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Testing:</w:t>
      </w:r>
      <w:r>
        <w:t xml:space="preserve"> </w:t>
      </w:r>
      <w:r>
        <w:t xml:space="preserve">Pre-action system acceptance test, clean agent discharge test (simulated), PDM integrated suppression verification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Division 22 – Plumbing</w:t>
      </w:r>
    </w:p>
    <w:p>
      <w:pPr>
        <w:pStyle w:val="BodyText"/>
      </w:pPr>
      <w:r>
        <w:t xml:space="preserve">See: [[Saga Pryor DC/Basis of Design/Erik_BOD_Updated/4BOD - Plumbing (CSI Div 22)]]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Domestic water:</w:t>
      </w:r>
      <w:r>
        <w:t xml:space="preserve"> </w:t>
      </w:r>
      <w:r>
        <w:t xml:space="preserve">Municipal or well supply; 500-1,000 GPD usage (restrooms, kitchen, emergency eyewash)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Sanitary sewer:</w:t>
      </w:r>
      <w:r>
        <w:t xml:space="preserve"> </w:t>
      </w:r>
      <w:r>
        <w:t xml:space="preserve">Municipal connection or on-site septic (if required)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Chilled water:</w:t>
      </w:r>
      <w:r>
        <w:t xml:space="preserve"> </w:t>
      </w:r>
      <w:r>
        <w:t xml:space="preserve">Closed-loop glycol systems (Loops 1, 2, 3); no cross-connection with domestic water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Water efficiency:</w:t>
      </w:r>
      <w:r>
        <w:t xml:space="preserve"> </w:t>
      </w:r>
      <w:r>
        <w:t xml:space="preserve">Low-flow fixtures (1.5 GPM faucets, 1.28 GPF toilets); ADA-compliant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Backflow prevention:</w:t>
      </w:r>
      <w:r>
        <w:t xml:space="preserve"> </w:t>
      </w:r>
      <w:r>
        <w:t xml:space="preserve">RPZ backflow preventers on all water service connections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Emergency fixtures:</w:t>
      </w:r>
      <w:r>
        <w:t xml:space="preserve"> </w:t>
      </w:r>
      <w:r>
        <w:t xml:space="preserve">Eyewash/shower stations in electrical and mechanical rooms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Leak detection:</w:t>
      </w:r>
      <w:r>
        <w:t xml:space="preserve"> </w:t>
      </w:r>
      <w:r>
        <w:t xml:space="preserve">Under-floor leak detection in data halls (if applicable); BMS-monitored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Division 23 – HVAC</w:t>
      </w:r>
    </w:p>
    <w:p>
      <w:pPr>
        <w:pStyle w:val="BodyText"/>
      </w:pPr>
      <w:r>
        <w:t xml:space="preserve">See: [[Saga Pryor DC/Basis of Design/Erik_BOD_Updated/5BOD - HVAC (CSI Div 23)]]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1 (Air Cooling):</w:t>
      </w:r>
      <w:r>
        <w:t xml:space="preserve"> </w:t>
      </w:r>
      <w:r>
        <w:t xml:space="preserve">- IT load: 3,000 kW (30 cabinets @ 100 kW)</w:t>
      </w:r>
      <w:r>
        <w:t xml:space="preserve"> </w:t>
      </w:r>
      <w:r>
        <w:t xml:space="preserve">- Cabinet FCUs: 100 kW capacity each (dual coils: 50 kW Loop 1 + 50 kW Loop 2)</w:t>
      </w:r>
      <w:r>
        <w:t xml:space="preserve"> </w:t>
      </w:r>
      <w:r>
        <w:t xml:space="preserve">- Chillers: 4 × 1,500 kW air-cooled (N+1 redundancy, shared plant for Loops 1+2)</w:t>
      </w:r>
      <w:r>
        <w:t xml:space="preserve"> </w:t>
      </w:r>
      <w:r>
        <w:t xml:space="preserve">- Supply temp: 7-10°C; COP: 3.8-4.2 (mechanical), 15-25 (free cooling)</w:t>
      </w:r>
      <w:r>
        <w:t xml:space="preserve"> </w:t>
      </w:r>
      <w:r>
        <w:t xml:space="preserve">- Free cooling: ~3,500-4,000 hours/year (Oklahoma climate)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 (Air + D2C Cooling):</w:t>
      </w:r>
      <w:r>
        <w:t xml:space="preserve"> </w:t>
      </w:r>
      <w:r>
        <w:t xml:space="preserve">- IT load: 12,000 kW (30 cabinets @ 400 kW: 100 kW air + 300 kW D2C per cabinet)</w:t>
      </w:r>
      <w:r>
        <w:t xml:space="preserve"> </w:t>
      </w:r>
      <w:r>
        <w:t xml:space="preserve">- Air cooling: Same 4 chillers (Loops 1+2, 3,000 kW unchanged)</w:t>
      </w:r>
      <w:r>
        <w:t xml:space="preserve"> </w:t>
      </w:r>
      <w:r>
        <w:t xml:space="preserve">- D2C cooling: 8 × 1,500 kW air-cooled chillers (Loop 3 independent, N+1)</w:t>
      </w:r>
      <w:r>
        <w:t xml:space="preserve"> </w:t>
      </w:r>
      <w:r>
        <w:t xml:space="preserve">- CDUs: 60 × 300 kW units (2 per cabinet for A/B redundancy)</w:t>
      </w:r>
      <w:r>
        <w:t xml:space="preserve"> </w:t>
      </w:r>
      <w:r>
        <w:t xml:space="preserve">- Supply temp: 25°C; COP: 5.0-5.5 (higher efficiency than air cooling)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 water strategy:</w:t>
      </w:r>
      <w:r>
        <w:t xml:space="preserve"> </w:t>
      </w:r>
      <w:r>
        <w:t xml:space="preserve">No evaporative cooling; closed-loop glycol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Building HVAC:</w:t>
      </w:r>
      <w:r>
        <w:t xml:space="preserve"> </w:t>
      </w:r>
      <w:r>
        <w:t xml:space="preserve">Rooftop units (RTUs) for offices, NOC, support spaces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Containment:</w:t>
      </w:r>
      <w:r>
        <w:t xml:space="preserve"> </w:t>
      </w:r>
      <w:r>
        <w:t xml:space="preserve">Cold aisle containment with doors (48” cold aisles, 60” hot aisles)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Controls:</w:t>
      </w:r>
      <w:r>
        <w:t xml:space="preserve"> </w:t>
      </w:r>
      <w:r>
        <w:t xml:space="preserve">BMS integration with DCIM; temperature/humidity monitoring; alarm escalation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Division 25 – Integrated Automation</w:t>
      </w:r>
    </w:p>
    <w:p>
      <w:pPr>
        <w:pStyle w:val="BodyText"/>
      </w:pPr>
      <w:r>
        <w:t xml:space="preserve">See: [[Saga Pryor DC/Basis of Design/Erik_BOD_Updated/6BOD - Integrated Automation (CSI Div 25)]]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Building Management System (BMS):</w:t>
      </w:r>
      <w:r>
        <w:t xml:space="preserve"> </w:t>
      </w:r>
      <w:r>
        <w:t xml:space="preserve">Schneider Electric EcoStruxure or Johnson Controls Metasys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Electrical Power Monitoring System (EPMS):</w:t>
      </w:r>
      <w:r>
        <w:t xml:space="preserve"> </w:t>
      </w:r>
      <w:r>
        <w:t xml:space="preserve">Schneider Electric PowerLogic or Vertiv Trellis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Center Infrastructure Management (DCIM):</w:t>
      </w:r>
      <w:r>
        <w:t xml:space="preserve"> </w:t>
      </w:r>
      <w:r>
        <w:t xml:space="preserve">Schneider StruxureWare or Nlyte/Sunbird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Integration:</w:t>
      </w:r>
      <w:r>
        <w:t xml:space="preserve"> </w:t>
      </w:r>
      <w:r>
        <w:t xml:space="preserve">BACnet and Modbus protocols; unified dashboard for mechanical, electrical,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Monitoring:</w:t>
      </w:r>
      <w:r>
        <w:t xml:space="preserve"> </w:t>
      </w:r>
      <w:r>
        <w:t xml:space="preserve">Real-time PUE, temperature/humidity, power consumption (cabinet-level metering)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Alarms:</w:t>
      </w:r>
      <w:r>
        <w:t xml:space="preserve"> </w:t>
      </w:r>
      <w:r>
        <w:t xml:space="preserve">Multi-tier escalation (SMS, email, SNMP traps); integration with NOC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Trending:</w:t>
      </w:r>
      <w:r>
        <w:t xml:space="preserve"> </w:t>
      </w:r>
      <w:r>
        <w:t xml:space="preserve">Historical data retention (5+ years); energy analytics and capacity planning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Remote access:</w:t>
      </w:r>
      <w:r>
        <w:t xml:space="preserve"> </w:t>
      </w:r>
      <w:r>
        <w:t xml:space="preserve">Secure VPN or cloud-based access for remote troubleshooting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Division 26 – Electrical</w:t>
      </w:r>
    </w:p>
    <w:p>
      <w:pPr>
        <w:pStyle w:val="BodyText"/>
      </w:pPr>
      <w:r>
        <w:t xml:space="preserve">See: [[Saga Pryor DC/Basis of Design/Erik_BOD_Updated/7BOD - Electrical (CSI Div 26)]]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Utility service:</w:t>
      </w:r>
      <w:r>
        <w:t xml:space="preserve"> </w:t>
      </w:r>
      <w:r>
        <w:t xml:space="preserve">138 kV transmission → 2 × 25 MVA transformers (138kV/11kV) → 11 kV common bus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MV distribution:</w:t>
      </w:r>
      <w:r>
        <w:t xml:space="preserve"> </w:t>
      </w:r>
      <w:r>
        <w:t xml:space="preserve">11 kV self-healing dual-ring topology via 6 RMUs (Ring A + Ring B) with automated SCADA switching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Generators:</w:t>
      </w:r>
      <w:r>
        <w:t xml:space="preserve"> </w:t>
      </w:r>
      <w:r>
        <w:t xml:space="preserve">6 × 4.0 MW @ 11 kV diesel (N+1); Tier 4 Final emissions; ~2,000 gal belly tanks + central bulk fuel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Transformers:</w:t>
      </w:r>
      <w:r>
        <w:t xml:space="preserve"> </w:t>
      </w:r>
      <w:r>
        <w:t xml:space="preserve">8 × 3,500 kVA (11 kV/480V) oil-filled (N+1 with concurrent maintainability)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 UPS:</w:t>
      </w:r>
      <w:r>
        <w:t xml:space="preserve"> </w:t>
      </w:r>
      <w:r>
        <w:t xml:space="preserve">N+1 modular architecture; Phase 1: 5-6 × 1,250 kVA (4-5 running, 1 standby); Phase 2: 13-15 × 1,250 kVA (12-13 running, 1-2 standby)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UPS batteries:</w:t>
      </w:r>
      <w:r>
        <w:t xml:space="preserve"> </w:t>
      </w:r>
      <w:r>
        <w:t xml:space="preserve">5-minute runtime maximum; Lithium-ion preferred (longer life, smaller footprint)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Mechanical UPS:</w:t>
      </w:r>
      <w:r>
        <w:t xml:space="preserve"> </w:t>
      </w:r>
      <w:r>
        <w:t xml:space="preserve">N+1 for pumps/fans; Phase 1: 8 × 250 kW; Phase 2: 20 × 250 kW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LV distribution:</w:t>
      </w:r>
      <w:r>
        <w:t xml:space="preserve"> </w:t>
      </w:r>
      <w:r>
        <w:t xml:space="preserve">Dual switchboards (SWBD-A/B) fed from different MV ring segments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Cabinet power:</w:t>
      </w:r>
      <w:r>
        <w:t xml:space="preserve"> </w:t>
      </w:r>
      <w:r>
        <w:t xml:space="preserve">Dual PDUs fed from different 480V distribution panels; Phase 1: 2 × 50 kW; Phase 2: 2 × 200 kW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Prefabricated PDMs:</w:t>
      </w:r>
      <w:r>
        <w:t xml:space="preserve"> </w:t>
      </w:r>
      <w:r>
        <w:t xml:space="preserve">2 units housing LV switchboards, UPS, MV gear for rapid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 compliance:</w:t>
      </w:r>
      <w:r>
        <w:t xml:space="preserve"> </w:t>
      </w:r>
      <w:r>
        <w:t xml:space="preserve">NEC 2023; arc flash studies; NETA acceptance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Division 27 – Communications</w:t>
      </w:r>
    </w:p>
    <w:p>
      <w:pPr>
        <w:pStyle w:val="BodyText"/>
      </w:pPr>
      <w:r>
        <w:t xml:space="preserve">See: [[Saga Pryor DC/Basis of Design/Erik_BOD_Updated/8BOD - Communications (CSI Div 27)]]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Fiber entrance:</w:t>
      </w:r>
      <w:r>
        <w:t xml:space="preserve"> </w:t>
      </w:r>
      <w:r>
        <w:t xml:space="preserve">2 × geographically diverse MPOEs (Main Points of Entry)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Meet-me rooms (MMRs):</w:t>
      </w:r>
      <w:r>
        <w:t xml:space="preserve"> </w:t>
      </w:r>
      <w:r>
        <w:t xml:space="preserve">2 × carrier-neutral cross-connect rooms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Pathways:</w:t>
      </w:r>
      <w:r>
        <w:t xml:space="preserve"> </w:t>
      </w:r>
      <w:r>
        <w:t xml:space="preserve">Underground ductbank to property line; 4” conduits with pull rope; fiber hand-off terminations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Backbone cabling:</w:t>
      </w:r>
      <w:r>
        <w:t xml:space="preserve"> </w:t>
      </w:r>
      <w:r>
        <w:t xml:space="preserve">Single-mode fiber (OS2) between MMRs and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Horizontal cabling:</w:t>
      </w:r>
      <w:r>
        <w:t xml:space="preserve"> </w:t>
      </w:r>
      <w:r>
        <w:t xml:space="preserve">Overhead cable tray; separation from power cables per TIA-942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Grounding:</w:t>
      </w:r>
      <w:r>
        <w:t xml:space="preserve"> </w:t>
      </w:r>
      <w:r>
        <w:t xml:space="preserve">Telecommunication grounding busbar (TGB); bonding to building ground grid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Labeling:</w:t>
      </w:r>
      <w:r>
        <w:t xml:space="preserve"> </w:t>
      </w:r>
      <w:r>
        <w:t xml:space="preserve">Cable IDs at 10 ft intervals, both termination points, all junction boxes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Testing:</w:t>
      </w:r>
      <w:r>
        <w:t xml:space="preserve"> </w:t>
      </w:r>
      <w:r>
        <w:t xml:space="preserve">Fiber OTDR testing; certification reports for all fiber runs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Division 28 – Electronic Safety and Security</w:t>
      </w:r>
    </w:p>
    <w:p>
      <w:pPr>
        <w:pStyle w:val="BodyText"/>
      </w:pPr>
      <w:r>
        <w:t xml:space="preserve">See: [[Saga Pryor DC/Basis of Design/Erik_BOD_Updated/9BOD - Electronic Safety and Security (CSI Div 28)]]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Perimeter security:</w:t>
      </w:r>
      <w:r>
        <w:t xml:space="preserve"> </w:t>
      </w:r>
      <w:r>
        <w:t xml:space="preserve">K-rated fence (8 ft height), dual gates with card readers, anti-ram barriers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control:</w:t>
      </w:r>
      <w:r>
        <w:t xml:space="preserve"> </w:t>
      </w:r>
      <w:r>
        <w:t xml:space="preserve">HID or Lenel system; card + biometric (two-factor) for data halls; badge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CCTV:</w:t>
      </w:r>
      <w:r>
        <w:t xml:space="preserve"> </w:t>
      </w:r>
      <w:r>
        <w:t xml:space="preserve">24/7 recording, 90-day retention; cameras at all doors, equipment yards, data halls; Axis or Hanwha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Intrusion detection:</w:t>
      </w:r>
      <w:r>
        <w:t xml:space="preserve"> </w:t>
      </w:r>
      <w:r>
        <w:t xml:space="preserve">Perimeter sensors, door contacts; monitored by NOC or security service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Visitor management:</w:t>
      </w:r>
      <w:r>
        <w:t xml:space="preserve"> </w:t>
      </w:r>
      <w:r>
        <w:t xml:space="preserve">Log-in/log-out kiosk; escort required in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Mantrap:</w:t>
      </w:r>
      <w:r>
        <w:t xml:space="preserve"> </w:t>
      </w:r>
      <w:r>
        <w:t xml:space="preserve">Double-door airlock at main entry; outer door must close before inner opens; fire override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Integration:</w:t>
      </w:r>
      <w:r>
        <w:t xml:space="preserve"> </w:t>
      </w:r>
      <w:r>
        <w:t xml:space="preserve">Access control and CCTV integrated with BMS; alarm escalation to NOC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Cybersecurity:</w:t>
      </w:r>
      <w:r>
        <w:t xml:space="preserve"> </w:t>
      </w:r>
      <w:r>
        <w:t xml:space="preserve">Segmented networks (IT, OT, security); firewall between BMS and corporate network</w:t>
      </w:r>
    </w:p>
    <w:p>
      <w:r>
        <w:pict>
          <v:rect style="width:0;height:1.5pt" o:hralign="center" o:hrstd="t" o:hr="t"/>
        </w:pict>
      </w:r>
    </w:p>
    <w:bookmarkEnd w:id="26"/>
    <w:bookmarkStart w:id="27" w:name="site-and-infrastructure-subgroup"/>
    <w:p>
      <w:pPr>
        <w:pStyle w:val="Heading4"/>
      </w:pPr>
      <w:r>
        <w:rPr>
          <w:b/>
          <w:bCs/>
        </w:rPr>
        <w:t xml:space="preserve">SITE AND INFRASTRUCTURE SUBGROUP</w:t>
      </w:r>
    </w:p>
    <w:p>
      <w:pPr>
        <w:pStyle w:val="FirstParagraph"/>
      </w:pPr>
      <w:r>
        <w:rPr>
          <w:b/>
          <w:bCs/>
        </w:rPr>
        <w:t xml:space="preserve">Divisions 31-32 – Site and Infrastructure</w:t>
      </w:r>
    </w:p>
    <w:p>
      <w:pPr>
        <w:pStyle w:val="BodyText"/>
      </w:pPr>
      <w:r>
        <w:t xml:space="preserve">See: [[Saga Pryor DC/Basis of Design/Erik_BOD_Updated/3BOD - Site &amp; Infrastructure (CSI Divs 31-32)]]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Site area:</w:t>
      </w:r>
      <w:r>
        <w:t xml:space="preserve"> </w:t>
      </w:r>
      <w:r>
        <w:t xml:space="preserve">20+ acres total; 50,000 GSF building footprint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Grading:</w:t>
      </w:r>
      <w:r>
        <w:t xml:space="preserve"> </w:t>
      </w:r>
      <w:r>
        <w:t xml:space="preserve">Cut/fill balance; positive drainage away from building; 2% min slope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Stormwater management:</w:t>
      </w:r>
      <w:r>
        <w:t xml:space="preserve"> </w:t>
      </w:r>
      <w:r>
        <w:t xml:space="preserve">Detention pond (100-year storm); SWPPP compliance (&gt;1 acre disturbance); Oklahoma DEQ permit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Paving:</w:t>
      </w:r>
      <w:r>
        <w:t xml:space="preserve"> </w:t>
      </w:r>
      <w:r>
        <w:t xml:space="preserve">Reinforced concrete (equipment yards, loading dock); asphalt (parking, drives); 8” base course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Utilities:</w:t>
      </w:r>
      <w:r>
        <w:t xml:space="preserve"> </w:t>
      </w:r>
      <w:r>
        <w:t xml:space="preserve">- Water: 6” main from municipal or well</w:t>
      </w:r>
      <w:r>
        <w:t xml:space="preserve"> </w:t>
      </w:r>
      <w:r>
        <w:t xml:space="preserve">- Sanitary: 8” gravity sewer to municipal or on-site septic</w:t>
      </w:r>
      <w:r>
        <w:t xml:space="preserve"> </w:t>
      </w:r>
      <w:r>
        <w:t xml:space="preserve">- Fiber: Dual diverse underground duct bank entries (4” conduits)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Equipment yards:</w:t>
      </w:r>
      <w:r>
        <w:t xml:space="preserve"> </w:t>
      </w:r>
      <w:r>
        <w:t xml:space="preserve">- Electrical: ~100,000 SF (generators, transformers, switchgear); sized for 24 MW master plan</w:t>
      </w:r>
      <w:r>
        <w:t xml:space="preserve"> </w:t>
      </w:r>
      <w:r>
        <w:t xml:space="preserve">- Mechanical: ~50,000 SF (chillers, cooling towers, pumps); sized for 12 chillers total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Fencing:</w:t>
      </w:r>
      <w:r>
        <w:t xml:space="preserve"> </w:t>
      </w:r>
      <w:r>
        <w:t xml:space="preserve">8 ft K-rated perimeter; controlled access gates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Landscaping:</w:t>
      </w:r>
      <w:r>
        <w:t xml:space="preserve"> </w:t>
      </w:r>
      <w:r>
        <w:t xml:space="preserve">Drought-tolerant native species; drip irrigation; minimal turf area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Site lighting:</w:t>
      </w:r>
      <w:r>
        <w:t xml:space="preserve"> </w:t>
      </w:r>
      <w:r>
        <w:t xml:space="preserve">LED (100%); photocell/time clock control; dark-sky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Fuel storage:</w:t>
      </w:r>
      <w:r>
        <w:t xml:space="preserve"> </w:t>
      </w:r>
      <w:r>
        <w:t xml:space="preserve">~2,000 gal belly tanks per generator connected via common manifold to centralized bulk fuel tank farm (~12,000 gal capacity for 24-hour runtime); redundant fuel service contracts; SPCC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access:</w:t>
      </w:r>
      <w:r>
        <w:t xml:space="preserve"> </w:t>
      </w:r>
      <w:r>
        <w:t xml:space="preserve">20 ft clear width; fire hydrants @ 500 ft spacing; fire lane striping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0" w:name="equipment-summary"/>
    <w:p>
      <w:pPr>
        <w:pStyle w:val="Heading2"/>
      </w:pPr>
      <w:r>
        <w:t xml:space="preserve">EQUIPMENT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t xml:space="preserve">Phase 1</w:t>
            </w:r>
          </w:p>
        </w:tc>
        <w:tc>
          <w:tcPr/>
          <w:p>
            <w:pPr>
              <w:pStyle w:val="Compact"/>
            </w:pPr>
            <w:r>
              <w:t xml:space="preserve">Phase 2 Add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Unit Size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Generators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4.0 MW @ 11 kV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Transformers (11kV/480V)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+5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3,500 kVA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Utility Xfmrs (if 34.5kV)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~20 MVA (34.5kV/11kV)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RMUs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11 kV, 630A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IT UPS</w:t>
            </w:r>
          </w:p>
        </w:tc>
        <w:tc>
          <w:tcPr/>
          <w:p>
            <w:pPr>
              <w:pStyle w:val="Compact"/>
            </w:pPr>
            <w:r>
              <w:t xml:space="preserve">5-6</w:t>
            </w:r>
          </w:p>
        </w:tc>
        <w:tc>
          <w:tcPr/>
          <w:p>
            <w:pPr>
              <w:pStyle w:val="Compact"/>
            </w:pPr>
            <w:r>
              <w:t xml:space="preserve">+8-9</w:t>
            </w:r>
          </w:p>
        </w:tc>
        <w:tc>
          <w:tcPr/>
          <w:p>
            <w:pPr>
              <w:pStyle w:val="Compact"/>
            </w:pPr>
            <w:r>
              <w:t xml:space="preserve">13-15</w:t>
            </w:r>
          </w:p>
        </w:tc>
        <w:tc>
          <w:tcPr/>
          <w:p>
            <w:pPr>
              <w:pStyle w:val="Compact"/>
            </w:pPr>
            <w:r>
              <w:t xml:space="preserve">1,250 kVA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Mech UPS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+12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250 kW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Chillers (Loops 1+2)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1,500 kW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Chillers (Loop 3)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1,500 kW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CDUs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300 kW each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Cabinets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DDC S-Series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PDUs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upgrade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50 kW → 200 kW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7" w:name="key-design-decisions"/>
    <w:p>
      <w:pPr>
        <w:pStyle w:val="Heading2"/>
      </w:pPr>
      <w:r>
        <w:t xml:space="preserve">KEY DESIGN DECISIONS</w:t>
      </w:r>
    </w:p>
    <w:bookmarkStart w:id="31" w:name="why-tilt-up-concrete-not-pemb"/>
    <w:p>
      <w:pPr>
        <w:pStyle w:val="Heading3"/>
      </w:pPr>
      <w:r>
        <w:rPr>
          <w:b/>
          <w:bCs/>
        </w:rPr>
        <w:t xml:space="preserve">Why Tilt-Up Concrete (Not PEMB)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Tornado resistance:</w:t>
      </w:r>
      <w:r>
        <w:t xml:space="preserve"> </w:t>
      </w:r>
      <w:r>
        <w:t xml:space="preserve">Pre-cast concrete withstands EF3-EF5 events better than steel framing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Insurance:</w:t>
      </w:r>
      <w:r>
        <w:t xml:space="preserve"> </w:t>
      </w:r>
      <w:r>
        <w:t xml:space="preserve">30-40% lower premiums vs. PEMB in Tornado Alley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Thermal mass:</w:t>
      </w:r>
      <w:r>
        <w:t xml:space="preserve"> </w:t>
      </w:r>
      <w:r>
        <w:t xml:space="preserve">Better temperature stability, reduces HVAC cycling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~$15-25/SF premium over PEMB, justified by insurance savings and resilience</w:t>
      </w:r>
    </w:p>
    <w:bookmarkEnd w:id="31"/>
    <w:bookmarkStart w:id="32" w:name="utility-voltage-options"/>
    <w:p>
      <w:pPr>
        <w:pStyle w:val="Heading3"/>
      </w:pPr>
      <w:r>
        <w:rPr>
          <w:b/>
          <w:bCs/>
        </w:rPr>
        <w:t xml:space="preserve">Utility Voltage Options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13.8 kV or 12.47 kV:</w:t>
      </w:r>
      <w:r>
        <w:t xml:space="preserve"> </w:t>
      </w:r>
      <w:r>
        <w:t xml:space="preserve">Direct connection to 11 kV generators and MV distribution (no step-down required)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34.5 kV:</w:t>
      </w:r>
      <w:r>
        <w:t xml:space="preserve"> </w:t>
      </w:r>
      <w:r>
        <w:t xml:space="preserve">Requires two 34.5kV/11kV step-down transformers (~20 MVA each, N-1 redundancy)</w:t>
      </w:r>
    </w:p>
    <w:p>
      <w:pPr>
        <w:pStyle w:val="Compact"/>
        <w:numPr>
          <w:ilvl w:val="1"/>
          <w:numId w:val="1021"/>
        </w:numPr>
      </w:pPr>
      <w:r>
        <w:t xml:space="preserve">Cost adder: ~$1.0-1.5M</w:t>
      </w:r>
    </w:p>
    <w:p>
      <w:pPr>
        <w:pStyle w:val="Compact"/>
        <w:numPr>
          <w:ilvl w:val="1"/>
          <w:numId w:val="1021"/>
        </w:numPr>
      </w:pPr>
      <w:r>
        <w:t xml:space="preserve">Benefits: Often lower utility rates, better stability on high-voltage transmission</w:t>
      </w:r>
    </w:p>
    <w:bookmarkEnd w:id="32"/>
    <w:bookmarkStart w:id="33" w:name="why-11-kv-generators-not-480v"/>
    <w:p>
      <w:pPr>
        <w:pStyle w:val="Heading3"/>
      </w:pPr>
      <w:r>
        <w:rPr>
          <w:b/>
          <w:bCs/>
        </w:rPr>
        <w:t xml:space="preserve">Why 11 kV Generators (Not 480V)</w:t>
      </w:r>
    </w:p>
    <w:p>
      <w:pPr>
        <w:pStyle w:val="Compact"/>
        <w:numPr>
          <w:ilvl w:val="0"/>
          <w:numId w:val="1022"/>
        </w:numPr>
      </w:pPr>
      <w:r>
        <w:t xml:space="preserve">Standard product availability (3-5 MW range)</w:t>
      </w:r>
    </w:p>
    <w:p>
      <w:pPr>
        <w:pStyle w:val="Compact"/>
        <w:numPr>
          <w:ilvl w:val="0"/>
          <w:numId w:val="1022"/>
        </w:numPr>
      </w:pPr>
      <w:r>
        <w:t xml:space="preserve">Cable sizing: 11 kV reduces current by 23×</w:t>
      </w:r>
    </w:p>
    <w:p>
      <w:pPr>
        <w:pStyle w:val="Compact"/>
        <w:numPr>
          <w:ilvl w:val="1"/>
          <w:numId w:val="1023"/>
        </w:numPr>
      </w:pPr>
      <w:r>
        <w:t xml:space="preserve">4 MW @ 480V = 8,333 A (requires 6 × 500 kcmil/phase)</w:t>
      </w:r>
    </w:p>
    <w:p>
      <w:pPr>
        <w:pStyle w:val="Compact"/>
        <w:numPr>
          <w:ilvl w:val="1"/>
          <w:numId w:val="1023"/>
        </w:numPr>
      </w:pPr>
      <w:r>
        <w:t xml:space="preserve">4 MW @ 11 kV = 364 A (requires 1 × 2/0/phase)</w:t>
      </w:r>
    </w:p>
    <w:p>
      <w:pPr>
        <w:pStyle w:val="Compact"/>
        <w:numPr>
          <w:ilvl w:val="0"/>
          <w:numId w:val="1022"/>
        </w:numPr>
      </w:pPr>
      <w:r>
        <w:t xml:space="preserve">Easier paralleling and lower I²R losses</w:t>
      </w:r>
    </w:p>
    <w:bookmarkEnd w:id="33"/>
    <w:bookmarkStart w:id="34" w:name="why-separate-loop-3-d2c-cooling"/>
    <w:p>
      <w:pPr>
        <w:pStyle w:val="Heading3"/>
      </w:pPr>
      <w:r>
        <w:rPr>
          <w:b/>
          <w:bCs/>
        </w:rPr>
        <w:t xml:space="preserve">Why Separate Loop 3 (D2C Cooling)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Air cooling (Loops 1+2):</w:t>
      </w:r>
      <w:r>
        <w:t xml:space="preserve"> </w:t>
      </w:r>
      <w:r>
        <w:t xml:space="preserve">Predictable, stable loads (±10% variation)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D2C cooling (Loop 3):</w:t>
      </w:r>
      <w:r>
        <w:t xml:space="preserve"> </w:t>
      </w:r>
      <w:r>
        <w:t xml:space="preserve">Violent load swings (0-100% in seconds)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Problems if mixed:</w:t>
      </w:r>
      <w:r>
        <w:t xml:space="preserve"> </w:t>
      </w:r>
      <w:r>
        <w:t xml:space="preserve">Control hunting, reduced efficiency, accelerated wear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Benefits of separation:</w:t>
      </w:r>
      <w:r>
        <w:t xml:space="preserve"> </w:t>
      </w:r>
      <w:r>
        <w:t xml:space="preserve">Optimized controls, clear contractor boundaries, independent maintenance, fault isolation</w:t>
      </w:r>
    </w:p>
    <w:bookmarkEnd w:id="34"/>
    <w:bookmarkStart w:id="35" w:name="X4d4fcdb9872d3e7f346b3434e985ca8870db621"/>
    <w:p>
      <w:pPr>
        <w:pStyle w:val="Heading3"/>
      </w:pPr>
      <w:r>
        <w:rPr>
          <w:b/>
          <w:bCs/>
        </w:rPr>
        <w:t xml:space="preserve">Why N+1 IT UPS with MV Dual-Ring (Not Traditional 2N UPS)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Path redundancy</w:t>
      </w:r>
      <w:r>
        <w:t xml:space="preserve"> </w:t>
      </w:r>
      <w:r>
        <w:t xml:space="preserve">provided by 11 kV self-healing dual-ring MV distribution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Component redundancy</w:t>
      </w:r>
      <w:r>
        <w:t xml:space="preserve"> </w:t>
      </w:r>
      <w:r>
        <w:t xml:space="preserve">provided by N+1 modular UPS architecture</w:t>
      </w:r>
    </w:p>
    <w:p>
      <w:pPr>
        <w:pStyle w:val="Compact"/>
        <w:numPr>
          <w:ilvl w:val="0"/>
          <w:numId w:val="1025"/>
        </w:numPr>
      </w:pPr>
      <w:r>
        <w:t xml:space="preserve">IT equipment retains dual PDUs fed from different 480V panels (SWBD-A/B on different MV ring segments)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Advantages:</w:t>
      </w:r>
      <w:r>
        <w:t xml:space="preserve"> </w:t>
      </w:r>
      <w:r>
        <w:t xml:space="preserve">Lower capital cost (~40-50% fewer UPS modules), higher efficiency, simplified maintenance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Equivalent reliability:</w:t>
      </w:r>
      <w:r>
        <w:t xml:space="preserve"> </w:t>
      </w:r>
      <w:r>
        <w:t xml:space="preserve">MV dual-ring switching provides path diversity; N+1 UPS provides component failure tolerance</w:t>
      </w:r>
    </w:p>
    <w:bookmarkEnd w:id="35"/>
    <w:bookmarkStart w:id="36" w:name="why-slab-on-grade-no-raised-floor"/>
    <w:p>
      <w:pPr>
        <w:pStyle w:val="Heading3"/>
      </w:pPr>
      <w:r>
        <w:rPr>
          <w:b/>
          <w:bCs/>
        </w:rPr>
        <w:t xml:space="preserve">Why Slab-on-Grade (No Raised Floor)</w:t>
      </w:r>
    </w:p>
    <w:p>
      <w:pPr>
        <w:pStyle w:val="Compact"/>
        <w:numPr>
          <w:ilvl w:val="0"/>
          <w:numId w:val="1026"/>
        </w:numPr>
      </w:pPr>
      <w:r>
        <w:t xml:space="preserve">Cost savings (~$150K+)</w:t>
      </w:r>
    </w:p>
    <w:p>
      <w:pPr>
        <w:pStyle w:val="Compact"/>
        <w:numPr>
          <w:ilvl w:val="0"/>
          <w:numId w:val="1026"/>
        </w:numPr>
      </w:pPr>
      <w:r>
        <w:t xml:space="preserve">Eliminates failure modes and underfloor plenum complications</w:t>
      </w:r>
    </w:p>
    <w:p>
      <w:pPr>
        <w:pStyle w:val="Compact"/>
        <w:numPr>
          <w:ilvl w:val="0"/>
          <w:numId w:val="1026"/>
        </w:numPr>
      </w:pPr>
      <w:r>
        <w:t xml:space="preserve">Better seismic performance</w:t>
      </w:r>
    </w:p>
    <w:p>
      <w:pPr>
        <w:pStyle w:val="Compact"/>
        <w:numPr>
          <w:ilvl w:val="0"/>
          <w:numId w:val="1026"/>
        </w:numPr>
      </w:pPr>
      <w:r>
        <w:t xml:space="preserve">Overhead cable distribution provides equivalent flexibility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#pryor-data-center #basis-of-design #csi-masterformat #tier-iii #tilt-up-construction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Confirm utility voltage (13.8 kV, 12.47 kV, or 34.5 kV)</w:t>
      </w:r>
      <w:r>
        <w:t xml:space="preserve"> </w:t>
      </w:r>
      <w:r>
        <w:t xml:space="preserve">2. Review detailed technical specifications by CSI division</w:t>
      </w:r>
      <w:r>
        <w:t xml:space="preserve"> </w:t>
      </w:r>
      <w:r>
        <w:t xml:space="preserve">3. Validate cost estimates with vendors</w:t>
      </w:r>
      <w:r>
        <w:t xml:space="preserve"> </w:t>
      </w:r>
      <w:r>
        <w:t xml:space="preserve">4. Begin detailed engineering design</w:t>
      </w:r>
      <w:r>
        <w:t xml:space="preserve"> </w:t>
      </w:r>
      <w:r>
        <w:t xml:space="preserve">5. Finalize equipment procurement schedule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Corrections:</w:t>
      </w:r>
      <w:r>
        <w:t xml:space="preserve"> </w:t>
      </w:r>
      <w:r>
        <w:t xml:space="preserve">Tilt-up construction, utility voltage options, mechanical yard sizing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2025-10-30T05:34:57Z</dcterms:created>
  <dcterms:modified xsi:type="dcterms:W3CDTF">2025-10-30T05:34:57Z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