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30C" w:rsidRDefault="0017751E" w:rsidP="002F5127">
      <w:pPr>
        <w:tabs>
          <w:tab w:val="left" w:pos="11160"/>
        </w:tabs>
        <w:ind w:right="63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3673222" wp14:editId="18FB0484">
            <wp:extent cx="1892299" cy="4762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2299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 xml:space="preserve">                                                                                    </w:t>
      </w:r>
      <w:r w:rsidRPr="00F72B8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               </w:t>
      </w:r>
      <w:r w:rsidR="002F5127"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="002F5127"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75230C" w:rsidRDefault="0075230C" w:rsidP="002F5127">
      <w:pPr>
        <w:tabs>
          <w:tab w:val="left" w:pos="11160"/>
        </w:tabs>
        <w:ind w:right="630"/>
        <w:jc w:val="both"/>
        <w:rPr>
          <w:rFonts w:ascii="Arial" w:hAnsi="Arial" w:cs="Arial"/>
          <w:color w:val="000000"/>
          <w:sz w:val="20"/>
          <w:szCs w:val="20"/>
        </w:rPr>
      </w:pPr>
    </w:p>
    <w:p w:rsidR="0017751E" w:rsidRDefault="006674E1" w:rsidP="00D161E3">
      <w:pPr>
        <w:tabs>
          <w:tab w:val="left" w:pos="11160"/>
        </w:tabs>
        <w:ind w:right="630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Report Date: 8</w:t>
      </w:r>
      <w:r w:rsidR="003C0A82">
        <w:rPr>
          <w:rFonts w:ascii="Arial" w:hAnsi="Arial" w:cs="Arial"/>
          <w:color w:val="000000"/>
          <w:sz w:val="20"/>
          <w:szCs w:val="20"/>
        </w:rPr>
        <w:t>/</w:t>
      </w:r>
      <w:r w:rsidR="00920447">
        <w:rPr>
          <w:rFonts w:ascii="Arial" w:hAnsi="Arial" w:cs="Arial"/>
          <w:color w:val="000000"/>
          <w:sz w:val="20"/>
          <w:szCs w:val="20"/>
        </w:rPr>
        <w:t>25</w:t>
      </w:r>
      <w:r w:rsidR="0017751E" w:rsidRPr="00F72B83">
        <w:rPr>
          <w:rFonts w:ascii="Arial" w:hAnsi="Arial" w:cs="Arial"/>
          <w:color w:val="000000"/>
          <w:sz w:val="20"/>
          <w:szCs w:val="20"/>
        </w:rPr>
        <w:t>/16</w:t>
      </w:r>
    </w:p>
    <w:p w:rsidR="0017751E" w:rsidRDefault="001D6971" w:rsidP="00A417E7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Q3</w:t>
      </w:r>
      <w:r w:rsidR="0017751E" w:rsidRPr="00F72B83">
        <w:rPr>
          <w:rFonts w:ascii="Arial" w:hAnsi="Arial" w:cs="Arial"/>
          <w:b/>
          <w:bCs/>
          <w:color w:val="000000"/>
          <w:sz w:val="30"/>
          <w:szCs w:val="30"/>
        </w:rPr>
        <w:t xml:space="preserve"> EPS Weekly </w:t>
      </w:r>
      <w:r w:rsidR="002274BE" w:rsidRPr="002274BE">
        <w:rPr>
          <w:rFonts w:ascii="Arial" w:hAnsi="Arial" w:cs="Arial"/>
          <w:b/>
          <w:bCs/>
          <w:color w:val="000000"/>
          <w:sz w:val="30"/>
          <w:szCs w:val="30"/>
        </w:rPr>
        <w:t xml:space="preserve">Activities </w:t>
      </w:r>
      <w:r w:rsidR="0017751E" w:rsidRPr="00F72B83">
        <w:rPr>
          <w:rFonts w:ascii="Arial" w:hAnsi="Arial" w:cs="Arial"/>
          <w:b/>
          <w:bCs/>
          <w:color w:val="000000"/>
          <w:sz w:val="30"/>
          <w:szCs w:val="30"/>
        </w:rPr>
        <w:t>Sales Report</w:t>
      </w:r>
    </w:p>
    <w:p w:rsidR="006674E1" w:rsidRDefault="006674E1" w:rsidP="0017751E">
      <w:pPr>
        <w:rPr>
          <w:rFonts w:ascii="Arial" w:hAnsi="Arial" w:cs="Arial"/>
          <w:b/>
          <w:color w:val="000000"/>
          <w:sz w:val="20"/>
          <w:szCs w:val="20"/>
        </w:rPr>
      </w:pPr>
    </w:p>
    <w:p w:rsidR="006674E1" w:rsidRDefault="004D5043" w:rsidP="0017751E">
      <w:pPr>
        <w:rPr>
          <w:rFonts w:ascii="Arial" w:hAnsi="Arial" w:cs="Arial"/>
          <w:b/>
          <w:color w:val="000000"/>
          <w:sz w:val="20"/>
          <w:szCs w:val="20"/>
        </w:rPr>
      </w:pPr>
      <w:r w:rsidRPr="004D5043">
        <w:rPr>
          <w:rFonts w:ascii="Arial" w:hAnsi="Arial" w:cs="Arial"/>
          <w:b/>
          <w:color w:val="000000"/>
          <w:sz w:val="20"/>
          <w:szCs w:val="20"/>
        </w:rPr>
        <w:t xml:space="preserve">Overview </w:t>
      </w:r>
    </w:p>
    <w:p w:rsidR="004361A1" w:rsidRDefault="004361A1" w:rsidP="0017751E">
      <w:pPr>
        <w:rPr>
          <w:rFonts w:ascii="Arial" w:hAnsi="Arial" w:cs="Arial"/>
          <w:b/>
          <w:color w:val="000000"/>
          <w:sz w:val="20"/>
          <w:szCs w:val="20"/>
        </w:rPr>
      </w:pPr>
    </w:p>
    <w:tbl>
      <w:tblPr>
        <w:tblW w:w="10130" w:type="dxa"/>
        <w:tblInd w:w="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6" w:space="0" w:color="BFBFBF"/>
          <w:insideV w:val="single" w:sz="6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860"/>
        <w:gridCol w:w="1440"/>
        <w:gridCol w:w="1800"/>
        <w:gridCol w:w="1440"/>
        <w:gridCol w:w="1620"/>
        <w:gridCol w:w="1530"/>
        <w:gridCol w:w="1440"/>
      </w:tblGrid>
      <w:tr w:rsidR="00F3605E" w:rsidRPr="00C344A9" w:rsidTr="0034720E">
        <w:trPr>
          <w:trHeight w:val="20"/>
        </w:trPr>
        <w:tc>
          <w:tcPr>
            <w:tcW w:w="860" w:type="dxa"/>
            <w:shd w:val="clear" w:color="000000" w:fill="A5A5A5"/>
            <w:vAlign w:val="center"/>
            <w:hideMark/>
          </w:tcPr>
          <w:p w:rsidR="00F3605E" w:rsidRPr="00C344A9" w:rsidRDefault="00F3605E" w:rsidP="003B65F3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C344A9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Region </w:t>
            </w:r>
          </w:p>
        </w:tc>
        <w:tc>
          <w:tcPr>
            <w:tcW w:w="1440" w:type="dxa"/>
            <w:shd w:val="clear" w:color="000000" w:fill="A5A5A5"/>
            <w:vAlign w:val="center"/>
            <w:hideMark/>
          </w:tcPr>
          <w:p w:rsidR="00F3605E" w:rsidRDefault="00F3605E" w:rsidP="00C344A9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# of </w:t>
            </w:r>
            <w:r w:rsidRPr="00C344A9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Open </w:t>
            </w:r>
          </w:p>
          <w:p w:rsidR="00F3605E" w:rsidRPr="00C344A9" w:rsidRDefault="00F3605E" w:rsidP="00C344A9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Q3 2016 </w:t>
            </w:r>
            <w:r w:rsidRPr="00C344A9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Opportunities</w:t>
            </w:r>
          </w:p>
        </w:tc>
        <w:tc>
          <w:tcPr>
            <w:tcW w:w="1800" w:type="dxa"/>
            <w:shd w:val="clear" w:color="000000" w:fill="A5A5A5"/>
          </w:tcPr>
          <w:p w:rsidR="000C523A" w:rsidRDefault="000C523A" w:rsidP="000C523A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EPS Funnel</w:t>
            </w:r>
          </w:p>
          <w:p w:rsidR="000C523A" w:rsidRDefault="000C523A" w:rsidP="000C523A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Q3 2016 </w:t>
            </w:r>
          </w:p>
          <w:p w:rsidR="00F3605E" w:rsidRDefault="000C523A" w:rsidP="000C523A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C344A9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(excl. closed/won)</w:t>
            </w:r>
          </w:p>
        </w:tc>
        <w:tc>
          <w:tcPr>
            <w:tcW w:w="1440" w:type="dxa"/>
            <w:shd w:val="clear" w:color="000000" w:fill="A5A5A5"/>
            <w:vAlign w:val="center"/>
            <w:hideMark/>
          </w:tcPr>
          <w:p w:rsidR="000C523A" w:rsidRDefault="000C523A" w:rsidP="000C523A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C344A9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Closed/Won</w:t>
            </w:r>
          </w:p>
          <w:p w:rsidR="00F3605E" w:rsidRPr="00C344A9" w:rsidRDefault="000C523A" w:rsidP="000C523A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Q3 2016</w:t>
            </w:r>
          </w:p>
        </w:tc>
        <w:tc>
          <w:tcPr>
            <w:tcW w:w="1620" w:type="dxa"/>
            <w:shd w:val="clear" w:color="000000" w:fill="A5A5A5"/>
          </w:tcPr>
          <w:p w:rsidR="00F3605E" w:rsidRPr="00C344A9" w:rsidRDefault="000C523A" w:rsidP="000C523A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# of SOs Signed for Packaged Solutions </w:t>
            </w:r>
          </w:p>
        </w:tc>
        <w:tc>
          <w:tcPr>
            <w:tcW w:w="1530" w:type="dxa"/>
            <w:shd w:val="clear" w:color="000000" w:fill="A5A5A5"/>
          </w:tcPr>
          <w:p w:rsidR="00F3605E" w:rsidRPr="00C344A9" w:rsidRDefault="000C523A" w:rsidP="00C344A9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# of  Signed Custom Solutions </w:t>
            </w:r>
          </w:p>
        </w:tc>
        <w:tc>
          <w:tcPr>
            <w:tcW w:w="1440" w:type="dxa"/>
            <w:shd w:val="clear" w:color="000000" w:fill="A5A5A5"/>
            <w:vAlign w:val="center"/>
            <w:hideMark/>
          </w:tcPr>
          <w:p w:rsidR="00F3605E" w:rsidRPr="00C344A9" w:rsidRDefault="00883328" w:rsidP="00883328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Net New Logos for Equinix  </w:t>
            </w:r>
          </w:p>
        </w:tc>
      </w:tr>
      <w:tr w:rsidR="00F3605E" w:rsidRPr="00C344A9" w:rsidTr="0034720E">
        <w:trPr>
          <w:trHeight w:val="20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:rsidR="00F3605E" w:rsidRPr="00C344A9" w:rsidRDefault="004B5EE6" w:rsidP="00ED2F2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Central</w:t>
            </w:r>
            <w:r w:rsidR="00F3605E" w:rsidRPr="00C344A9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F3605E" w:rsidRPr="00C344A9" w:rsidRDefault="00F90A60" w:rsidP="00F90A6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800" w:type="dxa"/>
          </w:tcPr>
          <w:p w:rsidR="00F3605E" w:rsidRPr="00C344A9" w:rsidRDefault="004B5EE6" w:rsidP="004B5E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$389,190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F3605E" w:rsidRPr="00C344A9" w:rsidRDefault="0034720E" w:rsidP="0034720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$12,500</w:t>
            </w:r>
          </w:p>
        </w:tc>
        <w:tc>
          <w:tcPr>
            <w:tcW w:w="1620" w:type="dxa"/>
          </w:tcPr>
          <w:p w:rsidR="00F3605E" w:rsidRPr="00C344A9" w:rsidRDefault="0034720E" w:rsidP="007C612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30" w:type="dxa"/>
          </w:tcPr>
          <w:p w:rsidR="00F3605E" w:rsidRPr="00C344A9" w:rsidRDefault="0034720E" w:rsidP="007C612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F3605E" w:rsidRPr="00C344A9" w:rsidRDefault="00C15DFD" w:rsidP="007C612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F3605E" w:rsidRPr="00C344A9" w:rsidTr="0034720E">
        <w:trPr>
          <w:trHeight w:val="20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:rsidR="00F3605E" w:rsidRPr="00C344A9" w:rsidRDefault="004B5EE6" w:rsidP="00ED2F2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East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F3605E" w:rsidRPr="00C344A9" w:rsidRDefault="00F90A60" w:rsidP="00F90A6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90A60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800" w:type="dxa"/>
          </w:tcPr>
          <w:p w:rsidR="00F3605E" w:rsidRPr="00C344A9" w:rsidRDefault="004B5EE6" w:rsidP="004B5E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$2,117,170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F3605E" w:rsidRPr="00C344A9" w:rsidRDefault="0034720E" w:rsidP="0034720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$364,810</w:t>
            </w:r>
          </w:p>
        </w:tc>
        <w:tc>
          <w:tcPr>
            <w:tcW w:w="1620" w:type="dxa"/>
          </w:tcPr>
          <w:p w:rsidR="00F3605E" w:rsidRPr="00C344A9" w:rsidRDefault="0034720E" w:rsidP="007C612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30" w:type="dxa"/>
          </w:tcPr>
          <w:p w:rsidR="00F3605E" w:rsidRPr="00C344A9" w:rsidRDefault="0034720E" w:rsidP="007C612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F3605E" w:rsidRPr="00C344A9" w:rsidRDefault="00C15DFD" w:rsidP="007C612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F3605E" w:rsidRPr="00C344A9" w:rsidTr="0034720E">
        <w:trPr>
          <w:trHeight w:val="20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:rsidR="00F3605E" w:rsidRPr="00C344A9" w:rsidRDefault="00F3605E" w:rsidP="00ED2F2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West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F3605E" w:rsidRPr="00C344A9" w:rsidRDefault="00F90A60" w:rsidP="00F90A6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800" w:type="dxa"/>
          </w:tcPr>
          <w:p w:rsidR="00F3605E" w:rsidRPr="00C14295" w:rsidRDefault="004B5EE6" w:rsidP="004B5E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$327,200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F3605E" w:rsidRPr="00C14295" w:rsidRDefault="0034720E" w:rsidP="004B5E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4720E">
              <w:rPr>
                <w:rFonts w:ascii="Arial" w:hAnsi="Arial" w:cs="Arial"/>
                <w:color w:val="000000"/>
                <w:sz w:val="18"/>
                <w:szCs w:val="18"/>
              </w:rPr>
              <w:t>$13,000</w:t>
            </w:r>
          </w:p>
        </w:tc>
        <w:tc>
          <w:tcPr>
            <w:tcW w:w="1620" w:type="dxa"/>
          </w:tcPr>
          <w:p w:rsidR="00F3605E" w:rsidRPr="00C344A9" w:rsidRDefault="0034720E" w:rsidP="007C612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30" w:type="dxa"/>
          </w:tcPr>
          <w:p w:rsidR="00F3605E" w:rsidRPr="00C344A9" w:rsidRDefault="0034720E" w:rsidP="007C612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F3605E" w:rsidRPr="00C344A9" w:rsidRDefault="0034720E" w:rsidP="007C612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F3605E" w:rsidRPr="00C344A9" w:rsidTr="0034720E">
        <w:trPr>
          <w:trHeight w:val="120"/>
        </w:trPr>
        <w:tc>
          <w:tcPr>
            <w:tcW w:w="860" w:type="dxa"/>
            <w:shd w:val="clear" w:color="000000" w:fill="D0CECE"/>
            <w:noWrap/>
            <w:vAlign w:val="center"/>
            <w:hideMark/>
          </w:tcPr>
          <w:p w:rsidR="00F3605E" w:rsidRPr="00C344A9" w:rsidRDefault="00F3605E" w:rsidP="00F90A60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Totals</w:t>
            </w:r>
          </w:p>
        </w:tc>
        <w:tc>
          <w:tcPr>
            <w:tcW w:w="1440" w:type="dxa"/>
            <w:shd w:val="clear" w:color="000000" w:fill="D0CECE"/>
            <w:noWrap/>
            <w:vAlign w:val="center"/>
          </w:tcPr>
          <w:p w:rsidR="00F3605E" w:rsidRPr="004B5EE6" w:rsidRDefault="00F90A60" w:rsidP="00F90A60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47</w:t>
            </w:r>
          </w:p>
        </w:tc>
        <w:tc>
          <w:tcPr>
            <w:tcW w:w="1800" w:type="dxa"/>
            <w:shd w:val="clear" w:color="000000" w:fill="D0CECE"/>
          </w:tcPr>
          <w:p w:rsidR="00F3605E" w:rsidRPr="004B5EE6" w:rsidRDefault="004B5EE6" w:rsidP="00F90A60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B5EE6">
              <w:rPr>
                <w:rFonts w:ascii="Arial" w:hAnsi="Arial" w:cs="Arial"/>
                <w:b/>
                <w:color w:val="000000"/>
                <w:sz w:val="18"/>
                <w:szCs w:val="18"/>
              </w:rPr>
              <w:t>$2,833,560</w:t>
            </w:r>
          </w:p>
        </w:tc>
        <w:tc>
          <w:tcPr>
            <w:tcW w:w="1440" w:type="dxa"/>
            <w:shd w:val="clear" w:color="000000" w:fill="D0CECE"/>
            <w:noWrap/>
            <w:vAlign w:val="center"/>
          </w:tcPr>
          <w:p w:rsidR="00F3605E" w:rsidRPr="004B5EE6" w:rsidRDefault="0034720E" w:rsidP="0034720E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34720E">
              <w:rPr>
                <w:rFonts w:ascii="Arial" w:hAnsi="Arial" w:cs="Arial"/>
                <w:b/>
                <w:color w:val="000000"/>
                <w:sz w:val="18"/>
                <w:szCs w:val="18"/>
              </w:rPr>
              <w:t>$390,310</w:t>
            </w:r>
          </w:p>
        </w:tc>
        <w:tc>
          <w:tcPr>
            <w:tcW w:w="1620" w:type="dxa"/>
            <w:shd w:val="clear" w:color="000000" w:fill="D0CECE"/>
          </w:tcPr>
          <w:p w:rsidR="00F3605E" w:rsidRPr="004B5EE6" w:rsidRDefault="0034720E" w:rsidP="00F90A60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7</w:t>
            </w:r>
          </w:p>
        </w:tc>
        <w:tc>
          <w:tcPr>
            <w:tcW w:w="1530" w:type="dxa"/>
            <w:shd w:val="clear" w:color="000000" w:fill="D0CECE"/>
          </w:tcPr>
          <w:p w:rsidR="00F3605E" w:rsidRPr="004B5EE6" w:rsidRDefault="0034720E" w:rsidP="00F90A60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8</w:t>
            </w:r>
          </w:p>
        </w:tc>
        <w:tc>
          <w:tcPr>
            <w:tcW w:w="1440" w:type="dxa"/>
            <w:shd w:val="clear" w:color="000000" w:fill="D0CECE"/>
            <w:noWrap/>
            <w:vAlign w:val="center"/>
          </w:tcPr>
          <w:p w:rsidR="00F3605E" w:rsidRPr="004B5EE6" w:rsidRDefault="0034720E" w:rsidP="00F90A60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4</w:t>
            </w:r>
          </w:p>
        </w:tc>
      </w:tr>
    </w:tbl>
    <w:p w:rsidR="00AF19D7" w:rsidRDefault="00AF19D7" w:rsidP="0017751E">
      <w:pPr>
        <w:rPr>
          <w:rFonts w:ascii="Arial" w:hAnsi="Arial" w:cs="Arial"/>
          <w:b/>
          <w:color w:val="000000"/>
          <w:sz w:val="20"/>
          <w:szCs w:val="20"/>
        </w:rPr>
      </w:pPr>
    </w:p>
    <w:p w:rsidR="0017751E" w:rsidRPr="004D5043" w:rsidRDefault="0017751E" w:rsidP="0017751E">
      <w:pPr>
        <w:jc w:val="both"/>
        <w:rPr>
          <w:rFonts w:ascii="Arial" w:hAnsi="Arial" w:cs="Arial"/>
          <w:sz w:val="4"/>
          <w:szCs w:val="4"/>
        </w:rPr>
      </w:pPr>
    </w:p>
    <w:tbl>
      <w:tblPr>
        <w:tblW w:w="10250" w:type="dxa"/>
        <w:tblLook w:val="04A0" w:firstRow="1" w:lastRow="0" w:firstColumn="1" w:lastColumn="0" w:noHBand="0" w:noVBand="1"/>
      </w:tblPr>
      <w:tblGrid>
        <w:gridCol w:w="2780"/>
        <w:gridCol w:w="7470"/>
      </w:tblGrid>
      <w:tr w:rsidR="00C344A9" w:rsidRPr="00572C1F" w:rsidTr="00C15DFD">
        <w:trPr>
          <w:trHeight w:val="20"/>
        </w:trPr>
        <w:tc>
          <w:tcPr>
            <w:tcW w:w="2780" w:type="dxa"/>
            <w:tcBorders>
              <w:top w:val="single" w:sz="8" w:space="0" w:color="A5A5A5"/>
              <w:left w:val="single" w:sz="8" w:space="0" w:color="A5A5A5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:rsidR="00C344A9" w:rsidRPr="00572C1F" w:rsidRDefault="00C14295" w:rsidP="00C14295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8</w:t>
            </w:r>
            <w:r w:rsidR="003C0A82" w:rsidRPr="00572C1F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/</w:t>
            </w:r>
            <w:r w:rsidR="00920447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18</w:t>
            </w:r>
            <w:r w:rsidR="00CC618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/16 - 8</w:t>
            </w:r>
            <w:r w:rsidR="003C0A82" w:rsidRPr="00572C1F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/</w:t>
            </w:r>
            <w:r w:rsidR="00920447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25</w:t>
            </w:r>
            <w:r w:rsidR="00C344A9" w:rsidRPr="00572C1F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/16</w:t>
            </w:r>
          </w:p>
        </w:tc>
        <w:tc>
          <w:tcPr>
            <w:tcW w:w="7470" w:type="dxa"/>
            <w:tcBorders>
              <w:top w:val="single" w:sz="8" w:space="0" w:color="A5A5A5"/>
              <w:left w:val="nil"/>
              <w:bottom w:val="nil"/>
              <w:right w:val="single" w:sz="8" w:space="0" w:color="A5A5A5"/>
            </w:tcBorders>
            <w:shd w:val="clear" w:color="000000" w:fill="A5A5A5"/>
            <w:noWrap/>
            <w:vAlign w:val="center"/>
            <w:hideMark/>
          </w:tcPr>
          <w:p w:rsidR="00C344A9" w:rsidRPr="00572C1F" w:rsidRDefault="00C344A9" w:rsidP="00807A20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2C1F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Total</w:t>
            </w:r>
          </w:p>
        </w:tc>
      </w:tr>
      <w:tr w:rsidR="00C344A9" w:rsidRPr="00572C1F" w:rsidTr="00C15DFD">
        <w:trPr>
          <w:trHeight w:val="1476"/>
        </w:trPr>
        <w:tc>
          <w:tcPr>
            <w:tcW w:w="27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C344A9" w:rsidRPr="00572C1F" w:rsidRDefault="008E39F2" w:rsidP="00807A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72C1F">
              <w:rPr>
                <w:rFonts w:ascii="Arial" w:hAnsi="Arial" w:cs="Arial"/>
                <w:color w:val="000000"/>
                <w:sz w:val="18"/>
                <w:szCs w:val="18"/>
              </w:rPr>
              <w:t xml:space="preserve">Proposals </w:t>
            </w:r>
            <w:r w:rsidR="00C344A9" w:rsidRPr="00572C1F">
              <w:rPr>
                <w:rFonts w:ascii="Arial" w:hAnsi="Arial" w:cs="Arial"/>
                <w:color w:val="000000"/>
                <w:sz w:val="18"/>
                <w:szCs w:val="18"/>
              </w:rPr>
              <w:t>Sent Out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C15DFD" w:rsidRPr="00C15DFD" w:rsidRDefault="00C15DFD" w:rsidP="00C15DF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  <w:p w:rsidR="00C15DFD" w:rsidRPr="00C15DFD" w:rsidRDefault="00C15DFD" w:rsidP="00C15DFD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C15DFD">
              <w:rPr>
                <w:rFonts w:ascii="Arial" w:hAnsi="Arial" w:cs="Arial"/>
                <w:b/>
                <w:color w:val="000000"/>
                <w:sz w:val="18"/>
                <w:szCs w:val="18"/>
              </w:rPr>
              <w:t>SO</w:t>
            </w:r>
          </w:p>
          <w:p w:rsidR="0034720E" w:rsidRPr="0034720E" w:rsidRDefault="00C15DFD" w:rsidP="0034720E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SHR Global - </w:t>
            </w:r>
            <w:r w:rsidR="0034720E" w:rsidRPr="0034720E">
              <w:rPr>
                <w:rFonts w:ascii="Arial" w:hAnsi="Arial" w:cs="Arial"/>
                <w:color w:val="000000"/>
                <w:sz w:val="18"/>
                <w:szCs w:val="18"/>
              </w:rPr>
              <w:t>Cloud Readiness Workshop</w:t>
            </w:r>
          </w:p>
          <w:p w:rsidR="0034720E" w:rsidRPr="0034720E" w:rsidRDefault="00C15DFD" w:rsidP="0034720E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24/7 CUSTOMER, INC - </w:t>
            </w:r>
            <w:r w:rsidR="0034720E" w:rsidRPr="0034720E">
              <w:rPr>
                <w:rFonts w:ascii="Arial" w:hAnsi="Arial" w:cs="Arial"/>
                <w:color w:val="000000"/>
                <w:sz w:val="18"/>
                <w:szCs w:val="18"/>
              </w:rPr>
              <w:t>Discovery Workshop</w:t>
            </w:r>
          </w:p>
          <w:p w:rsidR="00C15DFD" w:rsidRPr="00C15DFD" w:rsidRDefault="00C15DFD" w:rsidP="00C15DFD">
            <w:pPr>
              <w:ind w:left="16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C15DFD">
              <w:rPr>
                <w:rFonts w:ascii="Arial" w:hAnsi="Arial" w:cs="Arial"/>
                <w:b/>
                <w:color w:val="000000"/>
                <w:sz w:val="18"/>
                <w:szCs w:val="18"/>
              </w:rPr>
              <w:t>SOW</w:t>
            </w:r>
          </w:p>
          <w:p w:rsidR="0034720E" w:rsidRPr="0034720E" w:rsidRDefault="00C15DFD" w:rsidP="0034720E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Fujitsu America, Inc. - </w:t>
            </w:r>
            <w:r w:rsidR="0034720E" w:rsidRPr="0034720E">
              <w:rPr>
                <w:rFonts w:ascii="Arial" w:hAnsi="Arial" w:cs="Arial"/>
                <w:color w:val="000000"/>
                <w:sz w:val="18"/>
                <w:szCs w:val="18"/>
              </w:rPr>
              <w:t>Cloud Phase 1 (ECX Enablement + Training)</w:t>
            </w:r>
          </w:p>
          <w:p w:rsidR="001F3033" w:rsidRPr="00C15DFD" w:rsidRDefault="00C15DFD" w:rsidP="00C15DFD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State of Hawaii - </w:t>
            </w:r>
            <w:proofErr w:type="spellStart"/>
            <w:r w:rsidR="0034720E" w:rsidRPr="0034720E">
              <w:rPr>
                <w:rFonts w:ascii="Arial" w:hAnsi="Arial" w:cs="Arial"/>
                <w:color w:val="000000"/>
                <w:sz w:val="18"/>
                <w:szCs w:val="18"/>
              </w:rPr>
              <w:t>SkB</w:t>
            </w:r>
            <w:proofErr w:type="spellEnd"/>
            <w:r w:rsidR="0034720E" w:rsidRPr="0034720E">
              <w:rPr>
                <w:rFonts w:ascii="Arial" w:hAnsi="Arial" w:cs="Arial"/>
                <w:color w:val="000000"/>
                <w:sz w:val="18"/>
                <w:szCs w:val="18"/>
              </w:rPr>
              <w:t xml:space="preserve"> Evaluation</w:t>
            </w:r>
          </w:p>
        </w:tc>
      </w:tr>
      <w:tr w:rsidR="008E39F2" w:rsidRPr="00572C1F" w:rsidTr="00C15DFD">
        <w:trPr>
          <w:trHeight w:val="718"/>
        </w:trPr>
        <w:tc>
          <w:tcPr>
            <w:tcW w:w="27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8E39F2" w:rsidRPr="00572C1F" w:rsidRDefault="008E39F2" w:rsidP="00807A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72C1F">
              <w:rPr>
                <w:rFonts w:ascii="Arial" w:hAnsi="Arial" w:cs="Arial"/>
                <w:color w:val="000000"/>
                <w:sz w:val="18"/>
                <w:szCs w:val="18"/>
              </w:rPr>
              <w:t>Closed/Won Opportunities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0E637F" w:rsidRPr="000E637F" w:rsidRDefault="000E637F" w:rsidP="000E637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  <w:p w:rsidR="000E637F" w:rsidRPr="000E637F" w:rsidRDefault="000E637F" w:rsidP="000E637F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Systems - </w:t>
            </w:r>
            <w:r w:rsidRPr="000E637F">
              <w:rPr>
                <w:rFonts w:ascii="Arial" w:hAnsi="Arial" w:cs="Arial"/>
                <w:color w:val="000000"/>
                <w:sz w:val="18"/>
                <w:szCs w:val="18"/>
              </w:rPr>
              <w:t>American Systems - IOA Transformation Workshop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(</w:t>
            </w:r>
            <w:r w:rsidR="0034720E">
              <w:rPr>
                <w:rFonts w:ascii="Arial" w:hAnsi="Arial" w:cs="Arial"/>
                <w:color w:val="000000"/>
                <w:sz w:val="18"/>
                <w:szCs w:val="18"/>
              </w:rPr>
              <w:t>$23,0</w:t>
            </w:r>
            <w:r w:rsidRPr="000E637F">
              <w:rPr>
                <w:rFonts w:ascii="Arial" w:hAnsi="Arial" w:cs="Arial"/>
                <w:color w:val="000000"/>
                <w:sz w:val="18"/>
                <w:szCs w:val="18"/>
              </w:rPr>
              <w:t>00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  <w:p w:rsidR="000E637F" w:rsidRPr="000E637F" w:rsidRDefault="000E637F" w:rsidP="000E637F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Claritas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Genomics - </w:t>
            </w:r>
            <w:proofErr w:type="spellStart"/>
            <w:r w:rsidRPr="000E637F">
              <w:rPr>
                <w:rFonts w:ascii="Arial" w:hAnsi="Arial" w:cs="Arial"/>
                <w:color w:val="000000"/>
                <w:sz w:val="18"/>
                <w:szCs w:val="18"/>
              </w:rPr>
              <w:t>Claritas</w:t>
            </w:r>
            <w:proofErr w:type="spellEnd"/>
            <w:r w:rsidRPr="000E637F">
              <w:rPr>
                <w:rFonts w:ascii="Arial" w:hAnsi="Arial" w:cs="Arial"/>
                <w:color w:val="000000"/>
                <w:sz w:val="18"/>
                <w:szCs w:val="18"/>
              </w:rPr>
              <w:t xml:space="preserve"> Networking Fix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 w:rsidRPr="000E637F">
              <w:rPr>
                <w:rFonts w:ascii="Arial" w:hAnsi="Arial" w:cs="Arial"/>
                <w:color w:val="000000"/>
                <w:sz w:val="18"/>
                <w:szCs w:val="18"/>
              </w:rPr>
              <w:t>$8,650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  <w:p w:rsidR="006674E1" w:rsidRPr="00AE5E2A" w:rsidRDefault="000E637F" w:rsidP="000E637F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637F">
              <w:rPr>
                <w:rFonts w:ascii="Arial" w:hAnsi="Arial" w:cs="Arial"/>
                <w:color w:val="000000"/>
                <w:sz w:val="18"/>
                <w:szCs w:val="18"/>
              </w:rPr>
              <w:t>Aet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na, Inc. - PS to Assist w CSP's (</w:t>
            </w:r>
            <w:r w:rsidRPr="000E637F">
              <w:rPr>
                <w:rFonts w:ascii="Arial" w:hAnsi="Arial" w:cs="Arial"/>
                <w:color w:val="000000"/>
                <w:sz w:val="18"/>
                <w:szCs w:val="18"/>
              </w:rPr>
              <w:t>$4,575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</w:tr>
    </w:tbl>
    <w:p w:rsidR="00B528D5" w:rsidRDefault="00B528D5" w:rsidP="00A417E7">
      <w:pPr>
        <w:jc w:val="both"/>
        <w:rPr>
          <w:rFonts w:ascii="Arial" w:hAnsi="Arial" w:cs="Arial"/>
          <w:b/>
          <w:sz w:val="20"/>
          <w:szCs w:val="20"/>
        </w:rPr>
      </w:pPr>
    </w:p>
    <w:p w:rsidR="0017751E" w:rsidRDefault="004D5043" w:rsidP="00A417E7">
      <w:pPr>
        <w:jc w:val="both"/>
        <w:rPr>
          <w:rFonts w:ascii="Arial" w:hAnsi="Arial" w:cs="Arial"/>
          <w:b/>
          <w:sz w:val="20"/>
          <w:szCs w:val="20"/>
        </w:rPr>
      </w:pPr>
      <w:r w:rsidRPr="004D5043">
        <w:rPr>
          <w:rFonts w:ascii="Arial" w:hAnsi="Arial" w:cs="Arial"/>
          <w:b/>
          <w:sz w:val="20"/>
          <w:szCs w:val="20"/>
        </w:rPr>
        <w:t>Strategic Account Updates</w:t>
      </w:r>
      <w:r w:rsidR="00A417E7">
        <w:rPr>
          <w:rFonts w:ascii="Arial" w:hAnsi="Arial" w:cs="Arial"/>
          <w:b/>
          <w:sz w:val="20"/>
          <w:szCs w:val="20"/>
        </w:rPr>
        <w:t xml:space="preserve"> </w:t>
      </w:r>
    </w:p>
    <w:p w:rsidR="003C0A82" w:rsidRDefault="003C0A82" w:rsidP="00A417E7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11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8"/>
        <w:gridCol w:w="777"/>
        <w:gridCol w:w="9665"/>
      </w:tblGrid>
      <w:tr w:rsidR="00254604" w:rsidRPr="00254604" w:rsidTr="00C15DFD">
        <w:trPr>
          <w:trHeight w:val="403"/>
        </w:trPr>
        <w:tc>
          <w:tcPr>
            <w:tcW w:w="1328" w:type="dxa"/>
            <w:tcBorders>
              <w:top w:val="single" w:sz="8" w:space="0" w:color="A5A5A5"/>
              <w:left w:val="single" w:sz="8" w:space="0" w:color="A5A5A5"/>
              <w:bottom w:val="nil"/>
              <w:right w:val="nil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0A82" w:rsidRPr="00254604" w:rsidRDefault="003C0A82" w:rsidP="00807A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b/>
                <w:bCs/>
                <w:sz w:val="18"/>
                <w:szCs w:val="18"/>
              </w:rPr>
              <w:t>Account</w:t>
            </w:r>
          </w:p>
        </w:tc>
        <w:tc>
          <w:tcPr>
            <w:tcW w:w="777" w:type="dxa"/>
            <w:tcBorders>
              <w:top w:val="single" w:sz="8" w:space="0" w:color="A5A5A5"/>
              <w:left w:val="single" w:sz="8" w:space="0" w:color="A5A5A5"/>
              <w:bottom w:val="nil"/>
              <w:right w:val="nil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0A82" w:rsidRPr="00254604" w:rsidRDefault="003C0A82" w:rsidP="00807A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b/>
                <w:bCs/>
                <w:sz w:val="18"/>
                <w:szCs w:val="18"/>
              </w:rPr>
              <w:t>Owner</w:t>
            </w:r>
          </w:p>
        </w:tc>
        <w:tc>
          <w:tcPr>
            <w:tcW w:w="9665" w:type="dxa"/>
            <w:tcBorders>
              <w:top w:val="single" w:sz="8" w:space="0" w:color="A5A5A5"/>
              <w:left w:val="single" w:sz="8" w:space="0" w:color="A5A5A5"/>
              <w:bottom w:val="single" w:sz="8" w:space="0" w:color="A6A6A6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0A82" w:rsidRPr="00254604" w:rsidRDefault="003C0A82" w:rsidP="00807A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b/>
                <w:bCs/>
                <w:sz w:val="18"/>
                <w:szCs w:val="18"/>
              </w:rPr>
              <w:t>Update</w:t>
            </w:r>
          </w:p>
        </w:tc>
      </w:tr>
      <w:tr w:rsidR="00920447" w:rsidRPr="00920447" w:rsidTr="00E72E17">
        <w:trPr>
          <w:trHeight w:val="520"/>
        </w:trPr>
        <w:tc>
          <w:tcPr>
            <w:tcW w:w="132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18F" w:rsidRPr="00C15DFD" w:rsidRDefault="00E72E17" w:rsidP="0004018F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Angelo Gordon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18F" w:rsidRPr="00C15DFD" w:rsidRDefault="00E72E17" w:rsidP="0004018F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Jim</w:t>
            </w:r>
          </w:p>
        </w:tc>
        <w:tc>
          <w:tcPr>
            <w:tcW w:w="966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5DFD" w:rsidRPr="00C15DFD" w:rsidRDefault="00C15DFD" w:rsidP="00C15DF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Closeout meeting for ANG-007 took place Tues (8/23) and went well</w:t>
            </w:r>
          </w:p>
          <w:p w:rsidR="00C15DFD" w:rsidRPr="00C15DFD" w:rsidRDefault="00C15DFD" w:rsidP="00C15DF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We presented updated roadmap based on findings in 007 and other recent projects</w:t>
            </w:r>
          </w:p>
          <w:p w:rsidR="00E72E17" w:rsidRPr="00C15DFD" w:rsidRDefault="00C15DFD" w:rsidP="00C15DF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Proposals for next two phases (optimization of current cloud footprint and building of templates for dev/ops framework) being prepared and will be delivered next week (expect signature early next month)</w:t>
            </w:r>
          </w:p>
        </w:tc>
      </w:tr>
      <w:tr w:rsidR="00C15DFD" w:rsidRPr="00920447" w:rsidTr="00E72E17">
        <w:trPr>
          <w:trHeight w:val="20"/>
        </w:trPr>
        <w:tc>
          <w:tcPr>
            <w:tcW w:w="132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5DFD" w:rsidRPr="00C15DFD" w:rsidRDefault="00C15DFD" w:rsidP="0004018F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AIG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5DFD" w:rsidRPr="00C15DFD" w:rsidRDefault="00C15DFD" w:rsidP="0004018F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Joerg</w:t>
            </w:r>
          </w:p>
        </w:tc>
        <w:tc>
          <w:tcPr>
            <w:tcW w:w="966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5DFD" w:rsidRDefault="00C15DFD" w:rsidP="00C15DF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Met with </w:t>
            </w:r>
            <w:proofErr w:type="spellStart"/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Magesh</w:t>
            </w:r>
            <w:proofErr w:type="spellEnd"/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Bagavathi</w:t>
            </w:r>
            <w:proofErr w:type="spellEnd"/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VP, Global Head of Cloud, Platforms &amp; Product Mgt. at AIG and his team in Dallas, TX on 8/24. </w:t>
            </w:r>
          </w:p>
          <w:p w:rsidR="00C15DFD" w:rsidRDefault="00C15DFD" w:rsidP="00C15DF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Next steps are 1) get Michael Parks and his team to a meeting to propose EPS Network Optimization using Advocate's services and 2) work with Lance to get another meeting with </w:t>
            </w:r>
            <w:proofErr w:type="spellStart"/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Magesh</w:t>
            </w:r>
            <w:proofErr w:type="spellEnd"/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and his cloud team to discuss how Azure can be used for DR services. </w:t>
            </w:r>
          </w:p>
          <w:p w:rsidR="00C15DFD" w:rsidRPr="00C15DFD" w:rsidRDefault="00C15DFD" w:rsidP="00C15DF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Decision on website project has been pushed to 8/31 at the earliest.</w:t>
            </w:r>
          </w:p>
        </w:tc>
      </w:tr>
      <w:tr w:rsidR="00920447" w:rsidRPr="00920447" w:rsidTr="00E72E17">
        <w:trPr>
          <w:trHeight w:val="20"/>
        </w:trPr>
        <w:tc>
          <w:tcPr>
            <w:tcW w:w="132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2E17" w:rsidRPr="00C15DFD" w:rsidRDefault="00E72E17" w:rsidP="00C15DFD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GCI 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2E17" w:rsidRPr="00C15DFD" w:rsidRDefault="00E72E17" w:rsidP="0004018F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Steffo</w:t>
            </w:r>
          </w:p>
        </w:tc>
        <w:tc>
          <w:tcPr>
            <w:tcW w:w="966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2E17" w:rsidRPr="00C15DFD" w:rsidRDefault="00C15DFD" w:rsidP="00C15DF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Put together </w:t>
            </w:r>
            <w:proofErr w:type="spellStart"/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SoW</w:t>
            </w:r>
            <w:proofErr w:type="spellEnd"/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for Phase 3 for $55k for </w:t>
            </w:r>
            <w:r w:rsidR="003736CC"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Phase 3 SOW </w:t>
            </w:r>
          </w:p>
        </w:tc>
      </w:tr>
      <w:tr w:rsidR="00920447" w:rsidRPr="00920447" w:rsidTr="00E72E17">
        <w:trPr>
          <w:trHeight w:val="20"/>
        </w:trPr>
        <w:tc>
          <w:tcPr>
            <w:tcW w:w="132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18F" w:rsidRPr="00C15DFD" w:rsidRDefault="0004018F" w:rsidP="0004018F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HPE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18F" w:rsidRPr="00C15DFD" w:rsidRDefault="0004018F" w:rsidP="0004018F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Steffo</w:t>
            </w:r>
          </w:p>
        </w:tc>
        <w:tc>
          <w:tcPr>
            <w:tcW w:w="966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2E17" w:rsidRPr="00C15DFD" w:rsidRDefault="00E72E17" w:rsidP="00E72E1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Working on the $82K Phase 4 for AWS Security </w:t>
            </w:r>
          </w:p>
          <w:p w:rsidR="00ED2F2A" w:rsidRPr="00C15DFD" w:rsidRDefault="00E72E17" w:rsidP="000D6B2B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Trying to secure AWS Funding </w:t>
            </w:r>
          </w:p>
          <w:p w:rsidR="00E72E17" w:rsidRPr="00C15DFD" w:rsidRDefault="00E72E17" w:rsidP="000D6B2B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Contract in Legal </w:t>
            </w:r>
          </w:p>
        </w:tc>
      </w:tr>
      <w:tr w:rsidR="00920447" w:rsidRPr="00920447" w:rsidTr="00E72E17">
        <w:trPr>
          <w:trHeight w:val="20"/>
        </w:trPr>
        <w:tc>
          <w:tcPr>
            <w:tcW w:w="132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6181" w:rsidRPr="00C15DFD" w:rsidRDefault="000D6B2B" w:rsidP="0004018F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State and Local Government (SLG)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6181" w:rsidRPr="00C15DFD" w:rsidRDefault="00CC6181" w:rsidP="0004018F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Steffo</w:t>
            </w:r>
          </w:p>
        </w:tc>
        <w:tc>
          <w:tcPr>
            <w:tcW w:w="966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5DFD" w:rsidRPr="00C15DFD" w:rsidRDefault="00C15DFD" w:rsidP="00E72E1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Meeting held with the customer and the Microsoft Rep this week </w:t>
            </w:r>
          </w:p>
          <w:p w:rsidR="00E72E17" w:rsidRPr="00C15DFD" w:rsidRDefault="00E72E17" w:rsidP="00C15DF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City of LA - </w:t>
            </w:r>
            <w:r w:rsidR="00C15DFD"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We got the IO# for $25 and are awaiting signature/PO#</w:t>
            </w:r>
          </w:p>
          <w:p w:rsidR="00E72E17" w:rsidRPr="00C15DFD" w:rsidRDefault="00E72E17" w:rsidP="00E72E1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State of CA - $25k Workshop to be </w:t>
            </w:r>
            <w:r w:rsid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submitted to MSFT for funding. </w:t>
            </w:r>
            <w:proofErr w:type="spellStart"/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Colo</w:t>
            </w:r>
            <w:proofErr w:type="spellEnd"/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pull-thru opportunity</w:t>
            </w:r>
          </w:p>
          <w:p w:rsidR="00E72E17" w:rsidRPr="00C15DFD" w:rsidRDefault="00E72E17" w:rsidP="00E72E1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State of WA - $25k Discovery Workshop – identifying Business driver</w:t>
            </w:r>
          </w:p>
          <w:p w:rsidR="00E72E17" w:rsidRPr="00C15DFD" w:rsidRDefault="00E72E17" w:rsidP="00E72E1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State of HI - $25k Express Route turn-up and troubleshooting </w:t>
            </w:r>
            <w:proofErr w:type="spellStart"/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tbd</w:t>
            </w:r>
            <w:proofErr w:type="spellEnd"/>
          </w:p>
          <w:p w:rsidR="00E72E17" w:rsidRPr="00C15DFD" w:rsidRDefault="00E72E17" w:rsidP="00E72E1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State of NV - $25k Express Route turn-up and troubleshooting </w:t>
            </w:r>
            <w:proofErr w:type="spellStart"/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tbd</w:t>
            </w:r>
            <w:proofErr w:type="spellEnd"/>
          </w:p>
          <w:p w:rsidR="00E72E17" w:rsidRPr="00C15DFD" w:rsidRDefault="00E72E17" w:rsidP="00E72E1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Orange County - $25k </w:t>
            </w:r>
            <w:proofErr w:type="spellStart"/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SfB</w:t>
            </w:r>
            <w:proofErr w:type="spellEnd"/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/o365 Network Evaluation </w:t>
            </w:r>
            <w:proofErr w:type="spellStart"/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tbd</w:t>
            </w:r>
            <w:proofErr w:type="spellEnd"/>
          </w:p>
          <w:p w:rsidR="00CC6181" w:rsidRPr="00C15DFD" w:rsidRDefault="00E72E17" w:rsidP="00E72E17"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LA Superior Court - $25k </w:t>
            </w:r>
            <w:proofErr w:type="spellStart"/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SfB</w:t>
            </w:r>
            <w:proofErr w:type="spellEnd"/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/o365 Network Evaluation </w:t>
            </w:r>
            <w:proofErr w:type="spellStart"/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tbd</w:t>
            </w:r>
            <w:proofErr w:type="spellEnd"/>
          </w:p>
        </w:tc>
      </w:tr>
      <w:tr w:rsidR="00920447" w:rsidRPr="00920447" w:rsidTr="00E72E17">
        <w:trPr>
          <w:trHeight w:val="547"/>
        </w:trPr>
        <w:tc>
          <w:tcPr>
            <w:tcW w:w="132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18F" w:rsidRPr="00C15DFD" w:rsidRDefault="0004018F" w:rsidP="0004018F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Contact Solutions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18F" w:rsidRPr="00C15DFD" w:rsidRDefault="0004018F" w:rsidP="0004018F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Jason</w:t>
            </w:r>
          </w:p>
        </w:tc>
        <w:tc>
          <w:tcPr>
            <w:tcW w:w="966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2724" w:rsidRPr="00C15DFD" w:rsidRDefault="00972724" w:rsidP="00972724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Customer is pending the production roll out of their </w:t>
            </w:r>
            <w:proofErr w:type="spellStart"/>
            <w:proofErr w:type="gramStart"/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My:Time</w:t>
            </w:r>
            <w:proofErr w:type="spellEnd"/>
            <w:proofErr w:type="gramEnd"/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application.</w:t>
            </w:r>
          </w:p>
          <w:p w:rsidR="0004018F" w:rsidRPr="00C15DFD" w:rsidRDefault="00972724" w:rsidP="00972724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Currently scheduled to re-engage in Q4. EPS is working with AWS on funding opportunities.</w:t>
            </w:r>
          </w:p>
        </w:tc>
      </w:tr>
      <w:tr w:rsidR="00E72E17" w:rsidRPr="00920447" w:rsidTr="00D27030">
        <w:trPr>
          <w:trHeight w:val="1267"/>
        </w:trPr>
        <w:tc>
          <w:tcPr>
            <w:tcW w:w="132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2E17" w:rsidRPr="00C15DFD" w:rsidRDefault="00E72E17" w:rsidP="00E72E17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CDM Smith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2E17" w:rsidRPr="00C15DFD" w:rsidRDefault="00E72E17" w:rsidP="00E72E17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Jason</w:t>
            </w:r>
          </w:p>
        </w:tc>
        <w:tc>
          <w:tcPr>
            <w:tcW w:w="966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2E17" w:rsidRPr="00C15DFD" w:rsidRDefault="00E72E17" w:rsidP="00E72E1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CIO Summit @ Equinix HQ</w:t>
            </w:r>
          </w:p>
          <w:p w:rsidR="00E72E17" w:rsidRPr="00C15DFD" w:rsidRDefault="00E72E17" w:rsidP="00E72E17">
            <w:pPr>
              <w:pStyle w:val="ListParagraph"/>
              <w:numPr>
                <w:ilvl w:val="1"/>
                <w:numId w:val="1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Slated in late September in Redwood City with Dave &amp; Mike</w:t>
            </w:r>
          </w:p>
          <w:p w:rsidR="00E72E17" w:rsidRPr="00C15DFD" w:rsidRDefault="00E72E17" w:rsidP="00E72E17">
            <w:pPr>
              <w:pStyle w:val="ListParagraph"/>
              <w:numPr>
                <w:ilvl w:val="1"/>
                <w:numId w:val="1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Update agenda to include 1Ž2 day to discuss </w:t>
            </w:r>
            <w:proofErr w:type="spellStart"/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SmartCity</w:t>
            </w:r>
            <w:proofErr w:type="spellEnd"/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initiative</w:t>
            </w:r>
          </w:p>
          <w:p w:rsidR="00E72E17" w:rsidRPr="00C15DFD" w:rsidRDefault="00E72E17" w:rsidP="00E72E1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IOT Workshop with Microsoft</w:t>
            </w:r>
          </w:p>
          <w:p w:rsidR="00E72E17" w:rsidRPr="00C15DFD" w:rsidRDefault="00E72E17" w:rsidP="00E72E17">
            <w:pPr>
              <w:pStyle w:val="ListParagraph"/>
              <w:numPr>
                <w:ilvl w:val="1"/>
                <w:numId w:val="1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Plan to schedule mid-late September - @Jason to coordinate with Microsoft and get this booked</w:t>
            </w:r>
          </w:p>
          <w:p w:rsidR="00E72E17" w:rsidRPr="00C15DFD" w:rsidRDefault="00E72E17" w:rsidP="00E72E1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HoloLens efforts; waiting on customer to provide business scenarios to take advantage of our offerings.</w:t>
            </w:r>
          </w:p>
        </w:tc>
      </w:tr>
    </w:tbl>
    <w:p w:rsidR="00BC5E4B" w:rsidRPr="00920447" w:rsidRDefault="00BC5E4B" w:rsidP="00D161E3">
      <w:pPr>
        <w:jc w:val="both"/>
        <w:rPr>
          <w:rFonts w:ascii="Arial" w:hAnsi="Arial" w:cs="Arial"/>
          <w:b/>
          <w:color w:val="FF0000"/>
          <w:sz w:val="18"/>
          <w:szCs w:val="18"/>
        </w:rPr>
      </w:pPr>
    </w:p>
    <w:sectPr w:rsidR="00BC5E4B" w:rsidRPr="00920447" w:rsidSect="00865364">
      <w:pgSz w:w="12240" w:h="15840"/>
      <w:pgMar w:top="270" w:right="180" w:bottom="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00D7"/>
    <w:multiLevelType w:val="hybridMultilevel"/>
    <w:tmpl w:val="2FD8F3D8"/>
    <w:lvl w:ilvl="0" w:tplc="2D24385A">
      <w:numFmt w:val="bullet"/>
      <w:lvlText w:val="-"/>
      <w:lvlJc w:val="left"/>
      <w:pPr>
        <w:ind w:left="376" w:hanging="360"/>
      </w:pPr>
      <w:rPr>
        <w:rFonts w:ascii="Arial" w:eastAsia="Times New Roman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</w:abstractNum>
  <w:abstractNum w:abstractNumId="1" w15:restartNumberingAfterBreak="0">
    <w:nsid w:val="09633BB5"/>
    <w:multiLevelType w:val="hybridMultilevel"/>
    <w:tmpl w:val="7C50A2A8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2" w15:restartNumberingAfterBreak="0">
    <w:nsid w:val="0BFF67DD"/>
    <w:multiLevelType w:val="hybridMultilevel"/>
    <w:tmpl w:val="B4C45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57BE8"/>
    <w:multiLevelType w:val="hybridMultilevel"/>
    <w:tmpl w:val="85C0B2FC"/>
    <w:lvl w:ilvl="0" w:tplc="CABAC25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C7B37"/>
    <w:multiLevelType w:val="hybridMultilevel"/>
    <w:tmpl w:val="71B6B3F8"/>
    <w:lvl w:ilvl="0" w:tplc="00F4E0A0">
      <w:numFmt w:val="bullet"/>
      <w:lvlText w:val="-"/>
      <w:lvlJc w:val="left"/>
      <w:pPr>
        <w:ind w:left="37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44910"/>
    <w:multiLevelType w:val="hybridMultilevel"/>
    <w:tmpl w:val="62E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C13E2"/>
    <w:multiLevelType w:val="hybridMultilevel"/>
    <w:tmpl w:val="1E783B30"/>
    <w:lvl w:ilvl="0" w:tplc="71B8388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E0C75"/>
    <w:multiLevelType w:val="hybridMultilevel"/>
    <w:tmpl w:val="392461CA"/>
    <w:lvl w:ilvl="0" w:tplc="28DE3C8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24C30"/>
    <w:multiLevelType w:val="hybridMultilevel"/>
    <w:tmpl w:val="32D443D2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9" w15:restartNumberingAfterBreak="0">
    <w:nsid w:val="2E8D0D4C"/>
    <w:multiLevelType w:val="hybridMultilevel"/>
    <w:tmpl w:val="AB320960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10" w15:restartNumberingAfterBreak="0">
    <w:nsid w:val="309D449D"/>
    <w:multiLevelType w:val="hybridMultilevel"/>
    <w:tmpl w:val="16CC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70BDF"/>
    <w:multiLevelType w:val="hybridMultilevel"/>
    <w:tmpl w:val="1722EB12"/>
    <w:lvl w:ilvl="0" w:tplc="68260318">
      <w:numFmt w:val="bullet"/>
      <w:lvlText w:val="-"/>
      <w:lvlJc w:val="left"/>
      <w:pPr>
        <w:ind w:left="37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</w:abstractNum>
  <w:abstractNum w:abstractNumId="12" w15:restartNumberingAfterBreak="0">
    <w:nsid w:val="413B350E"/>
    <w:multiLevelType w:val="hybridMultilevel"/>
    <w:tmpl w:val="BC78DC9A"/>
    <w:lvl w:ilvl="0" w:tplc="FDDEFB6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84F46"/>
    <w:multiLevelType w:val="hybridMultilevel"/>
    <w:tmpl w:val="F350DCD8"/>
    <w:lvl w:ilvl="0" w:tplc="00F4E0A0">
      <w:numFmt w:val="bullet"/>
      <w:lvlText w:val="-"/>
      <w:lvlJc w:val="left"/>
      <w:pPr>
        <w:ind w:left="376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09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</w:abstractNum>
  <w:abstractNum w:abstractNumId="14" w15:restartNumberingAfterBreak="0">
    <w:nsid w:val="545C1C8A"/>
    <w:multiLevelType w:val="hybridMultilevel"/>
    <w:tmpl w:val="2FD0AEE4"/>
    <w:lvl w:ilvl="0" w:tplc="FDDEFB6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38146A"/>
    <w:multiLevelType w:val="hybridMultilevel"/>
    <w:tmpl w:val="02D4E3B2"/>
    <w:lvl w:ilvl="0" w:tplc="80B4187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810957"/>
    <w:multiLevelType w:val="hybridMultilevel"/>
    <w:tmpl w:val="F3CC74C4"/>
    <w:lvl w:ilvl="0" w:tplc="2FF2BA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9433F"/>
    <w:multiLevelType w:val="hybridMultilevel"/>
    <w:tmpl w:val="1160E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B471AA"/>
    <w:multiLevelType w:val="hybridMultilevel"/>
    <w:tmpl w:val="A9C46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9C5C2A"/>
    <w:multiLevelType w:val="hybridMultilevel"/>
    <w:tmpl w:val="8E6C5626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20" w15:restartNumberingAfterBreak="0">
    <w:nsid w:val="7D376C7F"/>
    <w:multiLevelType w:val="hybridMultilevel"/>
    <w:tmpl w:val="0108D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12AD8"/>
    <w:multiLevelType w:val="hybridMultilevel"/>
    <w:tmpl w:val="648CD8B0"/>
    <w:lvl w:ilvl="0" w:tplc="E97CD74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2"/>
  </w:num>
  <w:num w:numId="4">
    <w:abstractNumId w:val="14"/>
  </w:num>
  <w:num w:numId="5">
    <w:abstractNumId w:val="5"/>
  </w:num>
  <w:num w:numId="6">
    <w:abstractNumId w:val="2"/>
  </w:num>
  <w:num w:numId="7">
    <w:abstractNumId w:val="21"/>
  </w:num>
  <w:num w:numId="8">
    <w:abstractNumId w:val="7"/>
  </w:num>
  <w:num w:numId="9">
    <w:abstractNumId w:val="18"/>
  </w:num>
  <w:num w:numId="10">
    <w:abstractNumId w:val="10"/>
  </w:num>
  <w:num w:numId="11">
    <w:abstractNumId w:val="20"/>
  </w:num>
  <w:num w:numId="12">
    <w:abstractNumId w:val="0"/>
  </w:num>
  <w:num w:numId="13">
    <w:abstractNumId w:val="6"/>
  </w:num>
  <w:num w:numId="14">
    <w:abstractNumId w:val="8"/>
  </w:num>
  <w:num w:numId="15">
    <w:abstractNumId w:val="1"/>
  </w:num>
  <w:num w:numId="16">
    <w:abstractNumId w:val="9"/>
  </w:num>
  <w:num w:numId="17">
    <w:abstractNumId w:val="19"/>
  </w:num>
  <w:num w:numId="18">
    <w:abstractNumId w:val="11"/>
  </w:num>
  <w:num w:numId="19">
    <w:abstractNumId w:val="13"/>
  </w:num>
  <w:num w:numId="20">
    <w:abstractNumId w:val="4"/>
  </w:num>
  <w:num w:numId="21">
    <w:abstractNumId w:val="1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51E"/>
    <w:rsid w:val="0004018F"/>
    <w:rsid w:val="0005070A"/>
    <w:rsid w:val="0008055E"/>
    <w:rsid w:val="000B3217"/>
    <w:rsid w:val="000C523A"/>
    <w:rsid w:val="000D6B2B"/>
    <w:rsid w:val="000E637F"/>
    <w:rsid w:val="0017751E"/>
    <w:rsid w:val="001A0A7D"/>
    <w:rsid w:val="001B6757"/>
    <w:rsid w:val="001D6971"/>
    <w:rsid w:val="001E365A"/>
    <w:rsid w:val="001E7BD3"/>
    <w:rsid w:val="001F3033"/>
    <w:rsid w:val="002140F6"/>
    <w:rsid w:val="002274BE"/>
    <w:rsid w:val="00254604"/>
    <w:rsid w:val="00254F0A"/>
    <w:rsid w:val="002679CA"/>
    <w:rsid w:val="002C02B2"/>
    <w:rsid w:val="002D2ACC"/>
    <w:rsid w:val="002D7A18"/>
    <w:rsid w:val="002F2978"/>
    <w:rsid w:val="002F5127"/>
    <w:rsid w:val="003015FA"/>
    <w:rsid w:val="0034720E"/>
    <w:rsid w:val="003736CC"/>
    <w:rsid w:val="00391F0C"/>
    <w:rsid w:val="00393456"/>
    <w:rsid w:val="003A39A2"/>
    <w:rsid w:val="003B65F3"/>
    <w:rsid w:val="003C0A82"/>
    <w:rsid w:val="00404089"/>
    <w:rsid w:val="004361A1"/>
    <w:rsid w:val="004510C4"/>
    <w:rsid w:val="00483BF6"/>
    <w:rsid w:val="00496064"/>
    <w:rsid w:val="004B5EE6"/>
    <w:rsid w:val="004D428B"/>
    <w:rsid w:val="004D5043"/>
    <w:rsid w:val="004E1674"/>
    <w:rsid w:val="00531D8D"/>
    <w:rsid w:val="00547769"/>
    <w:rsid w:val="00570936"/>
    <w:rsid w:val="00572C1F"/>
    <w:rsid w:val="005957AA"/>
    <w:rsid w:val="005A4C72"/>
    <w:rsid w:val="005B1390"/>
    <w:rsid w:val="005C323A"/>
    <w:rsid w:val="005C374E"/>
    <w:rsid w:val="005D188F"/>
    <w:rsid w:val="00604E28"/>
    <w:rsid w:val="00616F67"/>
    <w:rsid w:val="006529EC"/>
    <w:rsid w:val="006674E1"/>
    <w:rsid w:val="00667F49"/>
    <w:rsid w:val="00671432"/>
    <w:rsid w:val="0068694C"/>
    <w:rsid w:val="00690D1F"/>
    <w:rsid w:val="006D0059"/>
    <w:rsid w:val="006E643B"/>
    <w:rsid w:val="00727914"/>
    <w:rsid w:val="0073110B"/>
    <w:rsid w:val="0075230C"/>
    <w:rsid w:val="0075418B"/>
    <w:rsid w:val="00780C97"/>
    <w:rsid w:val="00790821"/>
    <w:rsid w:val="007B2943"/>
    <w:rsid w:val="007C6126"/>
    <w:rsid w:val="00807A20"/>
    <w:rsid w:val="00814693"/>
    <w:rsid w:val="00827E04"/>
    <w:rsid w:val="00857696"/>
    <w:rsid w:val="00865364"/>
    <w:rsid w:val="00883328"/>
    <w:rsid w:val="00884DBA"/>
    <w:rsid w:val="008E39F2"/>
    <w:rsid w:val="008E67A2"/>
    <w:rsid w:val="008F1D46"/>
    <w:rsid w:val="008F37D0"/>
    <w:rsid w:val="00920447"/>
    <w:rsid w:val="00937830"/>
    <w:rsid w:val="00962593"/>
    <w:rsid w:val="00964090"/>
    <w:rsid w:val="00972724"/>
    <w:rsid w:val="0098120B"/>
    <w:rsid w:val="00984744"/>
    <w:rsid w:val="00985256"/>
    <w:rsid w:val="009B2C69"/>
    <w:rsid w:val="009D4888"/>
    <w:rsid w:val="009F3CE5"/>
    <w:rsid w:val="00A0667C"/>
    <w:rsid w:val="00A11C3A"/>
    <w:rsid w:val="00A31CBD"/>
    <w:rsid w:val="00A358CF"/>
    <w:rsid w:val="00A3786E"/>
    <w:rsid w:val="00A417E7"/>
    <w:rsid w:val="00A80956"/>
    <w:rsid w:val="00A8306B"/>
    <w:rsid w:val="00A876BF"/>
    <w:rsid w:val="00A962EC"/>
    <w:rsid w:val="00AB67FA"/>
    <w:rsid w:val="00AE2C99"/>
    <w:rsid w:val="00AE5E2A"/>
    <w:rsid w:val="00AF19D7"/>
    <w:rsid w:val="00B267D1"/>
    <w:rsid w:val="00B528D5"/>
    <w:rsid w:val="00B9491D"/>
    <w:rsid w:val="00B97D3A"/>
    <w:rsid w:val="00BA28C6"/>
    <w:rsid w:val="00BA70B9"/>
    <w:rsid w:val="00BC5E4B"/>
    <w:rsid w:val="00BD2202"/>
    <w:rsid w:val="00BD6EAC"/>
    <w:rsid w:val="00C034BF"/>
    <w:rsid w:val="00C14295"/>
    <w:rsid w:val="00C15DFD"/>
    <w:rsid w:val="00C246F0"/>
    <w:rsid w:val="00C344A9"/>
    <w:rsid w:val="00C4197A"/>
    <w:rsid w:val="00C6786D"/>
    <w:rsid w:val="00C72B43"/>
    <w:rsid w:val="00C75EA3"/>
    <w:rsid w:val="00C87A2B"/>
    <w:rsid w:val="00C93CF9"/>
    <w:rsid w:val="00CA1F0E"/>
    <w:rsid w:val="00CB4EA4"/>
    <w:rsid w:val="00CC6181"/>
    <w:rsid w:val="00D161E3"/>
    <w:rsid w:val="00D27030"/>
    <w:rsid w:val="00D73E1D"/>
    <w:rsid w:val="00DE32EC"/>
    <w:rsid w:val="00E12884"/>
    <w:rsid w:val="00E619A2"/>
    <w:rsid w:val="00E65B04"/>
    <w:rsid w:val="00E72E17"/>
    <w:rsid w:val="00E8217C"/>
    <w:rsid w:val="00E8774B"/>
    <w:rsid w:val="00EB5FA1"/>
    <w:rsid w:val="00EC1E9C"/>
    <w:rsid w:val="00ED2F2A"/>
    <w:rsid w:val="00F3605E"/>
    <w:rsid w:val="00F8045E"/>
    <w:rsid w:val="00F90A60"/>
    <w:rsid w:val="00F959EC"/>
    <w:rsid w:val="00FB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D8094"/>
  <w15:chartTrackingRefBased/>
  <w15:docId w15:val="{A88BC1AA-C31B-43EA-8AE2-7284B543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0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B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0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Bakaeva | Nimbo</dc:creator>
  <cp:keywords/>
  <dc:description/>
  <cp:lastModifiedBy>Tatiana Bakaeva</cp:lastModifiedBy>
  <cp:revision>3</cp:revision>
  <dcterms:created xsi:type="dcterms:W3CDTF">2016-08-25T22:54:00Z</dcterms:created>
  <dcterms:modified xsi:type="dcterms:W3CDTF">2016-08-26T00:02:00Z</dcterms:modified>
</cp:coreProperties>
</file>