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FDC1F" w14:textId="77777777" w:rsidR="0075230C" w:rsidRDefault="0017751E" w:rsidP="002F5127">
      <w:pPr>
        <w:tabs>
          <w:tab w:val="left" w:pos="11160"/>
        </w:tabs>
        <w:ind w:right="6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673222" wp14:editId="18FB0484">
            <wp:extent cx="1892299" cy="476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29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</w:t>
      </w:r>
      <w:r w:rsidRPr="00F72B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D559C44" w14:textId="77777777" w:rsidR="0075230C" w:rsidRDefault="0075230C" w:rsidP="002F5127">
      <w:pPr>
        <w:tabs>
          <w:tab w:val="left" w:pos="11160"/>
        </w:tabs>
        <w:ind w:right="630"/>
        <w:jc w:val="both"/>
        <w:rPr>
          <w:rFonts w:ascii="Arial" w:hAnsi="Arial" w:cs="Arial"/>
          <w:color w:val="000000"/>
          <w:sz w:val="20"/>
          <w:szCs w:val="20"/>
        </w:rPr>
      </w:pPr>
    </w:p>
    <w:p w14:paraId="4A979C1A" w14:textId="7BA2B7C8" w:rsidR="0017751E" w:rsidRDefault="00017D75" w:rsidP="00D161E3">
      <w:pPr>
        <w:tabs>
          <w:tab w:val="left" w:pos="11160"/>
        </w:tabs>
        <w:ind w:right="63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 Date: 9</w:t>
      </w:r>
      <w:r w:rsidR="003C0A82"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1</w:t>
      </w:r>
      <w:r w:rsidR="0017751E" w:rsidRPr="00F72B83">
        <w:rPr>
          <w:rFonts w:ascii="Arial" w:hAnsi="Arial" w:cs="Arial"/>
          <w:color w:val="000000"/>
          <w:sz w:val="20"/>
          <w:szCs w:val="20"/>
        </w:rPr>
        <w:t>/16</w:t>
      </w:r>
    </w:p>
    <w:p w14:paraId="354C690A" w14:textId="481352A1" w:rsidR="0017751E" w:rsidRDefault="001D6971" w:rsidP="00A417E7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Q3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 xml:space="preserve"> EPS Weekly </w:t>
      </w:r>
      <w:r w:rsidR="002274BE" w:rsidRPr="002274BE">
        <w:rPr>
          <w:rFonts w:ascii="Arial" w:hAnsi="Arial" w:cs="Arial"/>
          <w:b/>
          <w:bCs/>
          <w:color w:val="000000"/>
          <w:sz w:val="30"/>
          <w:szCs w:val="30"/>
        </w:rPr>
        <w:t xml:space="preserve">Activities 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>Sales Report</w:t>
      </w:r>
    </w:p>
    <w:p w14:paraId="2C7917EA" w14:textId="2826A48F" w:rsidR="006674E1" w:rsidRDefault="006674E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19BBBFD8" w14:textId="7417D87C" w:rsidR="006674E1" w:rsidRDefault="004D5043" w:rsidP="0017751E">
      <w:pPr>
        <w:rPr>
          <w:rFonts w:ascii="Arial" w:hAnsi="Arial" w:cs="Arial"/>
          <w:b/>
          <w:color w:val="000000"/>
          <w:sz w:val="20"/>
          <w:szCs w:val="20"/>
        </w:rPr>
      </w:pPr>
      <w:r w:rsidRPr="004D5043">
        <w:rPr>
          <w:rFonts w:ascii="Arial" w:hAnsi="Arial" w:cs="Arial"/>
          <w:b/>
          <w:color w:val="000000"/>
          <w:sz w:val="20"/>
          <w:szCs w:val="20"/>
        </w:rPr>
        <w:t xml:space="preserve">Overview </w:t>
      </w:r>
    </w:p>
    <w:p w14:paraId="0AB5F5F2" w14:textId="77777777" w:rsidR="004361A1" w:rsidRDefault="004361A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10760" w:type="dxa"/>
        <w:tblInd w:w="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6" w:space="0" w:color="BFBFBF"/>
          <w:insideV w:val="single" w:sz="6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530"/>
        <w:gridCol w:w="1800"/>
        <w:gridCol w:w="1530"/>
        <w:gridCol w:w="1980"/>
        <w:gridCol w:w="1800"/>
        <w:gridCol w:w="1260"/>
      </w:tblGrid>
      <w:tr w:rsidR="00F3605E" w:rsidRPr="00C344A9" w14:paraId="1C5B4234" w14:textId="77777777" w:rsidTr="00F2453D">
        <w:trPr>
          <w:trHeight w:val="20"/>
        </w:trPr>
        <w:tc>
          <w:tcPr>
            <w:tcW w:w="860" w:type="dxa"/>
            <w:shd w:val="clear" w:color="000000" w:fill="A5A5A5"/>
            <w:vAlign w:val="center"/>
            <w:hideMark/>
          </w:tcPr>
          <w:p w14:paraId="01A9073B" w14:textId="4EA0DA60" w:rsidR="00F3605E" w:rsidRPr="00C344A9" w:rsidRDefault="00F3605E" w:rsidP="003B65F3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Region </w:t>
            </w:r>
          </w:p>
        </w:tc>
        <w:tc>
          <w:tcPr>
            <w:tcW w:w="1530" w:type="dxa"/>
            <w:shd w:val="clear" w:color="000000" w:fill="A5A5A5"/>
            <w:vAlign w:val="center"/>
            <w:hideMark/>
          </w:tcPr>
          <w:p w14:paraId="7B323361" w14:textId="5AF37AA2" w:rsidR="00F3605E" w:rsidRDefault="00F3605E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Open </w:t>
            </w:r>
          </w:p>
          <w:p w14:paraId="73F34DBD" w14:textId="213AF3AD" w:rsidR="00F3605E" w:rsidRPr="00C344A9" w:rsidRDefault="00F3605E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Opportunities</w:t>
            </w:r>
          </w:p>
        </w:tc>
        <w:tc>
          <w:tcPr>
            <w:tcW w:w="1800" w:type="dxa"/>
            <w:shd w:val="clear" w:color="000000" w:fill="A5A5A5"/>
          </w:tcPr>
          <w:p w14:paraId="3C4C95BE" w14:textId="77777777" w:rsidR="000C523A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EPS Funnel</w:t>
            </w:r>
          </w:p>
          <w:p w14:paraId="6119646D" w14:textId="77777777" w:rsidR="000C523A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</w:p>
          <w:p w14:paraId="4A752D7B" w14:textId="262E919A" w:rsidR="00F3605E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(excl. closed/won)</w:t>
            </w:r>
          </w:p>
        </w:tc>
        <w:tc>
          <w:tcPr>
            <w:tcW w:w="1530" w:type="dxa"/>
            <w:shd w:val="clear" w:color="000000" w:fill="A5A5A5"/>
            <w:vAlign w:val="center"/>
            <w:hideMark/>
          </w:tcPr>
          <w:p w14:paraId="18914903" w14:textId="77777777" w:rsidR="000C523A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Closed/Won</w:t>
            </w:r>
          </w:p>
          <w:p w14:paraId="57FA492A" w14:textId="18AABB61" w:rsidR="00F3605E" w:rsidRPr="00C344A9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Q3 2016</w:t>
            </w:r>
          </w:p>
        </w:tc>
        <w:tc>
          <w:tcPr>
            <w:tcW w:w="1980" w:type="dxa"/>
            <w:shd w:val="clear" w:color="000000" w:fill="A5A5A5"/>
          </w:tcPr>
          <w:p w14:paraId="30AB1C1B" w14:textId="7750BE44" w:rsidR="00F3605E" w:rsidRPr="00C344A9" w:rsidRDefault="000C523A" w:rsidP="000C523A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</w:t>
            </w:r>
            <w:r w:rsidR="004B569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Contracts </w:t>
            </w: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Signed for Packaged Solutions </w:t>
            </w:r>
          </w:p>
        </w:tc>
        <w:tc>
          <w:tcPr>
            <w:tcW w:w="1800" w:type="dxa"/>
            <w:shd w:val="clear" w:color="000000" w:fill="A5A5A5"/>
          </w:tcPr>
          <w:p w14:paraId="5EE1403C" w14:textId="26898EE3" w:rsidR="00F3605E" w:rsidRPr="00C344A9" w:rsidRDefault="004B569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Contracts </w:t>
            </w:r>
            <w:r w:rsidR="00F2453D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Signed for  </w:t>
            </w:r>
            <w:r w:rsidR="000C523A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Custom Solutions </w:t>
            </w:r>
          </w:p>
        </w:tc>
        <w:tc>
          <w:tcPr>
            <w:tcW w:w="1260" w:type="dxa"/>
            <w:shd w:val="clear" w:color="000000" w:fill="A5A5A5"/>
            <w:vAlign w:val="center"/>
            <w:hideMark/>
          </w:tcPr>
          <w:p w14:paraId="37D5B3B0" w14:textId="73BDA039" w:rsidR="00F3605E" w:rsidRPr="00C344A9" w:rsidRDefault="00883328" w:rsidP="00883328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Net New Logos for Equinix  </w:t>
            </w:r>
          </w:p>
        </w:tc>
      </w:tr>
      <w:tr w:rsidR="007C41C1" w:rsidRPr="00C344A9" w14:paraId="488C6B03" w14:textId="77777777" w:rsidTr="00F2453D">
        <w:trPr>
          <w:trHeight w:val="20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13BC45" w14:textId="0497D98D" w:rsidR="007C41C1" w:rsidRPr="00C344A9" w:rsidRDefault="007C41C1" w:rsidP="007C4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0B432AC0" w14:textId="42A88478" w:rsidR="007C41C1" w:rsidRPr="00C344A9" w:rsidRDefault="0028673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800" w:type="dxa"/>
          </w:tcPr>
          <w:p w14:paraId="27D4476B" w14:textId="49F74521" w:rsidR="007C41C1" w:rsidRPr="00C344A9" w:rsidRDefault="00286731" w:rsidP="0028673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$454,191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2ACBC677" w14:textId="731E67E1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$12,500 </w:t>
            </w:r>
          </w:p>
        </w:tc>
        <w:tc>
          <w:tcPr>
            <w:tcW w:w="1980" w:type="dxa"/>
          </w:tcPr>
          <w:p w14:paraId="5F51CA3A" w14:textId="495FE8AD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3DF0D92B" w14:textId="4A5FD134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899E57" w14:textId="09EDF715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7C41C1" w:rsidRPr="00C344A9" w14:paraId="21BD251E" w14:textId="77777777" w:rsidTr="00F2453D">
        <w:trPr>
          <w:trHeight w:val="20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F23226" w14:textId="0D0F24A0" w:rsidR="007C41C1" w:rsidRPr="00C344A9" w:rsidRDefault="007C41C1" w:rsidP="007C4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East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00CE15AC" w14:textId="4311C2C0" w:rsidR="007C41C1" w:rsidRPr="00C344A9" w:rsidRDefault="0028673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800" w:type="dxa"/>
          </w:tcPr>
          <w:p w14:paraId="340CBF04" w14:textId="78C2E9A1" w:rsidR="007C41C1" w:rsidRPr="00C344A9" w:rsidRDefault="00286731" w:rsidP="0028673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731">
              <w:rPr>
                <w:rFonts w:ascii="Arial" w:hAnsi="Arial" w:cs="Arial"/>
                <w:color w:val="000000"/>
                <w:sz w:val="18"/>
                <w:szCs w:val="18"/>
              </w:rPr>
              <w:t>$737,155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7D220813" w14:textId="7084153A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$384,310 </w:t>
            </w:r>
          </w:p>
        </w:tc>
        <w:tc>
          <w:tcPr>
            <w:tcW w:w="1980" w:type="dxa"/>
          </w:tcPr>
          <w:p w14:paraId="15C40234" w14:textId="7F6DFE80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0" w:type="dxa"/>
          </w:tcPr>
          <w:p w14:paraId="267B6417" w14:textId="1CC473C3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D9CC1A2" w14:textId="2BCFDC62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C41C1" w:rsidRPr="00C344A9" w14:paraId="2318FC26" w14:textId="77777777" w:rsidTr="00F2453D">
        <w:trPr>
          <w:trHeight w:val="20"/>
        </w:trPr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045AB64" w14:textId="77777777" w:rsidR="007C41C1" w:rsidRPr="00C344A9" w:rsidRDefault="007C41C1" w:rsidP="007C4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West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422DF5A0" w14:textId="2BEA71CD" w:rsidR="007C41C1" w:rsidRPr="00C344A9" w:rsidRDefault="0028673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800" w:type="dxa"/>
          </w:tcPr>
          <w:p w14:paraId="34F259DA" w14:textId="31E0D7CD" w:rsidR="007C41C1" w:rsidRPr="00C14295" w:rsidRDefault="00286731" w:rsidP="0028673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$272,200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7834D20A" w14:textId="162F40E4" w:rsidR="007C41C1" w:rsidRPr="00C14295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$38,000</w:t>
            </w:r>
          </w:p>
        </w:tc>
        <w:tc>
          <w:tcPr>
            <w:tcW w:w="1980" w:type="dxa"/>
          </w:tcPr>
          <w:p w14:paraId="4A2F76D3" w14:textId="39C9638B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0" w:type="dxa"/>
          </w:tcPr>
          <w:p w14:paraId="423AA6AC" w14:textId="01AE98DB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D6ABE73" w14:textId="75DD0BBA" w:rsidR="007C41C1" w:rsidRPr="00C344A9" w:rsidRDefault="007C41C1" w:rsidP="007C4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7C41C1" w:rsidRPr="00C344A9" w14:paraId="52C1D9CD" w14:textId="77777777" w:rsidTr="00F2453D">
        <w:trPr>
          <w:trHeight w:val="120"/>
        </w:trPr>
        <w:tc>
          <w:tcPr>
            <w:tcW w:w="860" w:type="dxa"/>
            <w:shd w:val="clear" w:color="000000" w:fill="D0CECE"/>
            <w:noWrap/>
            <w:vAlign w:val="center"/>
            <w:hideMark/>
          </w:tcPr>
          <w:p w14:paraId="108E0464" w14:textId="77777777" w:rsidR="007C41C1" w:rsidRPr="00C344A9" w:rsidRDefault="007C41C1" w:rsidP="007C41C1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Totals</w:t>
            </w:r>
          </w:p>
        </w:tc>
        <w:tc>
          <w:tcPr>
            <w:tcW w:w="1530" w:type="dxa"/>
            <w:shd w:val="clear" w:color="000000" w:fill="D0CECE"/>
            <w:noWrap/>
            <w:vAlign w:val="center"/>
          </w:tcPr>
          <w:p w14:paraId="6544A086" w14:textId="50C2559D" w:rsidR="007C41C1" w:rsidRPr="004A2079" w:rsidRDefault="00286731" w:rsidP="007C41C1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43</w:t>
            </w:r>
          </w:p>
        </w:tc>
        <w:tc>
          <w:tcPr>
            <w:tcW w:w="1800" w:type="dxa"/>
            <w:shd w:val="clear" w:color="000000" w:fill="D0CECE"/>
          </w:tcPr>
          <w:p w14:paraId="1FC5AECA" w14:textId="19C3AD77" w:rsidR="007C41C1" w:rsidRPr="00286731" w:rsidRDefault="00286731" w:rsidP="007C41C1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86731">
              <w:rPr>
                <w:rFonts w:ascii="Arial" w:hAnsi="Arial" w:cs="Arial"/>
                <w:b/>
                <w:color w:val="000000"/>
                <w:sz w:val="18"/>
                <w:szCs w:val="18"/>
              </w:rPr>
              <w:t>$1,463,546</w:t>
            </w:r>
          </w:p>
        </w:tc>
        <w:tc>
          <w:tcPr>
            <w:tcW w:w="1530" w:type="dxa"/>
            <w:shd w:val="clear" w:color="000000" w:fill="D0CECE"/>
            <w:noWrap/>
            <w:vAlign w:val="center"/>
          </w:tcPr>
          <w:p w14:paraId="14CF15B7" w14:textId="2DD9372E" w:rsidR="007C41C1" w:rsidRPr="004B5EE6" w:rsidRDefault="007C41C1" w:rsidP="007C41C1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A2079">
              <w:rPr>
                <w:rFonts w:ascii="Arial" w:hAnsi="Arial" w:cs="Arial"/>
                <w:b/>
                <w:color w:val="000000"/>
                <w:sz w:val="18"/>
                <w:szCs w:val="18"/>
              </w:rPr>
              <w:t>$434,810</w:t>
            </w:r>
          </w:p>
        </w:tc>
        <w:tc>
          <w:tcPr>
            <w:tcW w:w="1980" w:type="dxa"/>
            <w:shd w:val="clear" w:color="000000" w:fill="D0CECE"/>
          </w:tcPr>
          <w:p w14:paraId="671A15B6" w14:textId="7DFCACD3" w:rsidR="007C41C1" w:rsidRPr="004B5EE6" w:rsidRDefault="007C41C1" w:rsidP="007C41C1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800" w:type="dxa"/>
            <w:shd w:val="clear" w:color="000000" w:fill="D0CECE"/>
          </w:tcPr>
          <w:p w14:paraId="57CF969A" w14:textId="72F52161" w:rsidR="007C41C1" w:rsidRPr="004B5EE6" w:rsidRDefault="007C41C1" w:rsidP="007C41C1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shd w:val="clear" w:color="000000" w:fill="D0CECE"/>
            <w:noWrap/>
            <w:vAlign w:val="center"/>
          </w:tcPr>
          <w:p w14:paraId="6780C992" w14:textId="3C17D675" w:rsidR="007C41C1" w:rsidRPr="004B5EE6" w:rsidRDefault="007C41C1" w:rsidP="007C41C1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</w:tbl>
    <w:p w14:paraId="71CD7FA9" w14:textId="77777777" w:rsidR="00AF19D7" w:rsidRDefault="00AF19D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73A76FB3" w14:textId="77777777" w:rsidR="0017751E" w:rsidRPr="004D5043" w:rsidRDefault="0017751E" w:rsidP="0017751E">
      <w:pPr>
        <w:jc w:val="both"/>
        <w:rPr>
          <w:rFonts w:ascii="Arial" w:hAnsi="Arial" w:cs="Arial"/>
          <w:sz w:val="4"/>
          <w:szCs w:val="4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2330"/>
        <w:gridCol w:w="8460"/>
      </w:tblGrid>
      <w:tr w:rsidR="00C344A9" w:rsidRPr="00572C1F" w14:paraId="18118BC6" w14:textId="77777777" w:rsidTr="004A2079">
        <w:trPr>
          <w:trHeight w:val="20"/>
        </w:trPr>
        <w:tc>
          <w:tcPr>
            <w:tcW w:w="2330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9752939" w14:textId="65F0F0EB" w:rsidR="00C344A9" w:rsidRPr="00572C1F" w:rsidRDefault="00C14295" w:rsidP="00C14295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8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017D75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25/16 - 9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017D75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1</w:t>
            </w:r>
            <w:r w:rsidR="00C344A9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</w:t>
            </w:r>
          </w:p>
        </w:tc>
        <w:tc>
          <w:tcPr>
            <w:tcW w:w="8460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000000" w:fill="A5A5A5"/>
            <w:noWrap/>
            <w:vAlign w:val="center"/>
            <w:hideMark/>
          </w:tcPr>
          <w:p w14:paraId="1EBB7202" w14:textId="3338D7F8" w:rsidR="00C344A9" w:rsidRPr="00572C1F" w:rsidRDefault="00C344A9" w:rsidP="00807A20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C344A9" w:rsidRPr="00572C1F" w14:paraId="30713CB9" w14:textId="77777777" w:rsidTr="004A2079">
        <w:trPr>
          <w:trHeight w:val="288"/>
        </w:trPr>
        <w:tc>
          <w:tcPr>
            <w:tcW w:w="233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42B455" w14:textId="5792887D" w:rsidR="00C344A9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 xml:space="preserve">Proposals </w:t>
            </w:r>
            <w:r w:rsidR="00C344A9" w:rsidRPr="00572C1F">
              <w:rPr>
                <w:rFonts w:ascii="Arial" w:hAnsi="Arial" w:cs="Arial"/>
                <w:color w:val="000000"/>
                <w:sz w:val="18"/>
                <w:szCs w:val="18"/>
              </w:rPr>
              <w:t>Sent Out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69B55F3" w14:textId="103D0979" w:rsidR="000479DD" w:rsidRDefault="000479DD" w:rsidP="000479DD">
            <w:pPr>
              <w:pStyle w:val="ListParagraph"/>
              <w:ind w:left="376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  <w:p w14:paraId="66E44B3E" w14:textId="62844015" w:rsidR="001F3033" w:rsidRDefault="004A2079" w:rsidP="004A207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A2079">
              <w:rPr>
                <w:rFonts w:ascii="Arial" w:hAnsi="Arial" w:cs="Arial"/>
                <w:color w:val="000000"/>
                <w:sz w:val="18"/>
                <w:szCs w:val="18"/>
              </w:rPr>
              <w:t>Infinidat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4A2079">
              <w:rPr>
                <w:rFonts w:ascii="Arial" w:hAnsi="Arial" w:cs="Arial"/>
                <w:color w:val="000000"/>
                <w:sz w:val="18"/>
                <w:szCs w:val="18"/>
              </w:rPr>
              <w:t>Discovery Workshop and Cloud Foundation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(SO)</w:t>
            </w:r>
          </w:p>
          <w:p w14:paraId="740CF71E" w14:textId="23ED98B5" w:rsidR="007C41C1" w:rsidRPr="007C41C1" w:rsidRDefault="007C41C1" w:rsidP="007C41C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Fujitsu America, Inc. - Cloud Phase 1 for </w:t>
            </w:r>
            <w:r w:rsidRPr="0034720E">
              <w:rPr>
                <w:rFonts w:ascii="Arial" w:hAnsi="Arial" w:cs="Arial"/>
                <w:color w:val="000000"/>
                <w:sz w:val="18"/>
                <w:szCs w:val="18"/>
              </w:rPr>
              <w:t>ECX Enablement + Training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(Updated SOW)</w:t>
            </w:r>
          </w:p>
        </w:tc>
      </w:tr>
      <w:tr w:rsidR="008E39F2" w:rsidRPr="00572C1F" w14:paraId="699E5164" w14:textId="77777777" w:rsidTr="007C41C1">
        <w:trPr>
          <w:trHeight w:val="475"/>
        </w:trPr>
        <w:tc>
          <w:tcPr>
            <w:tcW w:w="233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0A1F0F" w14:textId="597AFBD4" w:rsidR="008E39F2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Closed/Won Opportunities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2135C7" w14:textId="2B18CA5E" w:rsidR="000479DD" w:rsidRDefault="000479DD" w:rsidP="000479DD">
            <w:pPr>
              <w:pStyle w:val="ListParagraph"/>
              <w:ind w:left="376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  <w:p w14:paraId="286CFDEF" w14:textId="10A1114B" w:rsidR="006674E1" w:rsidRDefault="004B5691" w:rsidP="004708F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B5691">
              <w:rPr>
                <w:rFonts w:ascii="Arial" w:hAnsi="Arial" w:cs="Arial"/>
                <w:color w:val="000000"/>
                <w:sz w:val="18"/>
                <w:szCs w:val="18"/>
              </w:rPr>
              <w:t>Wescom</w:t>
            </w:r>
            <w:proofErr w:type="spellEnd"/>
            <w:r w:rsidRPr="004B5691">
              <w:rPr>
                <w:rFonts w:ascii="Arial" w:hAnsi="Arial" w:cs="Arial"/>
                <w:color w:val="000000"/>
                <w:sz w:val="18"/>
                <w:szCs w:val="18"/>
              </w:rPr>
              <w:t xml:space="preserve"> Communications</w:t>
            </w:r>
            <w:r w:rsidR="004708F3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4708F3" w:rsidRPr="004708F3">
              <w:rPr>
                <w:rFonts w:ascii="Arial" w:hAnsi="Arial" w:cs="Arial"/>
                <w:color w:val="000000"/>
                <w:sz w:val="18"/>
                <w:szCs w:val="18"/>
              </w:rPr>
              <w:t>Change Order for Increased ECX Networking Support</w:t>
            </w:r>
            <w:r w:rsidR="004708F3">
              <w:rPr>
                <w:rFonts w:ascii="Arial" w:hAnsi="Arial" w:cs="Arial"/>
                <w:color w:val="000000"/>
                <w:sz w:val="18"/>
                <w:szCs w:val="18"/>
              </w:rPr>
              <w:t xml:space="preserve"> ($19.5K)</w:t>
            </w:r>
          </w:p>
          <w:p w14:paraId="60564B94" w14:textId="45B136E2" w:rsidR="004708F3" w:rsidRPr="00AE5E2A" w:rsidRDefault="00372857" w:rsidP="004708F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City of LA/ </w:t>
            </w:r>
            <w:bookmarkStart w:id="0" w:name="_GoBack"/>
            <w:bookmarkEnd w:id="0"/>
            <w:r w:rsidR="004708F3" w:rsidRPr="004708F3">
              <w:rPr>
                <w:rFonts w:ascii="Arial" w:hAnsi="Arial" w:cs="Arial"/>
                <w:color w:val="000000"/>
                <w:sz w:val="18"/>
                <w:szCs w:val="18"/>
              </w:rPr>
              <w:t>LAP</w:t>
            </w:r>
            <w:r w:rsidR="004708F3">
              <w:rPr>
                <w:rFonts w:ascii="Arial" w:hAnsi="Arial" w:cs="Arial"/>
                <w:color w:val="000000"/>
                <w:sz w:val="18"/>
                <w:szCs w:val="18"/>
              </w:rPr>
              <w:t xml:space="preserve">D, </w:t>
            </w:r>
            <w:r w:rsidR="004708F3" w:rsidRPr="004708F3">
              <w:rPr>
                <w:rFonts w:ascii="Arial" w:hAnsi="Arial" w:cs="Arial"/>
                <w:color w:val="000000"/>
                <w:sz w:val="18"/>
                <w:szCs w:val="18"/>
              </w:rPr>
              <w:t>Skype for Business Readiness Evaluation-CLA-004</w:t>
            </w:r>
            <w:r w:rsidR="004708F3">
              <w:rPr>
                <w:rFonts w:ascii="Arial" w:hAnsi="Arial" w:cs="Arial"/>
                <w:color w:val="000000"/>
                <w:sz w:val="18"/>
                <w:szCs w:val="18"/>
              </w:rPr>
              <w:t xml:space="preserve"> ($25K) </w:t>
            </w:r>
          </w:p>
        </w:tc>
      </w:tr>
    </w:tbl>
    <w:p w14:paraId="33BCDAB6" w14:textId="1C3CB3A0" w:rsidR="00B528D5" w:rsidRDefault="00B528D5" w:rsidP="00A417E7">
      <w:pPr>
        <w:jc w:val="both"/>
        <w:rPr>
          <w:rFonts w:ascii="Arial" w:hAnsi="Arial" w:cs="Arial"/>
          <w:b/>
          <w:sz w:val="20"/>
          <w:szCs w:val="20"/>
        </w:rPr>
      </w:pPr>
    </w:p>
    <w:p w14:paraId="2DB974E4" w14:textId="19DFA4AA" w:rsidR="0017751E" w:rsidRDefault="004D5043" w:rsidP="00A417E7">
      <w:pPr>
        <w:jc w:val="both"/>
        <w:rPr>
          <w:rFonts w:ascii="Arial" w:hAnsi="Arial" w:cs="Arial"/>
          <w:b/>
          <w:sz w:val="20"/>
          <w:szCs w:val="20"/>
        </w:rPr>
      </w:pPr>
      <w:r w:rsidRPr="004D5043">
        <w:rPr>
          <w:rFonts w:ascii="Arial" w:hAnsi="Arial" w:cs="Arial"/>
          <w:b/>
          <w:sz w:val="20"/>
          <w:szCs w:val="20"/>
        </w:rPr>
        <w:t>Strategic Account Updates</w:t>
      </w:r>
      <w:r w:rsidR="00A417E7">
        <w:rPr>
          <w:rFonts w:ascii="Arial" w:hAnsi="Arial" w:cs="Arial"/>
          <w:b/>
          <w:sz w:val="20"/>
          <w:szCs w:val="20"/>
        </w:rPr>
        <w:t xml:space="preserve"> </w:t>
      </w:r>
    </w:p>
    <w:p w14:paraId="01EDEE1F" w14:textId="1FD4BD6E" w:rsidR="003C0A82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777"/>
        <w:gridCol w:w="9665"/>
      </w:tblGrid>
      <w:tr w:rsidR="00254604" w:rsidRPr="00254604" w14:paraId="6B71989F" w14:textId="77777777" w:rsidTr="00C15DFD">
        <w:trPr>
          <w:trHeight w:val="403"/>
        </w:trPr>
        <w:tc>
          <w:tcPr>
            <w:tcW w:w="1328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AEBC1" w14:textId="77777777" w:rsidR="003C0A82" w:rsidRPr="004A2079" w:rsidRDefault="003C0A82" w:rsidP="00807A20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4A207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Account</w:t>
            </w:r>
          </w:p>
        </w:tc>
        <w:tc>
          <w:tcPr>
            <w:tcW w:w="777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06AF" w14:textId="77777777" w:rsidR="003C0A82" w:rsidRPr="004A2079" w:rsidRDefault="003C0A82" w:rsidP="00807A20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4A207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9665" w:type="dxa"/>
            <w:tcBorders>
              <w:top w:val="single" w:sz="8" w:space="0" w:color="A5A5A5"/>
              <w:left w:val="single" w:sz="8" w:space="0" w:color="A5A5A5"/>
              <w:bottom w:val="single" w:sz="8" w:space="0" w:color="A6A6A6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42A8F" w14:textId="77777777" w:rsidR="003C0A82" w:rsidRPr="004A2079" w:rsidRDefault="003C0A82" w:rsidP="00807A20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4A207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Update</w:t>
            </w:r>
          </w:p>
        </w:tc>
      </w:tr>
      <w:tr w:rsidR="00920447" w:rsidRPr="00920447" w14:paraId="54442A06" w14:textId="77777777" w:rsidTr="00E72E17">
        <w:trPr>
          <w:trHeight w:val="5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E4BA9" w14:textId="06F8808F" w:rsidR="0004018F" w:rsidRPr="00C15DFD" w:rsidRDefault="00E72E17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Angelo Gordon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980C4" w14:textId="20ED4DCC" w:rsidR="0004018F" w:rsidRPr="00C15DFD" w:rsidRDefault="00E72E17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Jim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5EC2E" w14:textId="409965F0" w:rsidR="00E72E17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Presented follow up SOW-B for the projects identified in last week's roadmap meeting</w:t>
            </w:r>
            <w:r w:rsidR="00A038D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this week </w:t>
            </w:r>
          </w:p>
          <w:p w14:paraId="33539C7B" w14:textId="77777777" w:rsidR="004B5691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Proposal includes Cloud Optimization and Phase 2 of DevOps development for ~$68K</w:t>
            </w:r>
          </w:p>
          <w:p w14:paraId="6D9DA808" w14:textId="0C4E07AC" w:rsidR="004B5691" w:rsidRPr="00C15DFD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Expect this to close this month</w:t>
            </w:r>
          </w:p>
        </w:tc>
      </w:tr>
      <w:tr w:rsidR="004B5691" w:rsidRPr="00920447" w14:paraId="2959E2E4" w14:textId="7777777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FEE5C" w14:textId="252FBD7E" w:rsidR="004B5691" w:rsidRPr="00C15DFD" w:rsidRDefault="004B5691" w:rsidP="00C15D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State and Local Government (SLG)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828D8" w14:textId="4A1AED3B" w:rsidR="004B5691" w:rsidRPr="00C15DFD" w:rsidRDefault="004B5691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Steffo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C502B" w14:textId="5C30DD15" w:rsidR="004B5691" w:rsidRPr="004B5691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Signed </w:t>
            </w: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Phase 3 contract and PO for City of LA</w:t>
            </w:r>
            <w:r w:rsidR="00A038D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this week </w:t>
            </w:r>
          </w:p>
          <w:p w14:paraId="568C8B1D" w14:textId="5662C99B" w:rsidR="004B5691" w:rsidRPr="004B5691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State of CA - $25k Workshop to be submitted to MSFT for funding. </w:t>
            </w:r>
            <w:proofErr w:type="spellStart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Colo</w:t>
            </w:r>
            <w:proofErr w:type="spellEnd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pull-thru opportunity for September</w:t>
            </w:r>
          </w:p>
          <w:p w14:paraId="68C1BD5C" w14:textId="26DD3506" w:rsidR="004B5691" w:rsidRPr="004B5691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State of WA - $25k Discovery Workshop – identifying Business driver</w:t>
            </w:r>
          </w:p>
          <w:p w14:paraId="75A3D61C" w14:textId="0F47E85F" w:rsidR="004B5691" w:rsidRPr="004B5691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State of HI - $25k Express Route turn-up and troubleshooting </w:t>
            </w:r>
            <w:proofErr w:type="spellStart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tbd</w:t>
            </w:r>
            <w:proofErr w:type="spellEnd"/>
          </w:p>
        </w:tc>
      </w:tr>
      <w:tr w:rsidR="00920447" w:rsidRPr="00920447" w14:paraId="49339F5C" w14:textId="7777777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4F7DA" w14:textId="2BA24C9A" w:rsidR="00E72E17" w:rsidRPr="00C15DFD" w:rsidRDefault="00E72E17" w:rsidP="00C15DF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GCI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53A45" w14:textId="40FC7612" w:rsidR="00E72E17" w:rsidRPr="00C15DFD" w:rsidRDefault="00E72E17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Steffo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06FC0" w14:textId="77777777" w:rsidR="004B5691" w:rsidRPr="004B5691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Put together </w:t>
            </w:r>
            <w:proofErr w:type="spellStart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SoW</w:t>
            </w:r>
            <w:proofErr w:type="spellEnd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for Phase 3 for $55k for Phase 3 SOW</w:t>
            </w:r>
          </w:p>
          <w:p w14:paraId="7CC914E5" w14:textId="2FCF10DA" w:rsidR="00E72E17" w:rsidRPr="00C15DFD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ECX deployment week of 9/19</w:t>
            </w:r>
          </w:p>
        </w:tc>
      </w:tr>
      <w:tr w:rsidR="00920447" w:rsidRPr="00920447" w14:paraId="7E0E93BE" w14:textId="77777777" w:rsidTr="00E72E17">
        <w:trPr>
          <w:trHeight w:val="20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98A43" w14:textId="44E1DE2C" w:rsidR="0004018F" w:rsidRPr="00C15DFD" w:rsidRDefault="0004018F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HPE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9F27A" w14:textId="28150F82" w:rsidR="0004018F" w:rsidRPr="00C15DFD" w:rsidRDefault="0004018F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Steffo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C0A61" w14:textId="13F25C20"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Working on the $82K Phase 4 for AWS Security </w:t>
            </w:r>
          </w:p>
          <w:p w14:paraId="2A4BEDEE" w14:textId="690C299C" w:rsidR="00ED2F2A" w:rsidRPr="00C15DFD" w:rsidRDefault="00E72E17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Trying to secure AWS Funding </w:t>
            </w:r>
          </w:p>
          <w:p w14:paraId="64B7E665" w14:textId="3E473EA5" w:rsidR="00E72E17" w:rsidRPr="00C15DFD" w:rsidRDefault="00E72E17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Contract in Legal </w:t>
            </w:r>
          </w:p>
        </w:tc>
      </w:tr>
      <w:tr w:rsidR="004B5691" w:rsidRPr="00920447" w14:paraId="3005FF47" w14:textId="77777777" w:rsidTr="00E72E17">
        <w:trPr>
          <w:trHeight w:val="547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08A51" w14:textId="39197A88" w:rsidR="004B5691" w:rsidRPr="00C15DFD" w:rsidRDefault="004B5691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AIG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73D75" w14:textId="6D24EFE7" w:rsidR="004B5691" w:rsidRPr="00C15DFD" w:rsidRDefault="004B5691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Joerg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69D0A" w14:textId="2DE6BACA" w:rsidR="004B5691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September 12th Performance Hub meeting is scheduled and looking to add EPS to the agenda</w:t>
            </w:r>
          </w:p>
          <w:p w14:paraId="5D5CFF95" w14:textId="6C7D8BBC" w:rsidR="004B5691" w:rsidRPr="004B5691" w:rsidRDefault="004B5691" w:rsidP="004B56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Met with </w:t>
            </w:r>
            <w:proofErr w:type="spellStart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Magesh</w:t>
            </w:r>
            <w:proofErr w:type="spellEnd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Bagavathi</w:t>
            </w:r>
            <w:proofErr w:type="spellEnd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, VP, Global Head of Cloud, Platforms &amp; Product Mgt. at AIG and his team in Dallas, TX on 8/24.</w:t>
            </w:r>
          </w:p>
          <w:p w14:paraId="4B7DB142" w14:textId="1DD0C0B4" w:rsidR="004B5691" w:rsidRPr="004B5691" w:rsidRDefault="004B5691" w:rsidP="004B5691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Next steps are 1) get Michael Parks and his team to a meeting to propose EPS Network Optimization using Advocate's services and 2) work with Lance to get another meeting with </w:t>
            </w:r>
            <w:proofErr w:type="spellStart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>Magesh</w:t>
            </w:r>
            <w:proofErr w:type="spellEnd"/>
            <w:r w:rsidRPr="004B569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and his cloud team to discuss how Azure can be used for DR services.</w:t>
            </w:r>
          </w:p>
        </w:tc>
      </w:tr>
      <w:tr w:rsidR="00920447" w:rsidRPr="00920447" w14:paraId="286EC810" w14:textId="77777777" w:rsidTr="00E72E17">
        <w:trPr>
          <w:trHeight w:val="547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E7D3B" w14:textId="7BCE9A0F" w:rsidR="0004018F" w:rsidRPr="00C15DFD" w:rsidRDefault="0004018F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Contact Solutions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72EBA" w14:textId="3FF92969" w:rsidR="0004018F" w:rsidRPr="00C15DFD" w:rsidRDefault="0004018F" w:rsidP="0004018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Jason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02ADA" w14:textId="7778C708" w:rsidR="00972724" w:rsidRPr="00C15DFD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Customer is pending the production roll out of their </w:t>
            </w:r>
            <w:proofErr w:type="spellStart"/>
            <w:proofErr w:type="gram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My:Time</w:t>
            </w:r>
            <w:proofErr w:type="spellEnd"/>
            <w:proofErr w:type="gram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application.</w:t>
            </w:r>
          </w:p>
          <w:p w14:paraId="2C287DCC" w14:textId="754AB49F" w:rsidR="0004018F" w:rsidRPr="00C15DFD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Currently scheduled to re-engage in Q4. EPS is working with AWS on funding opportunities.</w:t>
            </w:r>
          </w:p>
        </w:tc>
      </w:tr>
      <w:tr w:rsidR="00E72E17" w:rsidRPr="00920447" w14:paraId="7DE03171" w14:textId="77777777" w:rsidTr="00D27030">
        <w:trPr>
          <w:trHeight w:val="1267"/>
        </w:trPr>
        <w:tc>
          <w:tcPr>
            <w:tcW w:w="132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90FC4" w14:textId="761A8063" w:rsidR="00E72E17" w:rsidRPr="00C15DFD" w:rsidRDefault="00E72E17" w:rsidP="00E72E17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CDM Smith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EAF8F" w14:textId="71BC5D0F" w:rsidR="00E72E17" w:rsidRPr="00C15DFD" w:rsidRDefault="00E72E17" w:rsidP="00E72E17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Jason</w:t>
            </w:r>
          </w:p>
        </w:tc>
        <w:tc>
          <w:tcPr>
            <w:tcW w:w="966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E549E" w14:textId="77777777"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CIO Summit @ Equinix HQ</w:t>
            </w:r>
          </w:p>
          <w:p w14:paraId="52C1088A" w14:textId="2F241FB7" w:rsidR="00E72E17" w:rsidRPr="00C15DFD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Slated in late September in Redwood City with Dave &amp; Mike</w:t>
            </w:r>
          </w:p>
          <w:p w14:paraId="5271797D" w14:textId="17E18C8B" w:rsidR="00E72E17" w:rsidRPr="00C15DFD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Update agenda to include 1Ž2 day to discuss </w:t>
            </w:r>
            <w:proofErr w:type="spellStart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SmartCity</w:t>
            </w:r>
            <w:proofErr w:type="spellEnd"/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initiative</w:t>
            </w:r>
          </w:p>
          <w:p w14:paraId="664E84B4" w14:textId="2C2FAA84"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IOT Workshop with Microsoft</w:t>
            </w:r>
          </w:p>
          <w:p w14:paraId="6D45D47D" w14:textId="3BAD5DA6" w:rsidR="00E72E17" w:rsidRPr="00C15DFD" w:rsidRDefault="00E72E17" w:rsidP="00E72E1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Plan to schedule mid-late September - @Jason to coordinate with Microsoft and get this booked</w:t>
            </w:r>
          </w:p>
          <w:p w14:paraId="03520D98" w14:textId="2C6615F1" w:rsidR="00E72E17" w:rsidRPr="00C15DFD" w:rsidRDefault="00E72E17" w:rsidP="00E72E1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15DFD">
              <w:rPr>
                <w:rFonts w:ascii="Arial" w:hAnsi="Arial" w:cs="Arial"/>
                <w:color w:val="000000" w:themeColor="text1"/>
                <w:sz w:val="18"/>
                <w:szCs w:val="18"/>
              </w:rPr>
              <w:t>HoloLens efforts; waiting on customer to provide business scenarios to take advantage of our offerings.</w:t>
            </w:r>
          </w:p>
        </w:tc>
      </w:tr>
    </w:tbl>
    <w:p w14:paraId="48B06D8A" w14:textId="06BD7A76" w:rsidR="00BC5E4B" w:rsidRPr="00920447" w:rsidRDefault="00BC5E4B" w:rsidP="00D161E3">
      <w:pPr>
        <w:jc w:val="both"/>
        <w:rPr>
          <w:rFonts w:ascii="Arial" w:hAnsi="Arial" w:cs="Arial"/>
          <w:b/>
          <w:color w:val="FF0000"/>
          <w:sz w:val="18"/>
          <w:szCs w:val="18"/>
        </w:rPr>
      </w:pPr>
    </w:p>
    <w:sectPr w:rsidR="00BC5E4B" w:rsidRPr="00920447" w:rsidSect="00865364">
      <w:pgSz w:w="12240" w:h="15840"/>
      <w:pgMar w:top="270" w:right="18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0D7"/>
    <w:multiLevelType w:val="hybridMultilevel"/>
    <w:tmpl w:val="2FD8F3D8"/>
    <w:lvl w:ilvl="0" w:tplc="2D24385A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" w15:restartNumberingAfterBreak="0">
    <w:nsid w:val="09633BB5"/>
    <w:multiLevelType w:val="hybridMultilevel"/>
    <w:tmpl w:val="7C50A2A8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" w15:restartNumberingAfterBreak="0">
    <w:nsid w:val="0BFF67DD"/>
    <w:multiLevelType w:val="hybridMultilevel"/>
    <w:tmpl w:val="B4C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7BE8"/>
    <w:multiLevelType w:val="hybridMultilevel"/>
    <w:tmpl w:val="85C0B2FC"/>
    <w:lvl w:ilvl="0" w:tplc="CABAC2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7B37"/>
    <w:multiLevelType w:val="hybridMultilevel"/>
    <w:tmpl w:val="71B6B3F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44910"/>
    <w:multiLevelType w:val="hybridMultilevel"/>
    <w:tmpl w:val="62E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13E2"/>
    <w:multiLevelType w:val="hybridMultilevel"/>
    <w:tmpl w:val="1E783B30"/>
    <w:lvl w:ilvl="0" w:tplc="71B838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0C75"/>
    <w:multiLevelType w:val="hybridMultilevel"/>
    <w:tmpl w:val="392461CA"/>
    <w:lvl w:ilvl="0" w:tplc="28DE3C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4C30"/>
    <w:multiLevelType w:val="hybridMultilevel"/>
    <w:tmpl w:val="32D443D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9" w15:restartNumberingAfterBreak="0">
    <w:nsid w:val="2E8D0D4C"/>
    <w:multiLevelType w:val="hybridMultilevel"/>
    <w:tmpl w:val="AB32096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09D449D"/>
    <w:multiLevelType w:val="hybridMultilevel"/>
    <w:tmpl w:val="16CC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70BDF"/>
    <w:multiLevelType w:val="hybridMultilevel"/>
    <w:tmpl w:val="1722EB12"/>
    <w:lvl w:ilvl="0" w:tplc="68260318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2" w15:restartNumberingAfterBreak="0">
    <w:nsid w:val="413B350E"/>
    <w:multiLevelType w:val="hybridMultilevel"/>
    <w:tmpl w:val="BC78DC9A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4F46"/>
    <w:multiLevelType w:val="hybridMultilevel"/>
    <w:tmpl w:val="F350DCD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4" w15:restartNumberingAfterBreak="0">
    <w:nsid w:val="545C1C8A"/>
    <w:multiLevelType w:val="hybridMultilevel"/>
    <w:tmpl w:val="2FD0AEE4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8146A"/>
    <w:multiLevelType w:val="hybridMultilevel"/>
    <w:tmpl w:val="02D4E3B2"/>
    <w:lvl w:ilvl="0" w:tplc="80B4187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0957"/>
    <w:multiLevelType w:val="hybridMultilevel"/>
    <w:tmpl w:val="F3CC74C4"/>
    <w:lvl w:ilvl="0" w:tplc="2FF2BA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9433F"/>
    <w:multiLevelType w:val="hybridMultilevel"/>
    <w:tmpl w:val="116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471AA"/>
    <w:multiLevelType w:val="hybridMultilevel"/>
    <w:tmpl w:val="A9C4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C5C2A"/>
    <w:multiLevelType w:val="hybridMultilevel"/>
    <w:tmpl w:val="8E6C5626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0" w15:restartNumberingAfterBreak="0">
    <w:nsid w:val="7D376C7F"/>
    <w:multiLevelType w:val="hybridMultilevel"/>
    <w:tmpl w:val="010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12AD8"/>
    <w:multiLevelType w:val="hybridMultilevel"/>
    <w:tmpl w:val="648CD8B0"/>
    <w:lvl w:ilvl="0" w:tplc="E97CD74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4"/>
  </w:num>
  <w:num w:numId="5">
    <w:abstractNumId w:val="5"/>
  </w:num>
  <w:num w:numId="6">
    <w:abstractNumId w:val="2"/>
  </w:num>
  <w:num w:numId="7">
    <w:abstractNumId w:val="21"/>
  </w:num>
  <w:num w:numId="8">
    <w:abstractNumId w:val="7"/>
  </w:num>
  <w:num w:numId="9">
    <w:abstractNumId w:val="18"/>
  </w:num>
  <w:num w:numId="10">
    <w:abstractNumId w:val="10"/>
  </w:num>
  <w:num w:numId="11">
    <w:abstractNumId w:val="20"/>
  </w:num>
  <w:num w:numId="12">
    <w:abstractNumId w:val="0"/>
  </w:num>
  <w:num w:numId="13">
    <w:abstractNumId w:val="6"/>
  </w:num>
  <w:num w:numId="14">
    <w:abstractNumId w:val="8"/>
  </w:num>
  <w:num w:numId="15">
    <w:abstractNumId w:val="1"/>
  </w:num>
  <w:num w:numId="16">
    <w:abstractNumId w:val="9"/>
  </w:num>
  <w:num w:numId="17">
    <w:abstractNumId w:val="19"/>
  </w:num>
  <w:num w:numId="18">
    <w:abstractNumId w:val="11"/>
  </w:num>
  <w:num w:numId="19">
    <w:abstractNumId w:val="13"/>
  </w:num>
  <w:num w:numId="20">
    <w:abstractNumId w:val="4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1E"/>
    <w:rsid w:val="00017D75"/>
    <w:rsid w:val="0004018F"/>
    <w:rsid w:val="000479DD"/>
    <w:rsid w:val="0005070A"/>
    <w:rsid w:val="0008055E"/>
    <w:rsid w:val="000B3217"/>
    <w:rsid w:val="000C523A"/>
    <w:rsid w:val="000D6B2B"/>
    <w:rsid w:val="000E637F"/>
    <w:rsid w:val="0017751E"/>
    <w:rsid w:val="001A0A7D"/>
    <w:rsid w:val="001B6757"/>
    <w:rsid w:val="001D6971"/>
    <w:rsid w:val="001E365A"/>
    <w:rsid w:val="001E7BD3"/>
    <w:rsid w:val="001F3033"/>
    <w:rsid w:val="002140F6"/>
    <w:rsid w:val="002274BE"/>
    <w:rsid w:val="00254604"/>
    <w:rsid w:val="00254F0A"/>
    <w:rsid w:val="002679CA"/>
    <w:rsid w:val="00286731"/>
    <w:rsid w:val="002C02B2"/>
    <w:rsid w:val="002D2ACC"/>
    <w:rsid w:val="002D7A18"/>
    <w:rsid w:val="002F2978"/>
    <w:rsid w:val="002F5127"/>
    <w:rsid w:val="003015FA"/>
    <w:rsid w:val="0034720E"/>
    <w:rsid w:val="00372857"/>
    <w:rsid w:val="003736CC"/>
    <w:rsid w:val="00391F0C"/>
    <w:rsid w:val="00393456"/>
    <w:rsid w:val="003A39A2"/>
    <w:rsid w:val="003B65F3"/>
    <w:rsid w:val="003C0A82"/>
    <w:rsid w:val="00404089"/>
    <w:rsid w:val="004361A1"/>
    <w:rsid w:val="004510C4"/>
    <w:rsid w:val="004708F3"/>
    <w:rsid w:val="00483BF6"/>
    <w:rsid w:val="00496064"/>
    <w:rsid w:val="004A2079"/>
    <w:rsid w:val="004B5691"/>
    <w:rsid w:val="004B5EE6"/>
    <w:rsid w:val="004D428B"/>
    <w:rsid w:val="004D5043"/>
    <w:rsid w:val="004E1674"/>
    <w:rsid w:val="00531D8D"/>
    <w:rsid w:val="00547769"/>
    <w:rsid w:val="00570936"/>
    <w:rsid w:val="00572C1F"/>
    <w:rsid w:val="005957AA"/>
    <w:rsid w:val="005A4C72"/>
    <w:rsid w:val="005B1390"/>
    <w:rsid w:val="005C323A"/>
    <w:rsid w:val="005C374E"/>
    <w:rsid w:val="005D188F"/>
    <w:rsid w:val="00604E28"/>
    <w:rsid w:val="00616F67"/>
    <w:rsid w:val="006529EC"/>
    <w:rsid w:val="006674E1"/>
    <w:rsid w:val="00667F49"/>
    <w:rsid w:val="00671432"/>
    <w:rsid w:val="0068694C"/>
    <w:rsid w:val="00690D1F"/>
    <w:rsid w:val="006D0059"/>
    <w:rsid w:val="006E643B"/>
    <w:rsid w:val="00727914"/>
    <w:rsid w:val="0073110B"/>
    <w:rsid w:val="0075230C"/>
    <w:rsid w:val="0075418B"/>
    <w:rsid w:val="00780C97"/>
    <w:rsid w:val="00790821"/>
    <w:rsid w:val="007B2943"/>
    <w:rsid w:val="007C41C1"/>
    <w:rsid w:val="007C6126"/>
    <w:rsid w:val="00807A20"/>
    <w:rsid w:val="00814693"/>
    <w:rsid w:val="00827E04"/>
    <w:rsid w:val="00857696"/>
    <w:rsid w:val="00865364"/>
    <w:rsid w:val="00883328"/>
    <w:rsid w:val="00884DBA"/>
    <w:rsid w:val="008E39F2"/>
    <w:rsid w:val="008E67A2"/>
    <w:rsid w:val="008F1D46"/>
    <w:rsid w:val="008F37D0"/>
    <w:rsid w:val="00920447"/>
    <w:rsid w:val="00937830"/>
    <w:rsid w:val="00962593"/>
    <w:rsid w:val="00964090"/>
    <w:rsid w:val="00972724"/>
    <w:rsid w:val="0098120B"/>
    <w:rsid w:val="00984744"/>
    <w:rsid w:val="00985256"/>
    <w:rsid w:val="009B2C69"/>
    <w:rsid w:val="009D4888"/>
    <w:rsid w:val="009F3CE5"/>
    <w:rsid w:val="00A038D2"/>
    <w:rsid w:val="00A0667C"/>
    <w:rsid w:val="00A11C3A"/>
    <w:rsid w:val="00A31CBD"/>
    <w:rsid w:val="00A358CF"/>
    <w:rsid w:val="00A3786E"/>
    <w:rsid w:val="00A417E7"/>
    <w:rsid w:val="00A80956"/>
    <w:rsid w:val="00A8306B"/>
    <w:rsid w:val="00A876BF"/>
    <w:rsid w:val="00A962EC"/>
    <w:rsid w:val="00AB67FA"/>
    <w:rsid w:val="00AE2C99"/>
    <w:rsid w:val="00AE5E2A"/>
    <w:rsid w:val="00AF19D7"/>
    <w:rsid w:val="00B267D1"/>
    <w:rsid w:val="00B528D5"/>
    <w:rsid w:val="00B9491D"/>
    <w:rsid w:val="00B97D3A"/>
    <w:rsid w:val="00BA28C6"/>
    <w:rsid w:val="00BC5E4B"/>
    <w:rsid w:val="00BD2202"/>
    <w:rsid w:val="00BD6EAC"/>
    <w:rsid w:val="00C034BF"/>
    <w:rsid w:val="00C14295"/>
    <w:rsid w:val="00C15DFD"/>
    <w:rsid w:val="00C246F0"/>
    <w:rsid w:val="00C344A9"/>
    <w:rsid w:val="00C4197A"/>
    <w:rsid w:val="00C6786D"/>
    <w:rsid w:val="00C72B43"/>
    <w:rsid w:val="00C75EA3"/>
    <w:rsid w:val="00C87A2B"/>
    <w:rsid w:val="00C93CF9"/>
    <w:rsid w:val="00CA1F0E"/>
    <w:rsid w:val="00CB4EA4"/>
    <w:rsid w:val="00CC6181"/>
    <w:rsid w:val="00D161E3"/>
    <w:rsid w:val="00D27030"/>
    <w:rsid w:val="00D73E1D"/>
    <w:rsid w:val="00DE32EC"/>
    <w:rsid w:val="00E12884"/>
    <w:rsid w:val="00E619A2"/>
    <w:rsid w:val="00E65B04"/>
    <w:rsid w:val="00E72E17"/>
    <w:rsid w:val="00E8217C"/>
    <w:rsid w:val="00E8774B"/>
    <w:rsid w:val="00EB5FA1"/>
    <w:rsid w:val="00EC1E9C"/>
    <w:rsid w:val="00ED2F2A"/>
    <w:rsid w:val="00F2453D"/>
    <w:rsid w:val="00F3605E"/>
    <w:rsid w:val="00F8045E"/>
    <w:rsid w:val="00F90A60"/>
    <w:rsid w:val="00F959EC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094"/>
  <w15:chartTrackingRefBased/>
  <w15:docId w15:val="{A88BC1AA-C31B-43EA-8AE2-7284B543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Bakaeva | Nimbo</dc:creator>
  <cp:keywords/>
  <dc:description/>
  <cp:lastModifiedBy>Tatiana Bakaeva</cp:lastModifiedBy>
  <cp:revision>2</cp:revision>
  <dcterms:created xsi:type="dcterms:W3CDTF">2016-09-01T20:01:00Z</dcterms:created>
  <dcterms:modified xsi:type="dcterms:W3CDTF">2016-09-01T20:01:00Z</dcterms:modified>
</cp:coreProperties>
</file>