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88AC9" w14:textId="77777777" w:rsidR="00A32066" w:rsidRPr="00872B91" w:rsidRDefault="00A32066" w:rsidP="00A32066">
      <w:pPr>
        <w:spacing w:after="120"/>
        <w:jc w:val="center"/>
        <w:rPr>
          <w:b/>
          <w:bCs/>
          <w:sz w:val="24"/>
          <w:szCs w:val="24"/>
        </w:rPr>
      </w:pPr>
      <w:r w:rsidRPr="00872B91">
        <w:rPr>
          <w:b/>
          <w:bCs/>
          <w:sz w:val="24"/>
          <w:szCs w:val="24"/>
        </w:rPr>
        <w:t>Overview of Sulfur Dioxide (SO</w:t>
      </w:r>
      <w:r w:rsidRPr="00872B91">
        <w:rPr>
          <w:b/>
          <w:bCs/>
          <w:sz w:val="24"/>
          <w:szCs w:val="24"/>
          <w:vertAlign w:val="subscript"/>
        </w:rPr>
        <w:t>2</w:t>
      </w:r>
      <w:r w:rsidRPr="00872B91">
        <w:rPr>
          <w:b/>
          <w:bCs/>
          <w:sz w:val="24"/>
          <w:szCs w:val="24"/>
        </w:rPr>
        <w:t>) Air Quality in the United States</w:t>
      </w:r>
    </w:p>
    <w:p w14:paraId="243830B4" w14:textId="671D1946" w:rsidR="00872B91" w:rsidRPr="00872B91" w:rsidRDefault="00A32066" w:rsidP="00872B91">
      <w:pPr>
        <w:spacing w:after="120"/>
        <w:jc w:val="center"/>
      </w:pPr>
      <w:r w:rsidRPr="00A32066">
        <w:t xml:space="preserve">Updated: </w:t>
      </w:r>
      <w:r w:rsidR="00872B91" w:rsidRPr="00872B91">
        <w:t xml:space="preserve">February </w:t>
      </w:r>
      <w:r w:rsidR="009F5D81">
        <w:t>7</w:t>
      </w:r>
      <w:r w:rsidR="00872B91" w:rsidRPr="00872B91">
        <w:t>, 2023</w:t>
      </w:r>
    </w:p>
    <w:p w14:paraId="6A38D50D" w14:textId="1AB12F4D" w:rsidR="00A32066" w:rsidRPr="00872B91" w:rsidRDefault="00A32066" w:rsidP="00872B91">
      <w:pPr>
        <w:spacing w:after="120"/>
        <w:rPr>
          <w:b/>
          <w:bCs/>
        </w:rPr>
      </w:pPr>
      <w:r w:rsidRPr="00872B91">
        <w:rPr>
          <w:b/>
          <w:bCs/>
        </w:rPr>
        <w:t>1. Introduction</w:t>
      </w:r>
    </w:p>
    <w:p w14:paraId="076A620A" w14:textId="77777777" w:rsidR="00872B91" w:rsidRPr="00872B91" w:rsidRDefault="00872B91" w:rsidP="00872B91">
      <w:r w:rsidRPr="00872B91">
        <w:t>    The overall purpose of this document is to maintain an up-to-date graphical summary of air quality information that supports the review of the National Ambient Air Quality Standards (NAAQS) for oxides of sulfur, hereafter referred to as the sulfur dioxide (SO</w:t>
      </w:r>
      <w:r w:rsidRPr="00872B91">
        <w:rPr>
          <w:vertAlign w:val="subscript"/>
        </w:rPr>
        <w:t>2</w:t>
      </w:r>
      <w:r w:rsidRPr="00872B91">
        <w:t>) NAAQS. In previous reviews of the SO</w:t>
      </w:r>
      <w:r w:rsidRPr="00872B91">
        <w:rPr>
          <w:vertAlign w:val="subscript"/>
        </w:rPr>
        <w:t>2</w:t>
      </w:r>
      <w:r w:rsidRPr="00872B91">
        <w:t> NAAQS, this type of information has generally been included in atmospheric sections of the Integrated Science Assessment (ISA) and Policy Assessment (PA) for Sulfur Oxides. This stand-alone document will either replace or complement the air quality emissions and monitoring data in the atmospheric sections of future SO</w:t>
      </w:r>
      <w:r w:rsidRPr="00872B91">
        <w:rPr>
          <w:vertAlign w:val="subscript"/>
        </w:rPr>
        <w:t>2</w:t>
      </w:r>
      <w:r w:rsidRPr="00872B91">
        <w:t> NAAQS review supporting documents and will be updated at regular intervals as new data becomes available.</w:t>
      </w:r>
    </w:p>
    <w:p w14:paraId="173FD042" w14:textId="77777777" w:rsidR="00872B91" w:rsidRPr="00872B91" w:rsidRDefault="00872B91" w:rsidP="00872B91">
      <w:r w:rsidRPr="00872B91">
        <w:t>     The content of past NAAQS documents’ atmospheric sections has included major sections on emissions and concentration trends utilizing maps and data from the Environmental Protection Agency’s (EPA’s) National Emissions Inventory (NEI) and the EPA’s Air Quality System (AQS) database. In past NAAQS reviews, this often involved adaptation of figures and tables prepared for other reports or development of new figures and tables using data analysis and mapping software. Additionally, the release of updated emission inventories and ambient air monitoring data may not coincide with the schedule for the development of NAAQS review supporting documents. As a result, data access and resources can limit the availability of the most recent information for inclusion in NAAQS review supporting documents.</w:t>
      </w:r>
    </w:p>
    <w:p w14:paraId="0625376A" w14:textId="77777777" w:rsidR="00872B91" w:rsidRPr="00872B91" w:rsidRDefault="00872B91" w:rsidP="00872B91">
      <w:r w:rsidRPr="00872B91">
        <w:t>     This stand-alone document allows the content to be updated as soon as new data becomes available, rather than relying on information that is available at the time of development of the NAAQS review supporting documents. It also ensures that the public will have access to a consistent set of maps and figures for each NAAQS pollutant that are updated on a routine basis, rather than separated by several years because of the disparate schedules of the various NAAQS reviews for each pollutant. Moreover, a stand-alone document can be expanded to include new air quality analyses as they are completed, rather than following the timeline for the public release of the NAAQS review supporting documents. Finally, this document takes advantage of a more flexible digital format for the routinely prepared maps and trends figures with an end product that more strongly emphasizes visual presentation of data and reduces the amount of text, while also creating a more interactive presentation of the information through the use of external links.</w:t>
      </w:r>
    </w:p>
    <w:p w14:paraId="5CCBA344" w14:textId="77777777" w:rsidR="00872B91" w:rsidRPr="00872B91" w:rsidRDefault="00872B91" w:rsidP="00872B91">
      <w:r w:rsidRPr="00872B91">
        <w:t>     This document follows an organizational structure similar to that of the atmospheric sections of past SO</w:t>
      </w:r>
      <w:r w:rsidRPr="00872B91">
        <w:rPr>
          <w:vertAlign w:val="subscript"/>
        </w:rPr>
        <w:t>2</w:t>
      </w:r>
      <w:r w:rsidRPr="00872B91">
        <w:t> NAAQS review supporting documents. The subsequent sections are as follows: 2. Atmospheric Chemistry; 3. Sources and Emissions of SO</w:t>
      </w:r>
      <w:r w:rsidRPr="00872B91">
        <w:rPr>
          <w:vertAlign w:val="subscript"/>
        </w:rPr>
        <w:t>2</w:t>
      </w:r>
      <w:r w:rsidRPr="00872B91">
        <w:t>; 4. Ambient Air Monitoring Requirements and Monitoring Networks; 5. Data Handling Conventions and Computations for Determining Whether the Standards are Met; and 6. SO</w:t>
      </w:r>
      <w:r w:rsidRPr="00872B91">
        <w:rPr>
          <w:vertAlign w:val="subscript"/>
        </w:rPr>
        <w:t>2</w:t>
      </w:r>
      <w:r w:rsidRPr="00872B91">
        <w:t> Concentrations Measured at Ambient Air Monitoring Sites Across the U.S. These sections are broad enough in scope to communicate relevant information about SO</w:t>
      </w:r>
      <w:r w:rsidRPr="00872B91">
        <w:rPr>
          <w:vertAlign w:val="subscript"/>
        </w:rPr>
        <w:t>2</w:t>
      </w:r>
      <w:r w:rsidRPr="00872B91">
        <w:t> air quality, including scientific advances, but specific enough that the information needed to develop NAAQS review supporting documents can be quickly and readily retrieved.</w:t>
      </w:r>
    </w:p>
    <w:p w14:paraId="0B4345AB" w14:textId="77777777" w:rsidR="00872B91" w:rsidRPr="00872B91" w:rsidRDefault="00872B91" w:rsidP="00872B91">
      <w:pPr>
        <w:rPr>
          <w:b/>
          <w:bCs/>
        </w:rPr>
      </w:pPr>
      <w:r w:rsidRPr="00872B91">
        <w:rPr>
          <w:b/>
          <w:bCs/>
        </w:rPr>
        <w:t>2. Atmospheric Chemistry</w:t>
      </w:r>
    </w:p>
    <w:p w14:paraId="2ED45C0E" w14:textId="77777777" w:rsidR="00872B91" w:rsidRPr="00872B91" w:rsidRDefault="00872B91" w:rsidP="00872B91">
      <w:r w:rsidRPr="00872B91">
        <w:t>     Sulfur oxides are a group of closely related sulfur-containing gas-phase compounds [e.g., sulfur dioxide (SO</w:t>
      </w:r>
      <w:r w:rsidRPr="00872B91">
        <w:rPr>
          <w:vertAlign w:val="subscript"/>
        </w:rPr>
        <w:t>2</w:t>
      </w:r>
      <w:r w:rsidRPr="00872B91">
        <w:t>), sulfur monoxide (SO), disulfur monoxide (S</w:t>
      </w:r>
      <w:r w:rsidRPr="00872B91">
        <w:rPr>
          <w:vertAlign w:val="subscript"/>
        </w:rPr>
        <w:t>2</w:t>
      </w:r>
      <w:r w:rsidRPr="00872B91">
        <w:t>O), and sulfur trioxide (SO</w:t>
      </w:r>
      <w:r w:rsidRPr="00872B91">
        <w:rPr>
          <w:vertAlign w:val="subscript"/>
        </w:rPr>
        <w:t>3</w:t>
      </w:r>
      <w:r w:rsidRPr="00872B91">
        <w:t>)]. Sulfur oxides also appear in the particle phase, as components of particulate matter (PM). The current indicator for the sulfur oxides NAAQS is SO</w:t>
      </w:r>
      <w:r w:rsidRPr="00872B91">
        <w:rPr>
          <w:vertAlign w:val="subscript"/>
        </w:rPr>
        <w:t>2</w:t>
      </w:r>
      <w:r w:rsidRPr="00872B91">
        <w:t>, because, of the sulfur oxides, SO</w:t>
      </w:r>
      <w:r w:rsidRPr="00872B91">
        <w:rPr>
          <w:vertAlign w:val="subscript"/>
        </w:rPr>
        <w:t>2</w:t>
      </w:r>
      <w:r w:rsidRPr="00872B91">
        <w:t> is the most abundant in the atmosphere, the most important in atmospheric chemistry, and the one most clearly linked to human health effects. Sulfur dioxide is both a primary gas-phase pollutant (when formed during fuel combustion) and a secondary pollutant (when formed as the product of atmospheric gas- or aqueous-phase oxidation of reduced sulfur compounds, called sulfides).</w:t>
      </w:r>
    </w:p>
    <w:p w14:paraId="23DC6200" w14:textId="77777777" w:rsidR="00872B91" w:rsidRPr="00872B91" w:rsidRDefault="00872B91" w:rsidP="00872B91">
      <w:r w:rsidRPr="00872B91">
        <w:t>     The important gas-phase sulfur oxides in the troposphere are SO</w:t>
      </w:r>
      <w:r w:rsidRPr="00872B91">
        <w:rPr>
          <w:vertAlign w:val="subscript"/>
        </w:rPr>
        <w:t>2</w:t>
      </w:r>
      <w:r w:rsidRPr="00872B91">
        <w:t> and sulfuric acid (H</w:t>
      </w:r>
      <w:r w:rsidRPr="00872B91">
        <w:rPr>
          <w:vertAlign w:val="subscript"/>
        </w:rPr>
        <w:t>2</w:t>
      </w:r>
      <w:r w:rsidRPr="00872B91">
        <w:t>SO</w:t>
      </w:r>
      <w:r w:rsidRPr="00872B91">
        <w:rPr>
          <w:vertAlign w:val="subscript"/>
        </w:rPr>
        <w:t>4</w:t>
      </w:r>
      <w:r w:rsidRPr="00872B91">
        <w:t>). SO</w:t>
      </w:r>
      <w:r w:rsidRPr="00872B91">
        <w:rPr>
          <w:vertAlign w:val="subscript"/>
        </w:rPr>
        <w:t>3</w:t>
      </w:r>
      <w:r w:rsidRPr="00872B91">
        <w:t> is known to be present in the emissions of coal-fired power plants, factories, and refineries, but it reacts with water vapor in the stacks or immediately after release into the atmosphere within seconds to form H</w:t>
      </w:r>
      <w:r w:rsidRPr="00872B91">
        <w:rPr>
          <w:vertAlign w:val="subscript"/>
        </w:rPr>
        <w:t>2</w:t>
      </w:r>
      <w:r w:rsidRPr="00872B91">
        <w:t>SO</w:t>
      </w:r>
      <w:r w:rsidRPr="00872B91">
        <w:rPr>
          <w:vertAlign w:val="subscript"/>
        </w:rPr>
        <w:t>4</w:t>
      </w:r>
      <w:r w:rsidRPr="00872B91">
        <w:t xml:space="preserve">, which makes it difficult to detect in the </w:t>
      </w:r>
      <w:r w:rsidRPr="00872B91">
        <w:lastRenderedPageBreak/>
        <w:t>ambient atmosphere. Gas-phase H</w:t>
      </w:r>
      <w:r w:rsidRPr="00872B91">
        <w:rPr>
          <w:vertAlign w:val="subscript"/>
        </w:rPr>
        <w:t>2</w:t>
      </w:r>
      <w:r w:rsidRPr="00872B91">
        <w:t>SO</w:t>
      </w:r>
      <w:r w:rsidRPr="00872B91">
        <w:rPr>
          <w:vertAlign w:val="subscript"/>
        </w:rPr>
        <w:t>4</w:t>
      </w:r>
      <w:r w:rsidRPr="00872B91">
        <w:t>, the product of both SO</w:t>
      </w:r>
      <w:r w:rsidRPr="00872B91">
        <w:rPr>
          <w:vertAlign w:val="subscript"/>
        </w:rPr>
        <w:t>2</w:t>
      </w:r>
      <w:r w:rsidRPr="00872B91">
        <w:t> and SO</w:t>
      </w:r>
      <w:r w:rsidRPr="00872B91">
        <w:rPr>
          <w:vertAlign w:val="subscript"/>
        </w:rPr>
        <w:t>3</w:t>
      </w:r>
      <w:r w:rsidRPr="00872B91">
        <w:t> oxidation, quickly condenses onto existing atmospheric particles or participates in new particle formation. Of these species, only SO</w:t>
      </w:r>
      <w:r w:rsidRPr="00872B91">
        <w:rPr>
          <w:vertAlign w:val="subscript"/>
        </w:rPr>
        <w:t>2</w:t>
      </w:r>
      <w:r w:rsidRPr="00872B91">
        <w:t> is present at concentrations in the gas phase that are relevant for chemistry in the atmospheric boundary layer and troposphere, and for human exposures. Other sulfur oxides, including both S(IV) and S(VI) compounds, appear in the atmosphere due to direct emissions and as the products of the oxidation of more reduced forms of sulfur. Gas-phase precursors to SO</w:t>
      </w:r>
      <w:r w:rsidRPr="00872B91">
        <w:rPr>
          <w:vertAlign w:val="subscript"/>
        </w:rPr>
        <w:t>2</w:t>
      </w:r>
      <w:r w:rsidRPr="00872B91">
        <w:t> include sulfides and partially oxidized sulfur-containing organic compounds.</w:t>
      </w:r>
    </w:p>
    <w:p w14:paraId="58A85677" w14:textId="77777777" w:rsidR="00872B91" w:rsidRPr="00872B91" w:rsidRDefault="00872B91" w:rsidP="00872B91">
      <w:r w:rsidRPr="00872B91">
        <w:t>     The global atmospheric lifetime of SO</w:t>
      </w:r>
      <w:r w:rsidRPr="00872B91">
        <w:rPr>
          <w:vertAlign w:val="subscript"/>
        </w:rPr>
        <w:t>2</w:t>
      </w:r>
      <w:r w:rsidRPr="00872B91">
        <w:t> with respect to reactions with the OH radical in the troposphere is 7.2 days. The rate constant for the reaction between SO</w:t>
      </w:r>
      <w:r w:rsidRPr="00872B91">
        <w:rPr>
          <w:vertAlign w:val="subscript"/>
        </w:rPr>
        <w:t>2</w:t>
      </w:r>
      <w:r w:rsidRPr="00872B91">
        <w:t> and NO</w:t>
      </w:r>
      <w:r w:rsidRPr="00872B91">
        <w:rPr>
          <w:vertAlign w:val="subscript"/>
        </w:rPr>
        <w:t>3</w:t>
      </w:r>
      <w:r w:rsidRPr="00872B91">
        <w:t> radical is too small to be important in lowering SO</w:t>
      </w:r>
      <w:r w:rsidRPr="00872B91">
        <w:rPr>
          <w:vertAlign w:val="subscript"/>
        </w:rPr>
        <w:t>2</w:t>
      </w:r>
      <w:r w:rsidRPr="00872B91">
        <w:t> concentrations at urban or regional scales. The same is true for the reaction between SO</w:t>
      </w:r>
      <w:r w:rsidRPr="00872B91">
        <w:rPr>
          <w:vertAlign w:val="subscript"/>
        </w:rPr>
        <w:t>2</w:t>
      </w:r>
      <w:r w:rsidRPr="00872B91">
        <w:t> and the hydroperoxyl (HO</w:t>
      </w:r>
      <w:r w:rsidRPr="00872B91">
        <w:rPr>
          <w:vertAlign w:val="subscript"/>
        </w:rPr>
        <w:t>2</w:t>
      </w:r>
      <w:r w:rsidRPr="00872B91">
        <w:t>) radical. In the stepwise oxidation of SO</w:t>
      </w:r>
      <w:r w:rsidRPr="00872B91">
        <w:rPr>
          <w:vertAlign w:val="subscript"/>
        </w:rPr>
        <w:t>2</w:t>
      </w:r>
      <w:r w:rsidRPr="00872B91">
        <w:t> by OH, SO</w:t>
      </w:r>
      <w:r w:rsidRPr="00872B91">
        <w:rPr>
          <w:vertAlign w:val="subscript"/>
        </w:rPr>
        <w:t>2</w:t>
      </w:r>
      <w:r w:rsidRPr="00872B91">
        <w:t> is oxidized to form SO</w:t>
      </w:r>
      <w:r w:rsidRPr="00872B91">
        <w:rPr>
          <w:vertAlign w:val="subscript"/>
        </w:rPr>
        <w:t>3</w:t>
      </w:r>
      <w:r w:rsidRPr="00872B91">
        <w:t>, taking the sulfur atom from the S(IV) to S(VI) oxidation state, producing the bisulfite radical (HSO</w:t>
      </w:r>
      <w:r w:rsidRPr="00872B91">
        <w:rPr>
          <w:vertAlign w:val="subscript"/>
        </w:rPr>
        <w:t>3</w:t>
      </w:r>
      <w:r w:rsidRPr="00872B91">
        <w:t>): SO</w:t>
      </w:r>
      <w:r w:rsidRPr="00872B91">
        <w:rPr>
          <w:vertAlign w:val="subscript"/>
        </w:rPr>
        <w:t>2</w:t>
      </w:r>
      <w:r w:rsidRPr="00872B91">
        <w:t> + OH + M → HSO</w:t>
      </w:r>
      <w:r w:rsidRPr="00872B91">
        <w:rPr>
          <w:vertAlign w:val="subscript"/>
        </w:rPr>
        <w:t>3</w:t>
      </w:r>
      <w:r w:rsidRPr="00872B91">
        <w:t> + M, where M is an unreactive gas molecule that absorbs excess destabilizing energy from the SO</w:t>
      </w:r>
      <w:r w:rsidRPr="00872B91">
        <w:rPr>
          <w:vertAlign w:val="subscript"/>
        </w:rPr>
        <w:t>2</w:t>
      </w:r>
      <w:r w:rsidRPr="00872B91">
        <w:t>-OH transition state. This reaction is followed by HSO</w:t>
      </w:r>
      <w:r w:rsidRPr="00872B91">
        <w:rPr>
          <w:vertAlign w:val="subscript"/>
        </w:rPr>
        <w:t>3</w:t>
      </w:r>
      <w:r w:rsidRPr="00872B91">
        <w:t> + O</w:t>
      </w:r>
      <w:r w:rsidRPr="00872B91">
        <w:rPr>
          <w:vertAlign w:val="subscript"/>
        </w:rPr>
        <w:t>2</w:t>
      </w:r>
      <w:r w:rsidRPr="00872B91">
        <w:t> → SO</w:t>
      </w:r>
      <w:r w:rsidRPr="00872B91">
        <w:rPr>
          <w:vertAlign w:val="subscript"/>
        </w:rPr>
        <w:t>3</w:t>
      </w:r>
      <w:r w:rsidRPr="00872B91">
        <w:t> + HO</w:t>
      </w:r>
      <w:r w:rsidRPr="00872B91">
        <w:rPr>
          <w:vertAlign w:val="subscript"/>
        </w:rPr>
        <w:t>2</w:t>
      </w:r>
      <w:r w:rsidRPr="00872B91">
        <w:t>. An alternative route involves a stabilized Criegee intermediate (sCI): SO</w:t>
      </w:r>
      <w:r w:rsidRPr="00872B91">
        <w:rPr>
          <w:vertAlign w:val="subscript"/>
        </w:rPr>
        <w:t>2</w:t>
      </w:r>
      <w:r w:rsidRPr="00872B91">
        <w:t> + sCI → SO</w:t>
      </w:r>
      <w:r w:rsidRPr="00872B91">
        <w:rPr>
          <w:vertAlign w:val="subscript"/>
        </w:rPr>
        <w:t>3</w:t>
      </w:r>
      <w:r w:rsidRPr="00872B91">
        <w:t> + products. The SO</w:t>
      </w:r>
      <w:r w:rsidRPr="00872B91">
        <w:rPr>
          <w:vertAlign w:val="subscript"/>
        </w:rPr>
        <w:t>3</w:t>
      </w:r>
      <w:r w:rsidRPr="00872B91">
        <w:t> that is generated by either oxidation mechanism (i.e., reaction with OH or via the Criegee reaction) is highly reactive. Water vapor is sufficiently abundant in the troposphere to ensure that SO</w:t>
      </w:r>
      <w:r w:rsidRPr="00872B91">
        <w:rPr>
          <w:vertAlign w:val="subscript"/>
        </w:rPr>
        <w:t>3</w:t>
      </w:r>
      <w:r w:rsidRPr="00872B91">
        <w:t> is quickly converted to gas-phase sulfuric acid: SO</w:t>
      </w:r>
      <w:r w:rsidRPr="00872B91">
        <w:rPr>
          <w:vertAlign w:val="subscript"/>
        </w:rPr>
        <w:t>3</w:t>
      </w:r>
      <w:r w:rsidRPr="00872B91">
        <w:t> + H</w:t>
      </w:r>
      <w:r w:rsidRPr="00872B91">
        <w:rPr>
          <w:vertAlign w:val="subscript"/>
        </w:rPr>
        <w:t>2</w:t>
      </w:r>
      <w:r w:rsidRPr="00872B91">
        <w:t>O + M → H</w:t>
      </w:r>
      <w:r w:rsidRPr="00872B91">
        <w:rPr>
          <w:vertAlign w:val="subscript"/>
        </w:rPr>
        <w:t>2</w:t>
      </w:r>
      <w:r w:rsidRPr="00872B91">
        <w:t>SO</w:t>
      </w:r>
      <w:r w:rsidRPr="00872B91">
        <w:rPr>
          <w:vertAlign w:val="subscript"/>
        </w:rPr>
        <w:t>4</w:t>
      </w:r>
      <w:r w:rsidRPr="00872B91">
        <w:t> + M. Because H</w:t>
      </w:r>
      <w:r w:rsidRPr="00872B91">
        <w:rPr>
          <w:vertAlign w:val="subscript"/>
        </w:rPr>
        <w:t>2</w:t>
      </w:r>
      <w:r w:rsidRPr="00872B91">
        <w:t>SO</w:t>
      </w:r>
      <w:r w:rsidRPr="00872B91">
        <w:rPr>
          <w:vertAlign w:val="subscript"/>
        </w:rPr>
        <w:t>4</w:t>
      </w:r>
      <w:r w:rsidRPr="00872B91">
        <w:t> is extremely water soluble, gaseous H</w:t>
      </w:r>
      <w:r w:rsidRPr="00872B91">
        <w:rPr>
          <w:vertAlign w:val="subscript"/>
        </w:rPr>
        <w:t>2</w:t>
      </w:r>
      <w:r w:rsidRPr="00872B91">
        <w:t>SO</w:t>
      </w:r>
      <w:r w:rsidRPr="00872B91">
        <w:rPr>
          <w:vertAlign w:val="subscript"/>
        </w:rPr>
        <w:t>4</w:t>
      </w:r>
      <w:r w:rsidRPr="00872B91">
        <w:t> will rapidly dissolve into the aqueous phase of aerosol particles and cloud droplets. Conversion from SO</w:t>
      </w:r>
      <w:r w:rsidRPr="00872B91">
        <w:rPr>
          <w:vertAlign w:val="subscript"/>
        </w:rPr>
        <w:t>2</w:t>
      </w:r>
      <w:r w:rsidRPr="00872B91">
        <w:t> to H</w:t>
      </w:r>
      <w:r w:rsidRPr="00872B91">
        <w:rPr>
          <w:vertAlign w:val="subscript"/>
        </w:rPr>
        <w:t>2</w:t>
      </w:r>
      <w:r w:rsidRPr="00872B91">
        <w:t>SO</w:t>
      </w:r>
      <w:r w:rsidRPr="00872B91">
        <w:rPr>
          <w:vertAlign w:val="subscript"/>
        </w:rPr>
        <w:t>4</w:t>
      </w:r>
      <w:r w:rsidRPr="00872B91">
        <w:t> increases with increasing relative humidity and O</w:t>
      </w:r>
      <w:r w:rsidRPr="00872B91">
        <w:rPr>
          <w:vertAlign w:val="subscript"/>
        </w:rPr>
        <w:t>3</w:t>
      </w:r>
      <w:r w:rsidRPr="00872B91">
        <w:t> levels.</w:t>
      </w:r>
    </w:p>
    <w:p w14:paraId="4D0A0379" w14:textId="77777777" w:rsidR="00872B91" w:rsidRPr="00872B91" w:rsidRDefault="00872B91" w:rsidP="00872B91">
      <w:r w:rsidRPr="00872B91">
        <w:t>     The basic mechanism of the aqueous-phase oxidation of SO</w:t>
      </w:r>
      <w:r w:rsidRPr="00872B91">
        <w:rPr>
          <w:vertAlign w:val="subscript"/>
        </w:rPr>
        <w:t>2</w:t>
      </w:r>
      <w:r w:rsidRPr="00872B91">
        <w:t> involves dissolution of SO</w:t>
      </w:r>
      <w:r w:rsidRPr="00872B91">
        <w:rPr>
          <w:vertAlign w:val="subscript"/>
        </w:rPr>
        <w:t>2</w:t>
      </w:r>
      <w:r w:rsidRPr="00872B91">
        <w:t> followed by the formation and dissociation of sulfurous acid (H</w:t>
      </w:r>
      <w:r w:rsidRPr="00872B91">
        <w:rPr>
          <w:vertAlign w:val="subscript"/>
        </w:rPr>
        <w:t>2</w:t>
      </w:r>
      <w:r w:rsidRPr="00872B91">
        <w:t>SO</w:t>
      </w:r>
      <w:r w:rsidRPr="00872B91">
        <w:rPr>
          <w:vertAlign w:val="subscript"/>
        </w:rPr>
        <w:t>3</w:t>
      </w:r>
      <w:r w:rsidRPr="00872B91">
        <w:t>). Additionally, in environments where ambient ammonia (NH</w:t>
      </w:r>
      <w:r w:rsidRPr="00872B91">
        <w:rPr>
          <w:vertAlign w:val="subscript"/>
        </w:rPr>
        <w:t>3</w:t>
      </w:r>
      <w:r w:rsidRPr="00872B91">
        <w:t>) is abundant, SO</w:t>
      </w:r>
      <w:r w:rsidRPr="00872B91">
        <w:rPr>
          <w:vertAlign w:val="subscript"/>
        </w:rPr>
        <w:t>2</w:t>
      </w:r>
      <w:r w:rsidRPr="00872B91">
        <w:t> is subject to fast removal by cloud and fog droplets and ultimately forms ammonium sulfate [(NH</w:t>
      </w:r>
      <w:r w:rsidRPr="00872B91">
        <w:rPr>
          <w:vertAlign w:val="subscript"/>
        </w:rPr>
        <w:t>4</w:t>
      </w:r>
      <w:r w:rsidRPr="00872B91">
        <w:t>)</w:t>
      </w:r>
      <w:r w:rsidRPr="00872B91">
        <w:rPr>
          <w:vertAlign w:val="subscript"/>
        </w:rPr>
        <w:t>2</w:t>
      </w:r>
      <w:r w:rsidRPr="00872B91">
        <w:t>SO</w:t>
      </w:r>
      <w:r w:rsidRPr="00872B91">
        <w:rPr>
          <w:vertAlign w:val="subscript"/>
        </w:rPr>
        <w:t>4</w:t>
      </w:r>
      <w:r w:rsidRPr="00872B91">
        <w:t>]. In the same way that it is removed from the gas phase by dissolving into cloud droplets, SO</w:t>
      </w:r>
      <w:r w:rsidRPr="00872B91">
        <w:rPr>
          <w:vertAlign w:val="subscript"/>
        </w:rPr>
        <w:t>2</w:t>
      </w:r>
      <w:r w:rsidRPr="00872B91">
        <w:t> can be removed by dry deposition onto wet surfaces. Scavenging by rain (wet deposition) serves as another removal route. Modeling studies have shown that slightly more than half of SO</w:t>
      </w:r>
      <w:r w:rsidRPr="00872B91">
        <w:rPr>
          <w:vertAlign w:val="subscript"/>
        </w:rPr>
        <w:t>2</w:t>
      </w:r>
      <w:r w:rsidRPr="00872B91">
        <w:t> is lost by gas- and aqueous-phase oxidation, with the remainder of SO</w:t>
      </w:r>
      <w:r w:rsidRPr="00872B91">
        <w:rPr>
          <w:vertAlign w:val="subscript"/>
        </w:rPr>
        <w:t>2</w:t>
      </w:r>
      <w:r w:rsidRPr="00872B91">
        <w:t> loss accounted for by wet and dry deposition.</w:t>
      </w:r>
    </w:p>
    <w:p w14:paraId="1434168C" w14:textId="77777777" w:rsidR="00872B91" w:rsidRPr="00872B91" w:rsidRDefault="00872B91" w:rsidP="00872B91">
      <w:r w:rsidRPr="00872B91">
        <w:t>     Sulfur dioxide is also known to adhere to and then react on dust particles. For some mineral compositions, SO</w:t>
      </w:r>
      <w:r w:rsidRPr="00872B91">
        <w:rPr>
          <w:vertAlign w:val="subscript"/>
        </w:rPr>
        <w:t>2</w:t>
      </w:r>
      <w:r w:rsidRPr="00872B91">
        <w:t> uptake on dust particles is sensitive to relative humidity, the mineral composition of the particle, and the availability of H</w:t>
      </w:r>
      <w:r w:rsidRPr="00872B91">
        <w:rPr>
          <w:vertAlign w:val="subscript"/>
        </w:rPr>
        <w:t>2</w:t>
      </w:r>
      <w:r w:rsidRPr="00872B91">
        <w:t>O</w:t>
      </w:r>
      <w:r w:rsidRPr="00872B91">
        <w:rPr>
          <w:vertAlign w:val="subscript"/>
        </w:rPr>
        <w:t>2</w:t>
      </w:r>
      <w:r w:rsidRPr="00872B91">
        <w:t>, the relevant oxidant. Once SO</w:t>
      </w:r>
      <w:r w:rsidRPr="00872B91">
        <w:rPr>
          <w:vertAlign w:val="subscript"/>
        </w:rPr>
        <w:t>2</w:t>
      </w:r>
      <w:r w:rsidRPr="00872B91">
        <w:t> is oxidized to H</w:t>
      </w:r>
      <w:r w:rsidRPr="00872B91">
        <w:rPr>
          <w:vertAlign w:val="subscript"/>
        </w:rPr>
        <w:t>2</w:t>
      </w:r>
      <w:r w:rsidRPr="00872B91">
        <w:t>SO</w:t>
      </w:r>
      <w:r w:rsidRPr="00872B91">
        <w:rPr>
          <w:vertAlign w:val="subscript"/>
        </w:rPr>
        <w:t>4</w:t>
      </w:r>
      <w:r w:rsidRPr="00872B91">
        <w:t> on the particle surface, glyoxal, one of the most prevalent organic compounds in the atmosphere, will adhere to the surface and react to form oligomers and organosulfate compounds. This process is enhanced under high humidity conditions.</w:t>
      </w:r>
    </w:p>
    <w:p w14:paraId="2D51A751" w14:textId="77777777" w:rsidR="00872B91" w:rsidRPr="00872B91" w:rsidRDefault="00872B91" w:rsidP="00872B91">
      <w:pPr>
        <w:rPr>
          <w:b/>
          <w:bCs/>
        </w:rPr>
      </w:pPr>
      <w:r w:rsidRPr="00872B91">
        <w:rPr>
          <w:b/>
          <w:bCs/>
        </w:rPr>
        <w:t>3. Sources and Emissions of SO</w:t>
      </w:r>
      <w:r w:rsidRPr="00872B91">
        <w:rPr>
          <w:b/>
          <w:bCs/>
          <w:vertAlign w:val="subscript"/>
        </w:rPr>
        <w:t>2</w:t>
      </w:r>
    </w:p>
    <w:p w14:paraId="308C9995" w14:textId="77777777" w:rsidR="00872B91" w:rsidRPr="00872B91" w:rsidRDefault="00872B91" w:rsidP="00872B91">
      <w:r w:rsidRPr="00872B91">
        <w:t>     Sulfur is present to some degree in all fossil fuels, especially coal, and occurs as reduced organosulfur compounds. Coal also contains sulfur in mineral form (pyrite or other metallo-sulfur minerals) and in elemental form. Of the most common types of coal (anthracite, bituminous, subbituminous, and lignite), sulfur content varies between 0.4 and 4% by mass. Sulfur in fossil fuels is almost entirely converted to SO</w:t>
      </w:r>
      <w:r w:rsidRPr="00872B91">
        <w:rPr>
          <w:vertAlign w:val="subscript"/>
        </w:rPr>
        <w:t>2</w:t>
      </w:r>
      <w:r w:rsidRPr="00872B91">
        <w:t> during combustion, making accurate estimates of SO</w:t>
      </w:r>
      <w:r w:rsidRPr="00872B91">
        <w:rPr>
          <w:vertAlign w:val="subscript"/>
        </w:rPr>
        <w:t>2</w:t>
      </w:r>
      <w:r w:rsidRPr="00872B91">
        <w:t> combustion emissions possible based on fuel composition and combustion rates.</w:t>
      </w:r>
    </w:p>
    <w:p w14:paraId="1CECA3BA" w14:textId="77777777" w:rsidR="00872B91" w:rsidRPr="00872B91" w:rsidRDefault="00872B91" w:rsidP="00872B91">
      <w:r w:rsidRPr="00872B91">
        <w:t>     Fossil fuel combustion is the main anthropogenic source of primary SO</w:t>
      </w:r>
      <w:r w:rsidRPr="00872B91">
        <w:rPr>
          <w:vertAlign w:val="subscript"/>
        </w:rPr>
        <w:t>2</w:t>
      </w:r>
      <w:r w:rsidRPr="00872B91">
        <w:t>, while volcanoes and wildfires are the main natural sources of primary SO</w:t>
      </w:r>
      <w:r w:rsidRPr="00872B91">
        <w:rPr>
          <w:vertAlign w:val="subscript"/>
        </w:rPr>
        <w:t>2</w:t>
      </w:r>
      <w:r w:rsidRPr="00872B91">
        <w:t>. Anthropogenic SO</w:t>
      </w:r>
      <w:r w:rsidRPr="00872B91">
        <w:rPr>
          <w:vertAlign w:val="subscript"/>
        </w:rPr>
        <w:t>2</w:t>
      </w:r>
      <w:r w:rsidRPr="00872B91">
        <w:t> emissions originate primarily from point sources, including coal-fired electricity generating units (EGUs) and other industrial facilities. Industrial chemical and pulp and paper production, smelter and steel mill operations, natural biological activity (plants, fungi, and prokaryotes), and volcanoes are among many sources of reduced sulfur compounds that contribute, through various oxidation reactions in the atmosphere, to the formation of secondary SO</w:t>
      </w:r>
      <w:r w:rsidRPr="00872B91">
        <w:rPr>
          <w:vertAlign w:val="subscript"/>
        </w:rPr>
        <w:t>2</w:t>
      </w:r>
      <w:r w:rsidRPr="00872B91">
        <w:t>. In addition to volcanic and other geologic SO</w:t>
      </w:r>
      <w:r w:rsidRPr="00872B91">
        <w:rPr>
          <w:vertAlign w:val="subscript"/>
        </w:rPr>
        <w:t>2</w:t>
      </w:r>
      <w:r w:rsidRPr="00872B91">
        <w:t> emissions, naturally occurring SO</w:t>
      </w:r>
      <w:r w:rsidRPr="00872B91">
        <w:rPr>
          <w:vertAlign w:val="subscript"/>
        </w:rPr>
        <w:t>2</w:t>
      </w:r>
      <w:r w:rsidRPr="00872B91">
        <w:t> is derived from the oxidation of sulfides emitted by low flux “area” sources, such as the oceans and moist soils. The mass of sulfur released into the environment by anthropogenic sources is comparable to natural sources.</w:t>
      </w:r>
    </w:p>
    <w:p w14:paraId="3D51CBB2" w14:textId="77777777" w:rsidR="00872B91" w:rsidRPr="00872B91" w:rsidRDefault="00872B91" w:rsidP="00872B91">
      <w:r w:rsidRPr="00872B91">
        <w:lastRenderedPageBreak/>
        <w:t>     Other anthropogenic sources of SO</w:t>
      </w:r>
      <w:r w:rsidRPr="00872B91">
        <w:rPr>
          <w:vertAlign w:val="subscript"/>
        </w:rPr>
        <w:t>2</w:t>
      </w:r>
      <w:r w:rsidRPr="00872B91">
        <w:t> emissions include industrial fuel combustion, other industrial processes, commercial marine vessels, and agricultural and prescribed fires. While electricity generation is the dominant industry sector contributing to SO</w:t>
      </w:r>
      <w:r w:rsidRPr="00872B91">
        <w:rPr>
          <w:vertAlign w:val="subscript"/>
        </w:rPr>
        <w:t>2</w:t>
      </w:r>
      <w:r w:rsidRPr="00872B91">
        <w:t> emissions on a national scale, other sectors can also have a significant influence on local air quality. Large emissions facilities other than EGUs that may substantially impact local air quality include copper smelters, pulp and paper mills, cement plants, iron and steel mills, petroleum refineries, and chemical processing plants.</w:t>
      </w:r>
    </w:p>
    <w:p w14:paraId="06003D31" w14:textId="77777777" w:rsidR="00872B91" w:rsidRPr="00872B91" w:rsidRDefault="00872B91" w:rsidP="00872B91">
      <w:r w:rsidRPr="00872B91">
        <w:t>     The </w:t>
      </w:r>
      <w:hyperlink r:id="rId7" w:history="1">
        <w:r w:rsidRPr="00872B91">
          <w:rPr>
            <w:rStyle w:val="Hyperlink"/>
          </w:rPr>
          <w:t>National Emissions Inventory (NEI)</w:t>
        </w:r>
      </w:hyperlink>
      <w:r w:rsidRPr="00872B91">
        <w:t> is a comprehensive and detailed estimate of air emissions of criteria pollutants, precursors to criteria pollutants, and hazardous air pollutants from air emissions sources. The NEI is released every three years based primarily upon data provided by State, Local, and Tribal air agencies for sources in their jurisdictions and supplemented by data developed by the EPA. The NEI is built using the EPA’s Emissions Inventory System (EIS) first to collect the data from State, Local, and Tribal air agencies and then to blend that data with other data sources.</w:t>
      </w:r>
    </w:p>
    <w:p w14:paraId="523825E4" w14:textId="77777777" w:rsidR="00872B91" w:rsidRPr="00872B91" w:rsidRDefault="00872B91" w:rsidP="00872B91">
      <w:r w:rsidRPr="00872B91">
        <w:t>     Accuracy in an emissions inventory reflects the extent to which the inventory represents the actual emissions that occurred. Anthropogenic emissions of air pollutants result from a variety of sources such as power plants, industrial sources, motor vehicles and agriculture. The emissions from any individual source typically vary in both time and space. For the thousands of sources that make up the NEI, there is uncertainty in one or both of these factors. For some sources, such as power plants, direct emission measurements enable the emission factors derived from them to be more certain than sources without such direct measurements. However, it is not practically possible to directly monitor each of the emission sources individually and, therefore, emission inventories necessarily contain assumptions, interpolation and extrapolation from a limited set of sample data.</w:t>
      </w:r>
    </w:p>
    <w:p w14:paraId="4F12724B" w14:textId="77777777" w:rsidR="00872B91" w:rsidRPr="00872B91" w:rsidRDefault="00872B91" w:rsidP="00872B91">
      <w:r w:rsidRPr="00872B91">
        <w:t>     Figure 1 below shows the main sources contributing to total SO</w:t>
      </w:r>
      <w:r w:rsidRPr="00872B91">
        <w:rPr>
          <w:vertAlign w:val="subscript"/>
        </w:rPr>
        <w:t>2</w:t>
      </w:r>
      <w:r w:rsidRPr="00872B91">
        <w:t> emissions in the U.S. in 2017. Coal combustion contributed NA% to total SO</w:t>
      </w:r>
      <w:r w:rsidRPr="00872B91">
        <w:rPr>
          <w:vertAlign w:val="subscript"/>
        </w:rPr>
        <w:t>2</w:t>
      </w:r>
      <w:r w:rsidRPr="00872B91">
        <w:t> emissions while combustion of other fossil fuels contributed only NA%. Industrial processes contributed NA% to total SO</w:t>
      </w:r>
      <w:r w:rsidRPr="00872B91">
        <w:rPr>
          <w:vertAlign w:val="subscript"/>
        </w:rPr>
        <w:t>2</w:t>
      </w:r>
      <w:r w:rsidRPr="00872B91">
        <w:t> emissions, mobile sources contributed NA%, while the remaining emissions came from fires and other sources.</w:t>
      </w:r>
    </w:p>
    <w:p w14:paraId="11B7989E" w14:textId="5BFADB38" w:rsidR="00872B91" w:rsidRPr="00872B91" w:rsidRDefault="00872B91" w:rsidP="00872B91">
      <w:pPr>
        <w:jc w:val="center"/>
      </w:pPr>
      <w:r w:rsidRPr="00872B91">
        <w:rPr>
          <w:noProof/>
        </w:rPr>
        <w:drawing>
          <wp:inline distT="0" distB="0" distL="0" distR="0" wp14:anchorId="6DA26F5D" wp14:editId="21F55642">
            <wp:extent cx="45720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B66920E" w14:textId="77777777" w:rsidR="00872B91" w:rsidRPr="00872B91" w:rsidRDefault="00872B91" w:rsidP="00872B91">
      <w:r w:rsidRPr="00872B91">
        <w:rPr>
          <w:b/>
          <w:bCs/>
        </w:rPr>
        <w:t>Figure 1.</w:t>
      </w:r>
      <w:r w:rsidRPr="00872B91">
        <w:t> U.S. SO</w:t>
      </w:r>
      <w:r w:rsidRPr="00872B91">
        <w:rPr>
          <w:vertAlign w:val="subscript"/>
        </w:rPr>
        <w:t>2</w:t>
      </w:r>
      <w:r w:rsidRPr="00872B91">
        <w:t> emissions by sector. </w:t>
      </w:r>
      <w:r w:rsidRPr="00872B91">
        <w:rPr>
          <w:b/>
          <w:bCs/>
        </w:rPr>
        <w:t>Source:</w:t>
      </w:r>
      <w:r w:rsidRPr="00872B91">
        <w:t> </w:t>
      </w:r>
      <w:hyperlink r:id="rId9" w:history="1">
        <w:r w:rsidRPr="00872B91">
          <w:rPr>
            <w:rStyle w:val="Hyperlink"/>
          </w:rPr>
          <w:t>2017 NEI</w:t>
        </w:r>
      </w:hyperlink>
      <w:r w:rsidRPr="00872B91">
        <w:t>.</w:t>
      </w:r>
    </w:p>
    <w:p w14:paraId="38FE06D1" w14:textId="77777777" w:rsidR="00872B91" w:rsidRPr="00872B91" w:rsidRDefault="00872B91" w:rsidP="00872B91">
      <w:r w:rsidRPr="00872B91">
        <w:t>     Figure 2 below illustrates the national SO</w:t>
      </w:r>
      <w:r w:rsidRPr="00872B91">
        <w:rPr>
          <w:vertAlign w:val="subscript"/>
        </w:rPr>
        <w:t>2</w:t>
      </w:r>
      <w:r w:rsidRPr="00872B91">
        <w:t> emissions trends from 2002 to 2021</w:t>
      </w:r>
      <w:hyperlink r:id="rId10" w:anchor="fn1" w:history="1">
        <w:r w:rsidRPr="00872B91">
          <w:rPr>
            <w:rStyle w:val="Hyperlink"/>
            <w:vertAlign w:val="superscript"/>
          </w:rPr>
          <w:t>1</w:t>
        </w:r>
      </w:hyperlink>
      <w:r w:rsidRPr="00872B91">
        <w:t>. Declines in SO</w:t>
      </w:r>
      <w:r w:rsidRPr="00872B91">
        <w:rPr>
          <w:vertAlign w:val="subscript"/>
        </w:rPr>
        <w:t>2</w:t>
      </w:r>
      <w:r w:rsidRPr="00872B91">
        <w:t> emissions are likely related to the implementation of national control programs developed under the Clean Air Act Amendments of 1990, including Phase I and II of the Acid Rain Program, the Clean Air Interstate Rule, the Cross-State Air Pollution Rule, and the adoption of low sulfur diesel fuel standards. An additional factor is changes in market conditions, such as the reduction of the use of coal in energy generation. These changes have resulted in a 87% decrease in SO</w:t>
      </w:r>
      <w:r w:rsidRPr="00872B91">
        <w:rPr>
          <w:vertAlign w:val="subscript"/>
        </w:rPr>
        <w:t>2</w:t>
      </w:r>
      <w:r w:rsidRPr="00872B91">
        <w:t> emissions from 2002 to 2021, including reductions of 91% in emissions from EGUs and 96% in emissions from mobile sources.</w:t>
      </w:r>
    </w:p>
    <w:p w14:paraId="4B1CB586" w14:textId="736512B9" w:rsidR="00872B91" w:rsidRPr="00872B91" w:rsidRDefault="00872B91" w:rsidP="00872B91">
      <w:r w:rsidRPr="00872B91">
        <w:rPr>
          <w:noProof/>
        </w:rPr>
        <w:lastRenderedPageBreak/>
        <w:drawing>
          <wp:inline distT="0" distB="0" distL="0" distR="0" wp14:anchorId="0B972D69" wp14:editId="06472BB9">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76CAEFF" w14:textId="77777777" w:rsidR="00872B91" w:rsidRPr="00872B91" w:rsidRDefault="00872B91" w:rsidP="00872B91">
      <w:r w:rsidRPr="00872B91">
        <w:rPr>
          <w:b/>
          <w:bCs/>
        </w:rPr>
        <w:t>Figure 2.</w:t>
      </w:r>
      <w:r w:rsidRPr="00872B91">
        <w:t> U.S. anthropogenic SO</w:t>
      </w:r>
      <w:r w:rsidRPr="00872B91">
        <w:rPr>
          <w:vertAlign w:val="subscript"/>
        </w:rPr>
        <w:t>2</w:t>
      </w:r>
      <w:r w:rsidRPr="00872B91">
        <w:t> emissions trend, 2002-2021. </w:t>
      </w:r>
      <w:r w:rsidRPr="00872B91">
        <w:rPr>
          <w:b/>
          <w:bCs/>
        </w:rPr>
        <w:t>Source:</w:t>
      </w:r>
      <w:r w:rsidRPr="00872B91">
        <w:t> </w:t>
      </w:r>
      <w:hyperlink r:id="rId12" w:history="1">
        <w:r w:rsidRPr="00872B91">
          <w:rPr>
            <w:rStyle w:val="Hyperlink"/>
          </w:rPr>
          <w:t>EPA’s Air Pollutant Emissions Trends Data</w:t>
        </w:r>
      </w:hyperlink>
    </w:p>
    <w:p w14:paraId="0F8233E6" w14:textId="325B56DE" w:rsidR="00872B91" w:rsidRDefault="00872B91" w:rsidP="00872B91">
      <w:r w:rsidRPr="00872B91">
        <w:rPr>
          <w:noProof/>
        </w:rPr>
        <w:drawing>
          <wp:inline distT="0" distB="0" distL="0" distR="0" wp14:anchorId="41B5DAE7" wp14:editId="112AF1B4">
            <wp:extent cx="6858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872B91">
        <w:t> </w:t>
      </w:r>
      <w:r w:rsidRPr="00872B91">
        <w:rPr>
          <w:b/>
          <w:bCs/>
        </w:rPr>
        <w:t>Figure 3.</w:t>
      </w:r>
      <w:r w:rsidRPr="00872B91">
        <w:t> U.S. county-level SO</w:t>
      </w:r>
      <w:r w:rsidRPr="00872B91">
        <w:rPr>
          <w:vertAlign w:val="subscript"/>
        </w:rPr>
        <w:t>2</w:t>
      </w:r>
      <w:r w:rsidRPr="00872B91">
        <w:t> emissions density estimates in tons/year/mi</w:t>
      </w:r>
      <w:r w:rsidRPr="00872B91">
        <w:rPr>
          <w:vertAlign w:val="superscript"/>
        </w:rPr>
        <w:t>2</w:t>
      </w:r>
      <w:r w:rsidRPr="00872B91">
        <w:t>. </w:t>
      </w:r>
      <w:r w:rsidRPr="00872B91">
        <w:rPr>
          <w:b/>
          <w:bCs/>
        </w:rPr>
        <w:t>Source:</w:t>
      </w:r>
      <w:r w:rsidRPr="00872B91">
        <w:t> </w:t>
      </w:r>
      <w:hyperlink r:id="rId14" w:history="1">
        <w:r w:rsidRPr="00872B91">
          <w:rPr>
            <w:rStyle w:val="Hyperlink"/>
          </w:rPr>
          <w:t>2017 NEI</w:t>
        </w:r>
      </w:hyperlink>
    </w:p>
    <w:p w14:paraId="745B26A9" w14:textId="77777777" w:rsidR="00872B91" w:rsidRPr="00872B91" w:rsidRDefault="00872B91" w:rsidP="00872B91">
      <w:r w:rsidRPr="00872B91">
        <w:lastRenderedPageBreak/>
        <w:t>     Figure 3 shows the SO</w:t>
      </w:r>
      <w:r w:rsidRPr="00872B91">
        <w:rPr>
          <w:vertAlign w:val="subscript"/>
        </w:rPr>
        <w:t>2</w:t>
      </w:r>
      <w:r w:rsidRPr="00872B91">
        <w:t> emissions density in tons/mi</w:t>
      </w:r>
      <w:r w:rsidRPr="00872B91">
        <w:rPr>
          <w:vertAlign w:val="superscript"/>
        </w:rPr>
        <w:t>2</w:t>
      </w:r>
      <w:r w:rsidRPr="00872B91">
        <w:t>/year for each U.S. county based on the 2017 NEI. The majority of SO</w:t>
      </w:r>
      <w:r w:rsidRPr="00872B91">
        <w:rPr>
          <w:vertAlign w:val="subscript"/>
        </w:rPr>
        <w:t>2</w:t>
      </w:r>
      <w:r w:rsidRPr="00872B91">
        <w:t> emissions tend to be located near large point sources such as coal-fired EGUs or large industrial facilities. Counties near urban areas also tend to have higher SO</w:t>
      </w:r>
      <w:r w:rsidRPr="00872B91">
        <w:rPr>
          <w:vertAlign w:val="subscript"/>
        </w:rPr>
        <w:t>2</w:t>
      </w:r>
      <w:r w:rsidRPr="00872B91">
        <w:t> emissions due to the higher concentration of industrial facilities. Counties in rural areas may also have higher emissions due to oil and gas extraction or fires.</w:t>
      </w:r>
    </w:p>
    <w:p w14:paraId="110DA811" w14:textId="77777777" w:rsidR="00872B91" w:rsidRPr="00872B91" w:rsidRDefault="00872B91" w:rsidP="00872B91">
      <w:pPr>
        <w:rPr>
          <w:b/>
          <w:bCs/>
        </w:rPr>
      </w:pPr>
      <w:r w:rsidRPr="00872B91">
        <w:rPr>
          <w:b/>
          <w:bCs/>
        </w:rPr>
        <w:t>4. Ambient Air Monitoring Requirements and Monitoring Networks</w:t>
      </w:r>
    </w:p>
    <w:p w14:paraId="53F55FC7" w14:textId="77777777" w:rsidR="00872B91" w:rsidRPr="00872B91" w:rsidRDefault="00872B91" w:rsidP="00872B91">
      <w:r w:rsidRPr="00872B91">
        <w:t>     Ambient SO</w:t>
      </w:r>
      <w:r w:rsidRPr="00872B91">
        <w:rPr>
          <w:vertAlign w:val="subscript"/>
        </w:rPr>
        <w:t>2</w:t>
      </w:r>
      <w:r w:rsidRPr="00872B91">
        <w:t> concentrations are measured by monitoring networks operated by State, Local, and Tribal air agencies, which are typically funded in part by the EPA. Measurements are made using ultraviolet fluorescence (UVF) instruments, which are designated as Federal Reference Methods (FRMs) or Federal Equivalent Methods (FEMs) and the data are reported to EPA as hourly concentrations and either the maximum 5-minute concentration for each hour or twelve 5-minute average concentrations for each hour. There were 505 monitoring sites reporting hourly SO</w:t>
      </w:r>
      <w:r w:rsidRPr="00872B91">
        <w:rPr>
          <w:vertAlign w:val="subscript"/>
        </w:rPr>
        <w:t>2</w:t>
      </w:r>
      <w:r w:rsidRPr="00872B91">
        <w:t> concentration data to the EPA during the 2019-2021 period. The locations of these monitoring sites are shown in Figure 4.</w:t>
      </w:r>
    </w:p>
    <w:p w14:paraId="076839B3" w14:textId="77777777" w:rsidR="00872B91" w:rsidRPr="00872B91" w:rsidRDefault="00872B91" w:rsidP="00872B91">
      <w:r w:rsidRPr="00872B91">
        <w:t>     The main network of monitors providing ambient data for use in implementation activities related to the NAAQS is the State and Local Air Monitoring Stations (SLAMS) network, which comprises over 75% of all SO</w:t>
      </w:r>
      <w:r w:rsidRPr="00872B91">
        <w:rPr>
          <w:vertAlign w:val="subscript"/>
        </w:rPr>
        <w:t>2</w:t>
      </w:r>
      <w:r w:rsidRPr="00872B91">
        <w:t> monitoring sites. An important subset of SLAMS sites is the </w:t>
      </w:r>
      <w:hyperlink r:id="rId15" w:history="1">
        <w:r w:rsidRPr="00872B91">
          <w:rPr>
            <w:rStyle w:val="Hyperlink"/>
          </w:rPr>
          <w:t>NCore multipollutant monitoring network</w:t>
        </w:r>
      </w:hyperlink>
      <w:r w:rsidRPr="00872B91">
        <w:t>, which was designed to collect consistent measurements of criteria pollutants for trends and NAAQS compliance purposes. The NCore was fully operational as of 2011 and consists of approximately 60 urban monitoring stations and 20 rural monitoring stations. Each State is required to have at least one NCore station.</w:t>
      </w:r>
    </w:p>
    <w:p w14:paraId="2216E3DB" w14:textId="7EA4C01D" w:rsidR="00872B91" w:rsidRPr="00872B91" w:rsidRDefault="00872B91" w:rsidP="00872B91">
      <w:r w:rsidRPr="00872B91">
        <w:rPr>
          <w:noProof/>
        </w:rPr>
        <w:drawing>
          <wp:inline distT="0" distB="0" distL="0" distR="0" wp14:anchorId="789BADE0" wp14:editId="7624D8F9">
            <wp:extent cx="6858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872B91">
        <w:t> </w:t>
      </w:r>
      <w:r w:rsidRPr="00872B91">
        <w:rPr>
          <w:b/>
          <w:bCs/>
        </w:rPr>
        <w:t>Figure 4:</w:t>
      </w:r>
      <w:r w:rsidRPr="00872B91">
        <w:t> Map of U.S. SO</w:t>
      </w:r>
      <w:r w:rsidRPr="00872B91">
        <w:rPr>
          <w:vertAlign w:val="subscript"/>
        </w:rPr>
        <w:t>2</w:t>
      </w:r>
      <w:r w:rsidRPr="00872B91">
        <w:t> monitoring sites reporting data to the EPA during the 2019-2021 period. </w:t>
      </w:r>
      <w:r w:rsidRPr="00872B91">
        <w:rPr>
          <w:b/>
          <w:bCs/>
        </w:rPr>
        <w:t>Source:</w:t>
      </w:r>
      <w:r w:rsidRPr="00872B91">
        <w:t> </w:t>
      </w:r>
      <w:hyperlink r:id="rId17" w:history="1">
        <w:r w:rsidRPr="00872B91">
          <w:rPr>
            <w:rStyle w:val="Hyperlink"/>
          </w:rPr>
          <w:t>AQS</w:t>
        </w:r>
      </w:hyperlink>
      <w:r w:rsidRPr="00872B91">
        <w:t>.</w:t>
      </w:r>
    </w:p>
    <w:p w14:paraId="69D4A9A4" w14:textId="77777777" w:rsidR="00872B91" w:rsidRPr="00872B91" w:rsidRDefault="00872B91" w:rsidP="00872B91">
      <w:r w:rsidRPr="00872B91">
        <w:t>     In 2015, the EPA finalized the </w:t>
      </w:r>
      <w:hyperlink r:id="rId18" w:history="1">
        <w:r w:rsidRPr="00872B91">
          <w:rPr>
            <w:rStyle w:val="Hyperlink"/>
          </w:rPr>
          <w:t>Data Requirements Rule (DRR)</w:t>
        </w:r>
      </w:hyperlink>
      <w:r w:rsidRPr="00872B91">
        <w:t>, which required States to monitor or model ambient SO</w:t>
      </w:r>
      <w:r w:rsidRPr="00872B91">
        <w:rPr>
          <w:vertAlign w:val="subscript"/>
        </w:rPr>
        <w:t>2</w:t>
      </w:r>
      <w:r w:rsidRPr="00872B91">
        <w:t> levels in areas with stationary sources of SO</w:t>
      </w:r>
      <w:r w:rsidRPr="00872B91">
        <w:rPr>
          <w:vertAlign w:val="subscript"/>
        </w:rPr>
        <w:t>2</w:t>
      </w:r>
      <w:r w:rsidRPr="00872B91">
        <w:t> emissions of over 2,000 tons per year. The EPA identified over 300 sources meeting these criteria, and the States chose to set up ambient monitoring sites to assess compliance with the SO</w:t>
      </w:r>
      <w:r w:rsidRPr="00872B91">
        <w:rPr>
          <w:vertAlign w:val="subscript"/>
        </w:rPr>
        <w:t>2</w:t>
      </w:r>
      <w:r w:rsidRPr="00872B91">
        <w:t xml:space="preserve"> NAAQS near 71 of these sources. These monitors were required to begin operating by January 1, 2017 and collect </w:t>
      </w:r>
      <w:r w:rsidRPr="00872B91">
        <w:lastRenderedPageBreak/>
        <w:t>data through the end of 2019 to show compliance with the SO</w:t>
      </w:r>
      <w:r w:rsidRPr="00872B91">
        <w:rPr>
          <w:vertAlign w:val="subscript"/>
        </w:rPr>
        <w:t>2</w:t>
      </w:r>
      <w:r w:rsidRPr="00872B91">
        <w:t> NAAQS. Some of these monitors are operated by the States as SLAMS monitors, while others are operated by the industrial sources, which are shown as yellow dots on the map in Figure 4.</w:t>
      </w:r>
    </w:p>
    <w:p w14:paraId="24CDACB3" w14:textId="77777777" w:rsidR="00872B91" w:rsidRPr="00872B91" w:rsidRDefault="00872B91" w:rsidP="00872B91">
      <w:r w:rsidRPr="00872B91">
        <w:t>     Finally, there are also a number of Special Purpose Monitoring Stations (SPMs), which are not required but are often operated by air agencies for short periods of time (i.e., less than 3 years) to collect data for human health and welfare studies, as well as other types of monitoring sites, including monitors operated by federal agencies and tribal governments. The SPMs are typically not used to assess compliance with the NAAQS.</w:t>
      </w:r>
    </w:p>
    <w:p w14:paraId="6330167B" w14:textId="77777777" w:rsidR="00872B91" w:rsidRPr="00872B91" w:rsidRDefault="00872B91" w:rsidP="00872B91">
      <w:r w:rsidRPr="00872B91">
        <w:t>     To provide an assessment of data quality, monitoring agencies must perform quality assurance (QA) checks at least once every two weeks to derive estimates of precision and bias for SO</w:t>
      </w:r>
      <w:r w:rsidRPr="00872B91">
        <w:rPr>
          <w:vertAlign w:val="subscript"/>
        </w:rPr>
        <w:t>2</w:t>
      </w:r>
      <w:r w:rsidRPr="00872B91">
        <w:t> and the other gaseous criteria pollutant measurements using calibration gas. For SO</w:t>
      </w:r>
      <w:r w:rsidRPr="00872B91">
        <w:rPr>
          <w:vertAlign w:val="subscript"/>
        </w:rPr>
        <w:t>2</w:t>
      </w:r>
      <w:r w:rsidRPr="00872B91">
        <w:t> monitors, the data quality goal for precision and bias is 10 percent. Ambient air quality data and associated QA data are reported to the EPA via the </w:t>
      </w:r>
      <w:hyperlink r:id="rId19" w:history="1">
        <w:r w:rsidRPr="00872B91">
          <w:rPr>
            <w:rStyle w:val="Hyperlink"/>
          </w:rPr>
          <w:t>Air Quality System (AQS)</w:t>
        </w:r>
      </w:hyperlink>
      <w:r w:rsidRPr="00872B91">
        <w:t>.</w:t>
      </w:r>
      <w:hyperlink r:id="rId20" w:anchor="fn2" w:history="1">
        <w:r w:rsidRPr="00872B91">
          <w:rPr>
            <w:rStyle w:val="Hyperlink"/>
            <w:vertAlign w:val="superscript"/>
          </w:rPr>
          <w:t>2</w:t>
        </w:r>
      </w:hyperlink>
      <w:r w:rsidRPr="00872B91">
        <w:t> Data are reported quarterly and must be submitted to AQS within 90 days after the end of each calendar quarter (i.e. Jan/Feb/Mar, Apr/May/Jun, Jul/Aug/Sep, Oct/Nov/Dec). Additionally, each monitoring agency is required to certify all FRM/FEM data that is submitted to AQS annually, taking into consideration any QA findings, and a data certification letter must be sent to the EPA Regional Administrator by May 1st of the following year.</w:t>
      </w:r>
    </w:p>
    <w:p w14:paraId="46DB694A" w14:textId="77777777" w:rsidR="00872B91" w:rsidRPr="00872B91" w:rsidRDefault="00872B91" w:rsidP="00872B91">
      <w:pPr>
        <w:rPr>
          <w:b/>
          <w:bCs/>
        </w:rPr>
      </w:pPr>
      <w:r w:rsidRPr="00872B91">
        <w:rPr>
          <w:b/>
          <w:bCs/>
        </w:rPr>
        <w:t>5. Data Handling Conventions and Computations for Determining Whether the Standards are Met</w:t>
      </w:r>
    </w:p>
    <w:p w14:paraId="6A631858" w14:textId="77777777" w:rsidR="00872B91" w:rsidRPr="00872B91" w:rsidRDefault="00872B91" w:rsidP="00872B91">
      <w:r w:rsidRPr="00872B91">
        <w:t>     To assess whether a monitoring site or geographic area (usually a county or urban area) meets or exceeds a NAAQS, the monitoring data are analyzed consistent with the established regulatory requirements for the handling of monitoring data for the purposes of deriving a design value. A design value summarizes ambient air concentrations for an area in terms of the indicator, averaging time and form for a given standard such that its comparison to the level of the standard indicates whether the area meets or exceeds the standard. The primary SO</w:t>
      </w:r>
      <w:r w:rsidRPr="00872B91">
        <w:rPr>
          <w:vertAlign w:val="subscript"/>
        </w:rPr>
        <w:t>2</w:t>
      </w:r>
      <w:r w:rsidRPr="00872B91">
        <w:t> NAAQS has a 1-hour averaging time, which was established in 2010. The procedures for calculating design values for the primary SO</w:t>
      </w:r>
      <w:r w:rsidRPr="00872B91">
        <w:rPr>
          <w:vertAlign w:val="subscript"/>
        </w:rPr>
        <w:t>2</w:t>
      </w:r>
      <w:r w:rsidRPr="00872B91">
        <w:t> NAAQS are detailed in </w:t>
      </w:r>
      <w:hyperlink r:id="rId21" w:history="1">
        <w:r w:rsidRPr="00872B91">
          <w:rPr>
            <w:rStyle w:val="Hyperlink"/>
          </w:rPr>
          <w:t>Appendix T to 40 CFR Part 50</w:t>
        </w:r>
      </w:hyperlink>
      <w:r w:rsidRPr="00872B91">
        <w:t> and are summarized below.</w:t>
      </w:r>
    </w:p>
    <w:p w14:paraId="76A9C759" w14:textId="77777777" w:rsidR="00872B91" w:rsidRPr="00872B91" w:rsidRDefault="00872B91" w:rsidP="00872B91">
      <w:r w:rsidRPr="00872B91">
        <w:t>     Hourly SO</w:t>
      </w:r>
      <w:r w:rsidRPr="00872B91">
        <w:rPr>
          <w:vertAlign w:val="subscript"/>
        </w:rPr>
        <w:t>2</w:t>
      </w:r>
      <w:r w:rsidRPr="00872B91">
        <w:t> measurement data collected at an ambient air monitoring site using FRMs or FEMs, meeting all applicable requirements in 40 CFR Part 58, and reported to AQS in parts per billion (ppb) with decimal digits after the first decimal place truncated are used in design value calculations. If multiple monitors collect measurements at the same site, one monitor is designated as the primary monitor. Measurement data collected with the primary monitor are used to calculate the design value, and may be supplemented with data from collocated monitors whenever data is not available for the primary monitor.</w:t>
      </w:r>
    </w:p>
    <w:p w14:paraId="6A51AA4C" w14:textId="77777777" w:rsidR="00872B91" w:rsidRPr="00872B91" w:rsidRDefault="00872B91" w:rsidP="00872B91">
      <w:r w:rsidRPr="00872B91">
        <w:t>     First, the maximum hourly concentration is determined for each day (i.e., the “daily maximum value”) in a given 3-year period. For each year, the 99th percentile of the daily maximum values is determined, and the design value is the average of the three annual 99th percentile values, rounded to the nearest integer in ppb. The primary SO</w:t>
      </w:r>
      <w:r w:rsidRPr="00872B91">
        <w:rPr>
          <w:vertAlign w:val="subscript"/>
        </w:rPr>
        <w:t>2</w:t>
      </w:r>
      <w:r w:rsidRPr="00872B91">
        <w:t> NAAQS is met when the design value is less than or equal to 75 ppb, the level of the NAAQS.</w:t>
      </w:r>
    </w:p>
    <w:p w14:paraId="59FF274F" w14:textId="77777777" w:rsidR="00872B91" w:rsidRPr="00872B91" w:rsidRDefault="00872B91" w:rsidP="00872B91">
      <w:r w:rsidRPr="00872B91">
        <w:t>     In addition, the design value must meet data completeness requirements in order to be considered valid. Specifically, a sample day is considered complete when at least 18 hourly measurements are reported. For each calendar quarter, the quarter is considered complete if at least 75% of the days in the quarter have complete data. The primary SO</w:t>
      </w:r>
      <w:r w:rsidRPr="00872B91">
        <w:rPr>
          <w:vertAlign w:val="subscript"/>
        </w:rPr>
        <w:t>2</w:t>
      </w:r>
      <w:r w:rsidRPr="00872B91">
        <w:t> design value is considered complete when all 12 calendar quarters in the 3-year period have complete data. In addition, there are two data substitution tests specified in Appendix T to 40 CFR Part 50 which may be used to yield a valid design value above or below the NAAQS, respectively, in the event that a site falls short of the minimum data completeness requirement.</w:t>
      </w:r>
    </w:p>
    <w:p w14:paraId="2C93EBA6" w14:textId="77777777" w:rsidR="00872B91" w:rsidRPr="00872B91" w:rsidRDefault="00872B91" w:rsidP="00872B91">
      <w:pPr>
        <w:rPr>
          <w:b/>
          <w:bCs/>
        </w:rPr>
      </w:pPr>
      <w:r w:rsidRPr="00872B91">
        <w:rPr>
          <w:b/>
          <w:bCs/>
        </w:rPr>
        <w:t>6. SO</w:t>
      </w:r>
      <w:r w:rsidRPr="00872B91">
        <w:rPr>
          <w:b/>
          <w:bCs/>
          <w:vertAlign w:val="subscript"/>
        </w:rPr>
        <w:t>2</w:t>
      </w:r>
      <w:r w:rsidRPr="00872B91">
        <w:rPr>
          <w:b/>
          <w:bCs/>
        </w:rPr>
        <w:t> Concentrations Measured at Ambient Air Monitoring Sites Across the U.S.</w:t>
      </w:r>
    </w:p>
    <w:p w14:paraId="41C41300" w14:textId="77777777" w:rsidR="00872B91" w:rsidRPr="00872B91" w:rsidRDefault="00872B91" w:rsidP="00872B91">
      <w:r w:rsidRPr="00872B91">
        <w:t>     Table 1 below presents summary statistics based on two daily SO</w:t>
      </w:r>
      <w:r w:rsidRPr="00872B91">
        <w:rPr>
          <w:vertAlign w:val="subscript"/>
        </w:rPr>
        <w:t>2</w:t>
      </w:r>
      <w:r w:rsidRPr="00872B91">
        <w:t xml:space="preserve"> metrics, the daily maximum 1-hour (MDA1) metric, and the daily 24-hour average (DA24) metric. These statistics are presented for year-round and each season (winter=Dec/Jan/Feb, spring=Mar/Apr/May, summer=Jun/Jul/Aug, autumn=Sep/Oct/Nov) based on data reported to </w:t>
      </w:r>
      <w:r w:rsidRPr="00872B91">
        <w:lastRenderedPageBreak/>
        <w:t>AQS for 2019-2021. Table 2 presents the same set of summary statistics for the two daily SO</w:t>
      </w:r>
      <w:r w:rsidRPr="00872B91">
        <w:rPr>
          <w:vertAlign w:val="subscript"/>
        </w:rPr>
        <w:t>2</w:t>
      </w:r>
      <w:r w:rsidRPr="00872B91">
        <w:t> metrics based on four types of sites: source-oriented sites, urban non-source sites, rural non-source sites, and sites in Hawaii County, HI which are regularly impacted by natural SO</w:t>
      </w:r>
      <w:r w:rsidRPr="00872B91">
        <w:rPr>
          <w:vertAlign w:val="subscript"/>
        </w:rPr>
        <w:t>2</w:t>
      </w:r>
      <w:r w:rsidRPr="00872B91">
        <w:t> emissions from volcanic eruptions. Table 1 shows that SO</w:t>
      </w:r>
      <w:r w:rsidRPr="00872B91">
        <w:rPr>
          <w:vertAlign w:val="subscript"/>
        </w:rPr>
        <w:t>2</w:t>
      </w:r>
      <w:r w:rsidRPr="00872B91">
        <w:t> concentrations are generally similar throughout the year, and that the vast majority of concentrations measured in recent years are well below the NAAQS. The distribution of measured SO</w:t>
      </w:r>
      <w:r w:rsidRPr="00872B91">
        <w:rPr>
          <w:vertAlign w:val="subscript"/>
        </w:rPr>
        <w:t>2</w:t>
      </w:r>
      <w:r w:rsidRPr="00872B91">
        <w:t> concentrations is very skewed, with a mean concentration that is approximately three times higher than the median concentration. Table 2 shows that while median SO</w:t>
      </w:r>
      <w:r w:rsidRPr="00872B91">
        <w:rPr>
          <w:vertAlign w:val="subscript"/>
        </w:rPr>
        <w:t>2</w:t>
      </w:r>
      <w:r w:rsidRPr="00872B91">
        <w:t> concentrations at source-oriented sites are only slightly higher than at non-source sites in urban areas, the peak concentrations measured at source oriented sites are several times higher than those measured at non-source sites in urban areas. Rural non-source sites typically measure slightly lower concentrations than urban non-source sites, while the Hawaii sites affected by volcanic eruptions usually measure higher concentrations than a typical source-oriented site. The very high maximum concentration at an urban non-source site in Illinois appears to be an isolated occurrence whose cause is unknown.</w:t>
      </w:r>
    </w:p>
    <w:p w14:paraId="7A87063B" w14:textId="77777777" w:rsidR="0070346E" w:rsidRDefault="0070346E" w:rsidP="0070346E">
      <w:pPr>
        <w:sectPr w:rsidR="0070346E" w:rsidSect="00872B91">
          <w:footerReference w:type="default" r:id="rId22"/>
          <w:pgSz w:w="12240" w:h="15840"/>
          <w:pgMar w:top="720" w:right="720" w:bottom="720" w:left="720" w:header="720" w:footer="432" w:gutter="0"/>
          <w:cols w:space="720"/>
          <w:docGrid w:linePitch="360"/>
        </w:sectPr>
      </w:pPr>
    </w:p>
    <w:p w14:paraId="3B3B8F79" w14:textId="77777777" w:rsidR="00872B91" w:rsidRPr="00872B91" w:rsidRDefault="00872B91" w:rsidP="00A32066">
      <w:pPr>
        <w:spacing w:after="120"/>
      </w:pPr>
    </w:p>
    <w:p w14:paraId="4CFBCA16" w14:textId="7264C404" w:rsidR="0070346E" w:rsidRPr="0070346E" w:rsidRDefault="0070346E" w:rsidP="00A32066">
      <w:pPr>
        <w:spacing w:after="120"/>
      </w:pPr>
      <w:r w:rsidRPr="0070346E">
        <w:rPr>
          <w:b/>
          <w:bCs/>
        </w:rPr>
        <w:t>Table 1.</w:t>
      </w:r>
      <w:r w:rsidRPr="0070346E">
        <w:t> National distribution of SO</w:t>
      </w:r>
      <w:r w:rsidRPr="0070346E">
        <w:rPr>
          <w:vertAlign w:val="subscript"/>
        </w:rPr>
        <w:t>2</w:t>
      </w:r>
      <w:r w:rsidRPr="0070346E">
        <w:t> concentrations in ppb by season for 2019-2021.</w:t>
      </w:r>
      <w:hyperlink r:id="rId23" w:anchor="fn3" w:history="1">
        <w:r w:rsidR="004867EE" w:rsidRPr="004867EE">
          <w:rPr>
            <w:rStyle w:val="Hyperlink"/>
            <w:vertAlign w:val="superscript"/>
          </w:rPr>
          <w:t>3</w:t>
        </w:r>
      </w:hyperlink>
      <w:r w:rsidRPr="0070346E">
        <w:t> </w:t>
      </w:r>
      <w:r w:rsidRPr="0070346E">
        <w:rPr>
          <w:b/>
          <w:bCs/>
        </w:rPr>
        <w:t>Source:</w:t>
      </w:r>
      <w:r w:rsidRPr="0070346E">
        <w:t> </w:t>
      </w:r>
      <w:hyperlink r:id="rId24" w:history="1">
        <w:r w:rsidRPr="0070346E">
          <w:rPr>
            <w:rStyle w:val="Hyperlink"/>
          </w:rPr>
          <w:t>AQS</w:t>
        </w:r>
      </w:hyperlink>
      <w:r w:rsidRPr="0070346E">
        <w:t>.</w:t>
      </w:r>
    </w:p>
    <w:tbl>
      <w:tblPr>
        <w:tblStyle w:val="PlainTable2"/>
        <w:tblW w:w="14120" w:type="dxa"/>
        <w:tblLook w:val="0620" w:firstRow="1" w:lastRow="0" w:firstColumn="0" w:lastColumn="0" w:noHBand="1" w:noVBand="1"/>
      </w:tblPr>
      <w:tblGrid>
        <w:gridCol w:w="865"/>
        <w:gridCol w:w="1025"/>
        <w:gridCol w:w="897"/>
        <w:gridCol w:w="1008"/>
        <w:gridCol w:w="786"/>
        <w:gridCol w:w="651"/>
        <w:gridCol w:w="609"/>
        <w:gridCol w:w="602"/>
        <w:gridCol w:w="478"/>
        <w:gridCol w:w="598"/>
        <w:gridCol w:w="598"/>
        <w:gridCol w:w="598"/>
        <w:gridCol w:w="598"/>
        <w:gridCol w:w="598"/>
        <w:gridCol w:w="651"/>
        <w:gridCol w:w="651"/>
        <w:gridCol w:w="651"/>
        <w:gridCol w:w="948"/>
        <w:gridCol w:w="1308"/>
      </w:tblGrid>
      <w:tr w:rsidR="00A32066" w:rsidRPr="0070346E" w14:paraId="75BF2D92" w14:textId="77777777" w:rsidTr="00A32066">
        <w:trPr>
          <w:cnfStyle w:val="100000000000" w:firstRow="1" w:lastRow="0" w:firstColumn="0" w:lastColumn="0" w:oddVBand="0" w:evenVBand="0" w:oddHBand="0" w:evenHBand="0" w:firstRowFirstColumn="0" w:firstRowLastColumn="0" w:lastRowFirstColumn="0" w:lastRowLastColumn="0"/>
        </w:trPr>
        <w:tc>
          <w:tcPr>
            <w:tcW w:w="0" w:type="auto"/>
            <w:hideMark/>
          </w:tcPr>
          <w:p w14:paraId="7284874E" w14:textId="31F6AB02" w:rsidR="00A32066" w:rsidRPr="0070346E" w:rsidRDefault="00A32066" w:rsidP="00A32066">
            <w:r w:rsidRPr="00847282">
              <w:t>metric</w:t>
            </w:r>
          </w:p>
        </w:tc>
        <w:tc>
          <w:tcPr>
            <w:tcW w:w="0" w:type="auto"/>
            <w:hideMark/>
          </w:tcPr>
          <w:p w14:paraId="6147A8F4" w14:textId="4A0090D2" w:rsidR="00A32066" w:rsidRPr="0070346E" w:rsidRDefault="00A32066" w:rsidP="00A32066">
            <w:r w:rsidRPr="00847282">
              <w:t>season</w:t>
            </w:r>
          </w:p>
        </w:tc>
        <w:tc>
          <w:tcPr>
            <w:tcW w:w="0" w:type="auto"/>
            <w:hideMark/>
          </w:tcPr>
          <w:p w14:paraId="15298EF5" w14:textId="019D2EBC" w:rsidR="00A32066" w:rsidRPr="0070346E" w:rsidRDefault="00A32066" w:rsidP="00A32066">
            <w:r w:rsidRPr="00847282">
              <w:t>N.sites</w:t>
            </w:r>
          </w:p>
        </w:tc>
        <w:tc>
          <w:tcPr>
            <w:tcW w:w="0" w:type="auto"/>
            <w:hideMark/>
          </w:tcPr>
          <w:p w14:paraId="765DF935" w14:textId="2C73D37B" w:rsidR="00A32066" w:rsidRPr="0070346E" w:rsidRDefault="00A32066" w:rsidP="00A32066">
            <w:r w:rsidRPr="00847282">
              <w:t>N.obs</w:t>
            </w:r>
          </w:p>
        </w:tc>
        <w:tc>
          <w:tcPr>
            <w:tcW w:w="0" w:type="auto"/>
            <w:hideMark/>
          </w:tcPr>
          <w:p w14:paraId="0E2E6CE7" w14:textId="712ED80C" w:rsidR="00A32066" w:rsidRPr="0070346E" w:rsidRDefault="00A32066" w:rsidP="00A32066">
            <w:r w:rsidRPr="00847282">
              <w:t>mean</w:t>
            </w:r>
          </w:p>
        </w:tc>
        <w:tc>
          <w:tcPr>
            <w:tcW w:w="0" w:type="auto"/>
            <w:hideMark/>
          </w:tcPr>
          <w:p w14:paraId="26149D21" w14:textId="38920D88" w:rsidR="00A32066" w:rsidRPr="0070346E" w:rsidRDefault="00A32066" w:rsidP="00A32066">
            <w:r w:rsidRPr="00847282">
              <w:t>SD</w:t>
            </w:r>
          </w:p>
        </w:tc>
        <w:tc>
          <w:tcPr>
            <w:tcW w:w="0" w:type="auto"/>
            <w:hideMark/>
          </w:tcPr>
          <w:p w14:paraId="7FDCD234" w14:textId="55BFCB9A" w:rsidR="00A32066" w:rsidRPr="0070346E" w:rsidRDefault="00A32066" w:rsidP="00A32066">
            <w:r w:rsidRPr="00847282">
              <w:t>min</w:t>
            </w:r>
          </w:p>
        </w:tc>
        <w:tc>
          <w:tcPr>
            <w:tcW w:w="0" w:type="auto"/>
            <w:hideMark/>
          </w:tcPr>
          <w:p w14:paraId="5578FF37" w14:textId="2EE100ED" w:rsidR="00A32066" w:rsidRPr="0070346E" w:rsidRDefault="00A32066" w:rsidP="00A32066">
            <w:r w:rsidRPr="00847282">
              <w:t>p1</w:t>
            </w:r>
          </w:p>
        </w:tc>
        <w:tc>
          <w:tcPr>
            <w:tcW w:w="0" w:type="auto"/>
            <w:hideMark/>
          </w:tcPr>
          <w:p w14:paraId="1DE3B13B" w14:textId="10B325FB" w:rsidR="00A32066" w:rsidRPr="0070346E" w:rsidRDefault="00A32066" w:rsidP="00A32066">
            <w:r w:rsidRPr="00847282">
              <w:t>p5</w:t>
            </w:r>
          </w:p>
        </w:tc>
        <w:tc>
          <w:tcPr>
            <w:tcW w:w="0" w:type="auto"/>
            <w:hideMark/>
          </w:tcPr>
          <w:p w14:paraId="4312EC84" w14:textId="6FE14F92" w:rsidR="00A32066" w:rsidRPr="0070346E" w:rsidRDefault="00A32066" w:rsidP="00A32066">
            <w:r w:rsidRPr="00847282">
              <w:t>p10</w:t>
            </w:r>
          </w:p>
        </w:tc>
        <w:tc>
          <w:tcPr>
            <w:tcW w:w="0" w:type="auto"/>
            <w:hideMark/>
          </w:tcPr>
          <w:p w14:paraId="480853C0" w14:textId="423CD8E6" w:rsidR="00A32066" w:rsidRPr="0070346E" w:rsidRDefault="00A32066" w:rsidP="00A32066">
            <w:r w:rsidRPr="00847282">
              <w:t>p25</w:t>
            </w:r>
          </w:p>
        </w:tc>
        <w:tc>
          <w:tcPr>
            <w:tcW w:w="0" w:type="auto"/>
            <w:hideMark/>
          </w:tcPr>
          <w:p w14:paraId="0281D7C0" w14:textId="13B8BA16" w:rsidR="00A32066" w:rsidRPr="0070346E" w:rsidRDefault="00A32066" w:rsidP="00A32066">
            <w:r w:rsidRPr="00847282">
              <w:t>p50</w:t>
            </w:r>
          </w:p>
        </w:tc>
        <w:tc>
          <w:tcPr>
            <w:tcW w:w="0" w:type="auto"/>
            <w:hideMark/>
          </w:tcPr>
          <w:p w14:paraId="4A3EA2E9" w14:textId="7418CF45" w:rsidR="00A32066" w:rsidRPr="0070346E" w:rsidRDefault="00A32066" w:rsidP="00A32066">
            <w:r w:rsidRPr="00847282">
              <w:t>p75</w:t>
            </w:r>
          </w:p>
        </w:tc>
        <w:tc>
          <w:tcPr>
            <w:tcW w:w="0" w:type="auto"/>
            <w:hideMark/>
          </w:tcPr>
          <w:p w14:paraId="5FFCAD65" w14:textId="51F77454" w:rsidR="00A32066" w:rsidRPr="0070346E" w:rsidRDefault="00A32066" w:rsidP="00A32066">
            <w:r w:rsidRPr="00847282">
              <w:t>p90</w:t>
            </w:r>
          </w:p>
        </w:tc>
        <w:tc>
          <w:tcPr>
            <w:tcW w:w="0" w:type="auto"/>
            <w:hideMark/>
          </w:tcPr>
          <w:p w14:paraId="7B94E9FC" w14:textId="5305ABCC" w:rsidR="00A32066" w:rsidRPr="0070346E" w:rsidRDefault="00A32066" w:rsidP="00A32066">
            <w:r w:rsidRPr="00847282">
              <w:t>p95</w:t>
            </w:r>
          </w:p>
        </w:tc>
        <w:tc>
          <w:tcPr>
            <w:tcW w:w="0" w:type="auto"/>
            <w:hideMark/>
          </w:tcPr>
          <w:p w14:paraId="1AE150C6" w14:textId="60F58DA7" w:rsidR="00A32066" w:rsidRPr="0070346E" w:rsidRDefault="00A32066" w:rsidP="00A32066">
            <w:r w:rsidRPr="00847282">
              <w:t>p98</w:t>
            </w:r>
          </w:p>
        </w:tc>
        <w:tc>
          <w:tcPr>
            <w:tcW w:w="0" w:type="auto"/>
            <w:hideMark/>
          </w:tcPr>
          <w:p w14:paraId="50E488E1" w14:textId="36A243E5" w:rsidR="00A32066" w:rsidRPr="0070346E" w:rsidRDefault="00A32066" w:rsidP="00A32066">
            <w:r w:rsidRPr="00847282">
              <w:t>p99</w:t>
            </w:r>
          </w:p>
        </w:tc>
        <w:tc>
          <w:tcPr>
            <w:tcW w:w="0" w:type="auto"/>
            <w:hideMark/>
          </w:tcPr>
          <w:p w14:paraId="6A640E7B" w14:textId="29D1FA2F" w:rsidR="00A32066" w:rsidRPr="0070346E" w:rsidRDefault="00A32066" w:rsidP="00A32066">
            <w:r w:rsidRPr="00847282">
              <w:t>max</w:t>
            </w:r>
          </w:p>
        </w:tc>
        <w:tc>
          <w:tcPr>
            <w:tcW w:w="0" w:type="auto"/>
            <w:hideMark/>
          </w:tcPr>
          <w:p w14:paraId="1B8C705C" w14:textId="42DFACA7" w:rsidR="00A32066" w:rsidRPr="0070346E" w:rsidRDefault="00A32066" w:rsidP="00A32066">
            <w:r w:rsidRPr="00847282">
              <w:t>max.site</w:t>
            </w:r>
          </w:p>
        </w:tc>
      </w:tr>
      <w:tr w:rsidR="00A32066" w:rsidRPr="0070346E" w14:paraId="08069A74" w14:textId="77777777" w:rsidTr="00A32066">
        <w:tc>
          <w:tcPr>
            <w:tcW w:w="0" w:type="auto"/>
            <w:tcBorders>
              <w:top w:val="single" w:sz="4" w:space="0" w:color="7F7F7F" w:themeColor="text1" w:themeTint="80"/>
              <w:bottom w:val="nil"/>
            </w:tcBorders>
            <w:hideMark/>
          </w:tcPr>
          <w:p w14:paraId="42442410" w14:textId="0BF3D8FA" w:rsidR="00A32066" w:rsidRPr="0070346E" w:rsidRDefault="00A32066" w:rsidP="00A32066">
            <w:r w:rsidRPr="00847282">
              <w:t>MDA1</w:t>
            </w:r>
          </w:p>
        </w:tc>
        <w:tc>
          <w:tcPr>
            <w:tcW w:w="0" w:type="auto"/>
            <w:tcBorders>
              <w:top w:val="single" w:sz="4" w:space="0" w:color="7F7F7F" w:themeColor="text1" w:themeTint="80"/>
              <w:bottom w:val="nil"/>
            </w:tcBorders>
            <w:hideMark/>
          </w:tcPr>
          <w:p w14:paraId="4B28548D" w14:textId="7D57E7DA" w:rsidR="00A32066" w:rsidRPr="0070346E" w:rsidRDefault="00A32066" w:rsidP="00A32066">
            <w:r w:rsidRPr="00847282">
              <w:t>all</w:t>
            </w:r>
          </w:p>
        </w:tc>
        <w:tc>
          <w:tcPr>
            <w:tcW w:w="0" w:type="auto"/>
            <w:tcBorders>
              <w:top w:val="single" w:sz="4" w:space="0" w:color="7F7F7F" w:themeColor="text1" w:themeTint="80"/>
              <w:bottom w:val="nil"/>
            </w:tcBorders>
            <w:hideMark/>
          </w:tcPr>
          <w:p w14:paraId="65407DC9" w14:textId="672F40A2" w:rsidR="00A32066" w:rsidRPr="0070346E" w:rsidRDefault="00A32066" w:rsidP="00A32066">
            <w:r w:rsidRPr="00847282">
              <w:t>402</w:t>
            </w:r>
          </w:p>
        </w:tc>
        <w:tc>
          <w:tcPr>
            <w:tcW w:w="0" w:type="auto"/>
            <w:tcBorders>
              <w:top w:val="single" w:sz="4" w:space="0" w:color="7F7F7F" w:themeColor="text1" w:themeTint="80"/>
              <w:bottom w:val="nil"/>
            </w:tcBorders>
            <w:hideMark/>
          </w:tcPr>
          <w:p w14:paraId="76267CAE" w14:textId="2235C708" w:rsidR="00A32066" w:rsidRPr="0070346E" w:rsidRDefault="00A32066" w:rsidP="00A32066">
            <w:r w:rsidRPr="00847282">
              <w:t>429,661</w:t>
            </w:r>
          </w:p>
        </w:tc>
        <w:tc>
          <w:tcPr>
            <w:tcW w:w="0" w:type="auto"/>
            <w:tcBorders>
              <w:top w:val="single" w:sz="4" w:space="0" w:color="7F7F7F" w:themeColor="text1" w:themeTint="80"/>
              <w:bottom w:val="nil"/>
            </w:tcBorders>
            <w:hideMark/>
          </w:tcPr>
          <w:p w14:paraId="3D8A184C" w14:textId="0DB4719F" w:rsidR="00A32066" w:rsidRPr="0070346E" w:rsidRDefault="00A32066" w:rsidP="00A32066">
            <w:r w:rsidRPr="00847282">
              <w:t>3.0</w:t>
            </w:r>
          </w:p>
        </w:tc>
        <w:tc>
          <w:tcPr>
            <w:tcW w:w="0" w:type="auto"/>
            <w:tcBorders>
              <w:top w:val="single" w:sz="4" w:space="0" w:color="7F7F7F" w:themeColor="text1" w:themeTint="80"/>
              <w:bottom w:val="nil"/>
            </w:tcBorders>
            <w:hideMark/>
          </w:tcPr>
          <w:p w14:paraId="75D2E376" w14:textId="2FFCB19D" w:rsidR="00A32066" w:rsidRPr="0070346E" w:rsidRDefault="00A32066" w:rsidP="00A32066">
            <w:r w:rsidRPr="00847282">
              <w:t>13.0</w:t>
            </w:r>
          </w:p>
        </w:tc>
        <w:tc>
          <w:tcPr>
            <w:tcW w:w="0" w:type="auto"/>
            <w:tcBorders>
              <w:top w:val="single" w:sz="4" w:space="0" w:color="7F7F7F" w:themeColor="text1" w:themeTint="80"/>
              <w:bottom w:val="nil"/>
            </w:tcBorders>
            <w:hideMark/>
          </w:tcPr>
          <w:p w14:paraId="366D2D7D" w14:textId="264F37DB" w:rsidR="00A32066" w:rsidRPr="0070346E" w:rsidRDefault="00A32066" w:rsidP="00A32066">
            <w:r w:rsidRPr="00847282">
              <w:t>-3.7</w:t>
            </w:r>
          </w:p>
        </w:tc>
        <w:tc>
          <w:tcPr>
            <w:tcW w:w="0" w:type="auto"/>
            <w:tcBorders>
              <w:top w:val="single" w:sz="4" w:space="0" w:color="7F7F7F" w:themeColor="text1" w:themeTint="80"/>
              <w:bottom w:val="nil"/>
            </w:tcBorders>
            <w:hideMark/>
          </w:tcPr>
          <w:p w14:paraId="1576E58F" w14:textId="559E4561" w:rsidR="00A32066" w:rsidRPr="0070346E" w:rsidRDefault="00A32066" w:rsidP="00A32066">
            <w:r w:rsidRPr="00847282">
              <w:t>-0.1</w:t>
            </w:r>
          </w:p>
        </w:tc>
        <w:tc>
          <w:tcPr>
            <w:tcW w:w="0" w:type="auto"/>
            <w:tcBorders>
              <w:top w:val="single" w:sz="4" w:space="0" w:color="7F7F7F" w:themeColor="text1" w:themeTint="80"/>
              <w:bottom w:val="nil"/>
            </w:tcBorders>
            <w:hideMark/>
          </w:tcPr>
          <w:p w14:paraId="0D516DED" w14:textId="14093C7F" w:rsidR="00A32066" w:rsidRPr="0070346E" w:rsidRDefault="00A32066" w:rsidP="00A32066">
            <w:r w:rsidRPr="00847282">
              <w:t>0</w:t>
            </w:r>
          </w:p>
        </w:tc>
        <w:tc>
          <w:tcPr>
            <w:tcW w:w="0" w:type="auto"/>
            <w:tcBorders>
              <w:top w:val="single" w:sz="4" w:space="0" w:color="7F7F7F" w:themeColor="text1" w:themeTint="80"/>
              <w:bottom w:val="nil"/>
            </w:tcBorders>
            <w:hideMark/>
          </w:tcPr>
          <w:p w14:paraId="07F2E1D0" w14:textId="7FEA564F" w:rsidR="00A32066" w:rsidRPr="0070346E" w:rsidRDefault="00A32066" w:rsidP="00A32066">
            <w:r w:rsidRPr="00847282">
              <w:t>0</w:t>
            </w:r>
          </w:p>
        </w:tc>
        <w:tc>
          <w:tcPr>
            <w:tcW w:w="0" w:type="auto"/>
            <w:tcBorders>
              <w:top w:val="single" w:sz="4" w:space="0" w:color="7F7F7F" w:themeColor="text1" w:themeTint="80"/>
              <w:bottom w:val="nil"/>
            </w:tcBorders>
            <w:hideMark/>
          </w:tcPr>
          <w:p w14:paraId="0BCD8B55" w14:textId="3F1580D7" w:rsidR="00A32066" w:rsidRPr="0070346E" w:rsidRDefault="00A32066" w:rsidP="00A32066">
            <w:r w:rsidRPr="00847282">
              <w:t>0.3</w:t>
            </w:r>
          </w:p>
        </w:tc>
        <w:tc>
          <w:tcPr>
            <w:tcW w:w="0" w:type="auto"/>
            <w:tcBorders>
              <w:top w:val="single" w:sz="4" w:space="0" w:color="7F7F7F" w:themeColor="text1" w:themeTint="80"/>
              <w:bottom w:val="nil"/>
            </w:tcBorders>
            <w:hideMark/>
          </w:tcPr>
          <w:p w14:paraId="6766FA24" w14:textId="0F168984" w:rsidR="00A32066" w:rsidRPr="0070346E" w:rsidRDefault="00A32066" w:rsidP="00A32066">
            <w:r w:rsidRPr="00847282">
              <w:t>0.9</w:t>
            </w:r>
          </w:p>
        </w:tc>
        <w:tc>
          <w:tcPr>
            <w:tcW w:w="0" w:type="auto"/>
            <w:tcBorders>
              <w:top w:val="single" w:sz="4" w:space="0" w:color="7F7F7F" w:themeColor="text1" w:themeTint="80"/>
              <w:bottom w:val="nil"/>
            </w:tcBorders>
            <w:hideMark/>
          </w:tcPr>
          <w:p w14:paraId="7497351B" w14:textId="7CDCD84A" w:rsidR="00A32066" w:rsidRPr="0070346E" w:rsidRDefault="00A32066" w:rsidP="00A32066">
            <w:r w:rsidRPr="00847282">
              <w:t>2.0</w:t>
            </w:r>
          </w:p>
        </w:tc>
        <w:tc>
          <w:tcPr>
            <w:tcW w:w="0" w:type="auto"/>
            <w:tcBorders>
              <w:top w:val="single" w:sz="4" w:space="0" w:color="7F7F7F" w:themeColor="text1" w:themeTint="80"/>
              <w:bottom w:val="nil"/>
            </w:tcBorders>
            <w:hideMark/>
          </w:tcPr>
          <w:p w14:paraId="67DD3A94" w14:textId="449EFF27" w:rsidR="00A32066" w:rsidRPr="0070346E" w:rsidRDefault="00A32066" w:rsidP="00A32066">
            <w:r w:rsidRPr="00847282">
              <w:t>5.0</w:t>
            </w:r>
          </w:p>
        </w:tc>
        <w:tc>
          <w:tcPr>
            <w:tcW w:w="0" w:type="auto"/>
            <w:tcBorders>
              <w:top w:val="single" w:sz="4" w:space="0" w:color="7F7F7F" w:themeColor="text1" w:themeTint="80"/>
              <w:bottom w:val="nil"/>
            </w:tcBorders>
            <w:hideMark/>
          </w:tcPr>
          <w:p w14:paraId="2D1D1DA7" w14:textId="38D63C7F" w:rsidR="00A32066" w:rsidRPr="0070346E" w:rsidRDefault="00A32066" w:rsidP="00A32066">
            <w:r w:rsidRPr="00847282">
              <w:t>11.0</w:t>
            </w:r>
          </w:p>
        </w:tc>
        <w:tc>
          <w:tcPr>
            <w:tcW w:w="0" w:type="auto"/>
            <w:tcBorders>
              <w:top w:val="single" w:sz="4" w:space="0" w:color="7F7F7F" w:themeColor="text1" w:themeTint="80"/>
              <w:bottom w:val="nil"/>
            </w:tcBorders>
            <w:hideMark/>
          </w:tcPr>
          <w:p w14:paraId="510759FF" w14:textId="4096F704" w:rsidR="00A32066" w:rsidRPr="0070346E" w:rsidRDefault="00A32066" w:rsidP="00A32066">
            <w:r w:rsidRPr="00847282">
              <w:t>24.1</w:t>
            </w:r>
          </w:p>
        </w:tc>
        <w:tc>
          <w:tcPr>
            <w:tcW w:w="0" w:type="auto"/>
            <w:tcBorders>
              <w:top w:val="single" w:sz="4" w:space="0" w:color="7F7F7F" w:themeColor="text1" w:themeTint="80"/>
              <w:bottom w:val="nil"/>
            </w:tcBorders>
            <w:hideMark/>
          </w:tcPr>
          <w:p w14:paraId="22146CAC" w14:textId="639651E8" w:rsidR="00A32066" w:rsidRPr="0070346E" w:rsidRDefault="00A32066" w:rsidP="00A32066">
            <w:r w:rsidRPr="00847282">
              <w:t>39.2</w:t>
            </w:r>
          </w:p>
        </w:tc>
        <w:tc>
          <w:tcPr>
            <w:tcW w:w="0" w:type="auto"/>
            <w:tcBorders>
              <w:top w:val="single" w:sz="4" w:space="0" w:color="7F7F7F" w:themeColor="text1" w:themeTint="80"/>
              <w:bottom w:val="nil"/>
            </w:tcBorders>
            <w:hideMark/>
          </w:tcPr>
          <w:p w14:paraId="0499BE95" w14:textId="27C9A8BE" w:rsidR="00A32066" w:rsidRPr="0070346E" w:rsidRDefault="00A32066" w:rsidP="00A32066">
            <w:r w:rsidRPr="00847282">
              <w:t>2,732.4</w:t>
            </w:r>
          </w:p>
        </w:tc>
        <w:tc>
          <w:tcPr>
            <w:tcW w:w="0" w:type="auto"/>
            <w:tcBorders>
              <w:top w:val="single" w:sz="4" w:space="0" w:color="7F7F7F" w:themeColor="text1" w:themeTint="80"/>
              <w:bottom w:val="nil"/>
            </w:tcBorders>
            <w:hideMark/>
          </w:tcPr>
          <w:p w14:paraId="1931012B" w14:textId="11E79FE4" w:rsidR="00A32066" w:rsidRPr="0070346E" w:rsidRDefault="00A32066" w:rsidP="00A32066">
            <w:r w:rsidRPr="00847282">
              <w:t>171193007</w:t>
            </w:r>
          </w:p>
        </w:tc>
      </w:tr>
      <w:tr w:rsidR="00A32066" w:rsidRPr="0070346E" w14:paraId="11991EEA" w14:textId="77777777" w:rsidTr="00A32066">
        <w:tc>
          <w:tcPr>
            <w:tcW w:w="0" w:type="auto"/>
            <w:tcBorders>
              <w:top w:val="nil"/>
              <w:bottom w:val="nil"/>
            </w:tcBorders>
            <w:hideMark/>
          </w:tcPr>
          <w:p w14:paraId="006000BA" w14:textId="21E46CE8" w:rsidR="00A32066" w:rsidRPr="0070346E" w:rsidRDefault="00A32066" w:rsidP="00A32066">
            <w:r w:rsidRPr="00847282">
              <w:t>MDA1</w:t>
            </w:r>
          </w:p>
        </w:tc>
        <w:tc>
          <w:tcPr>
            <w:tcW w:w="0" w:type="auto"/>
            <w:tcBorders>
              <w:top w:val="nil"/>
              <w:bottom w:val="nil"/>
            </w:tcBorders>
            <w:hideMark/>
          </w:tcPr>
          <w:p w14:paraId="7E0895F7" w14:textId="5AE1EE40" w:rsidR="00A32066" w:rsidRPr="0070346E" w:rsidRDefault="00A32066" w:rsidP="00A32066">
            <w:r w:rsidRPr="00847282">
              <w:t>winter</w:t>
            </w:r>
          </w:p>
        </w:tc>
        <w:tc>
          <w:tcPr>
            <w:tcW w:w="0" w:type="auto"/>
            <w:tcBorders>
              <w:top w:val="nil"/>
              <w:bottom w:val="nil"/>
            </w:tcBorders>
            <w:hideMark/>
          </w:tcPr>
          <w:p w14:paraId="2A6E1FFE" w14:textId="0458C987" w:rsidR="00A32066" w:rsidRPr="0070346E" w:rsidRDefault="00A32066" w:rsidP="00A32066">
            <w:r w:rsidRPr="00847282">
              <w:t>401</w:t>
            </w:r>
          </w:p>
        </w:tc>
        <w:tc>
          <w:tcPr>
            <w:tcW w:w="0" w:type="auto"/>
            <w:tcBorders>
              <w:top w:val="nil"/>
              <w:bottom w:val="nil"/>
            </w:tcBorders>
            <w:hideMark/>
          </w:tcPr>
          <w:p w14:paraId="5DCE0D7E" w14:textId="459491DA" w:rsidR="00A32066" w:rsidRPr="0070346E" w:rsidRDefault="00A32066" w:rsidP="00A32066">
            <w:r w:rsidRPr="00847282">
              <w:t>105,937</w:t>
            </w:r>
          </w:p>
        </w:tc>
        <w:tc>
          <w:tcPr>
            <w:tcW w:w="0" w:type="auto"/>
            <w:tcBorders>
              <w:top w:val="nil"/>
              <w:bottom w:val="nil"/>
            </w:tcBorders>
            <w:hideMark/>
          </w:tcPr>
          <w:p w14:paraId="44E879C8" w14:textId="3C19942A" w:rsidR="00A32066" w:rsidRPr="0070346E" w:rsidRDefault="00A32066" w:rsidP="00A32066">
            <w:r w:rsidRPr="00847282">
              <w:t>3.0</w:t>
            </w:r>
          </w:p>
        </w:tc>
        <w:tc>
          <w:tcPr>
            <w:tcW w:w="0" w:type="auto"/>
            <w:tcBorders>
              <w:top w:val="nil"/>
              <w:bottom w:val="nil"/>
            </w:tcBorders>
            <w:hideMark/>
          </w:tcPr>
          <w:p w14:paraId="2594D3C9" w14:textId="48D61EFE" w:rsidR="00A32066" w:rsidRPr="0070346E" w:rsidRDefault="00A32066" w:rsidP="00A32066">
            <w:r w:rsidRPr="00847282">
              <w:t>13.7</w:t>
            </w:r>
          </w:p>
        </w:tc>
        <w:tc>
          <w:tcPr>
            <w:tcW w:w="0" w:type="auto"/>
            <w:tcBorders>
              <w:top w:val="nil"/>
              <w:bottom w:val="nil"/>
            </w:tcBorders>
            <w:hideMark/>
          </w:tcPr>
          <w:p w14:paraId="598D8F99" w14:textId="320874C7" w:rsidR="00A32066" w:rsidRPr="0070346E" w:rsidRDefault="00A32066" w:rsidP="00A32066">
            <w:r w:rsidRPr="00847282">
              <w:t>-2.0</w:t>
            </w:r>
          </w:p>
        </w:tc>
        <w:tc>
          <w:tcPr>
            <w:tcW w:w="0" w:type="auto"/>
            <w:tcBorders>
              <w:top w:val="nil"/>
              <w:bottom w:val="nil"/>
            </w:tcBorders>
            <w:hideMark/>
          </w:tcPr>
          <w:p w14:paraId="26CAC8A9" w14:textId="5E5F1CAE" w:rsidR="00A32066" w:rsidRPr="0070346E" w:rsidRDefault="00A32066" w:rsidP="00A32066">
            <w:r w:rsidRPr="00847282">
              <w:t>-0.1</w:t>
            </w:r>
          </w:p>
        </w:tc>
        <w:tc>
          <w:tcPr>
            <w:tcW w:w="0" w:type="auto"/>
            <w:tcBorders>
              <w:top w:val="nil"/>
              <w:bottom w:val="nil"/>
            </w:tcBorders>
            <w:hideMark/>
          </w:tcPr>
          <w:p w14:paraId="4C80BA55" w14:textId="7831E5EB" w:rsidR="00A32066" w:rsidRPr="0070346E" w:rsidRDefault="00A32066" w:rsidP="00A32066">
            <w:r w:rsidRPr="00847282">
              <w:t>0</w:t>
            </w:r>
          </w:p>
        </w:tc>
        <w:tc>
          <w:tcPr>
            <w:tcW w:w="0" w:type="auto"/>
            <w:tcBorders>
              <w:top w:val="nil"/>
              <w:bottom w:val="nil"/>
            </w:tcBorders>
            <w:hideMark/>
          </w:tcPr>
          <w:p w14:paraId="01793EE7" w14:textId="3567A88F" w:rsidR="00A32066" w:rsidRPr="0070346E" w:rsidRDefault="00A32066" w:rsidP="00A32066">
            <w:r w:rsidRPr="00847282">
              <w:t>0</w:t>
            </w:r>
          </w:p>
        </w:tc>
        <w:tc>
          <w:tcPr>
            <w:tcW w:w="0" w:type="auto"/>
            <w:tcBorders>
              <w:top w:val="nil"/>
              <w:bottom w:val="nil"/>
            </w:tcBorders>
            <w:hideMark/>
          </w:tcPr>
          <w:p w14:paraId="236EC63D" w14:textId="59C7B33C" w:rsidR="00A32066" w:rsidRPr="0070346E" w:rsidRDefault="00A32066" w:rsidP="00A32066">
            <w:r w:rsidRPr="00847282">
              <w:t>0.3</w:t>
            </w:r>
          </w:p>
        </w:tc>
        <w:tc>
          <w:tcPr>
            <w:tcW w:w="0" w:type="auto"/>
            <w:tcBorders>
              <w:top w:val="nil"/>
              <w:bottom w:val="nil"/>
            </w:tcBorders>
            <w:hideMark/>
          </w:tcPr>
          <w:p w14:paraId="6BB7CCFA" w14:textId="2D7A5C27" w:rsidR="00A32066" w:rsidRPr="0070346E" w:rsidRDefault="00A32066" w:rsidP="00A32066">
            <w:r w:rsidRPr="00847282">
              <w:t>1.0</w:t>
            </w:r>
          </w:p>
        </w:tc>
        <w:tc>
          <w:tcPr>
            <w:tcW w:w="0" w:type="auto"/>
            <w:tcBorders>
              <w:top w:val="nil"/>
              <w:bottom w:val="nil"/>
            </w:tcBorders>
            <w:hideMark/>
          </w:tcPr>
          <w:p w14:paraId="053F8EB8" w14:textId="615F9CA7" w:rsidR="00A32066" w:rsidRPr="0070346E" w:rsidRDefault="00A32066" w:rsidP="00A32066">
            <w:r w:rsidRPr="00847282">
              <w:t>2.0</w:t>
            </w:r>
          </w:p>
        </w:tc>
        <w:tc>
          <w:tcPr>
            <w:tcW w:w="0" w:type="auto"/>
            <w:tcBorders>
              <w:top w:val="nil"/>
              <w:bottom w:val="nil"/>
            </w:tcBorders>
            <w:hideMark/>
          </w:tcPr>
          <w:p w14:paraId="7252D653" w14:textId="097F1971" w:rsidR="00A32066" w:rsidRPr="0070346E" w:rsidRDefault="00A32066" w:rsidP="00A32066">
            <w:r w:rsidRPr="00847282">
              <w:t>4.6</w:t>
            </w:r>
          </w:p>
        </w:tc>
        <w:tc>
          <w:tcPr>
            <w:tcW w:w="0" w:type="auto"/>
            <w:tcBorders>
              <w:top w:val="nil"/>
              <w:bottom w:val="nil"/>
            </w:tcBorders>
            <w:hideMark/>
          </w:tcPr>
          <w:p w14:paraId="6EF511CE" w14:textId="49AF848E" w:rsidR="00A32066" w:rsidRPr="0070346E" w:rsidRDefault="00A32066" w:rsidP="00A32066">
            <w:r w:rsidRPr="00847282">
              <w:t>10.0</w:t>
            </w:r>
          </w:p>
        </w:tc>
        <w:tc>
          <w:tcPr>
            <w:tcW w:w="0" w:type="auto"/>
            <w:tcBorders>
              <w:top w:val="nil"/>
              <w:bottom w:val="nil"/>
            </w:tcBorders>
            <w:hideMark/>
          </w:tcPr>
          <w:p w14:paraId="4AB8FC27" w14:textId="725B4BE3" w:rsidR="00A32066" w:rsidRPr="0070346E" w:rsidRDefault="00A32066" w:rsidP="00A32066">
            <w:r w:rsidRPr="00847282">
              <w:t>23.3</w:t>
            </w:r>
          </w:p>
        </w:tc>
        <w:tc>
          <w:tcPr>
            <w:tcW w:w="0" w:type="auto"/>
            <w:tcBorders>
              <w:top w:val="nil"/>
              <w:bottom w:val="nil"/>
            </w:tcBorders>
            <w:hideMark/>
          </w:tcPr>
          <w:p w14:paraId="35AE48CC" w14:textId="1ADFC8DF" w:rsidR="00A32066" w:rsidRPr="0070346E" w:rsidRDefault="00A32066" w:rsidP="00A32066">
            <w:r w:rsidRPr="00847282">
              <w:t>40.0</w:t>
            </w:r>
          </w:p>
        </w:tc>
        <w:tc>
          <w:tcPr>
            <w:tcW w:w="0" w:type="auto"/>
            <w:tcBorders>
              <w:top w:val="nil"/>
              <w:bottom w:val="nil"/>
            </w:tcBorders>
            <w:hideMark/>
          </w:tcPr>
          <w:p w14:paraId="7A2B91C6" w14:textId="5CAA8FD4" w:rsidR="00A32066" w:rsidRPr="0070346E" w:rsidRDefault="00A32066" w:rsidP="00A32066">
            <w:r w:rsidRPr="00847282">
              <w:t>1,980.6</w:t>
            </w:r>
          </w:p>
        </w:tc>
        <w:tc>
          <w:tcPr>
            <w:tcW w:w="0" w:type="auto"/>
            <w:tcBorders>
              <w:top w:val="nil"/>
              <w:bottom w:val="nil"/>
            </w:tcBorders>
            <w:hideMark/>
          </w:tcPr>
          <w:p w14:paraId="748446B2" w14:textId="7C0605AE" w:rsidR="00A32066" w:rsidRPr="0070346E" w:rsidRDefault="00A32066" w:rsidP="00A32066">
            <w:r w:rsidRPr="00847282">
              <w:t>150012020</w:t>
            </w:r>
          </w:p>
        </w:tc>
      </w:tr>
      <w:tr w:rsidR="00A32066" w:rsidRPr="0070346E" w14:paraId="1E8B4275" w14:textId="77777777" w:rsidTr="00A32066">
        <w:tc>
          <w:tcPr>
            <w:tcW w:w="0" w:type="auto"/>
            <w:tcBorders>
              <w:top w:val="nil"/>
              <w:bottom w:val="nil"/>
            </w:tcBorders>
            <w:hideMark/>
          </w:tcPr>
          <w:p w14:paraId="3A43C16A" w14:textId="50833FBD" w:rsidR="00A32066" w:rsidRPr="0070346E" w:rsidRDefault="00A32066" w:rsidP="00A32066">
            <w:r w:rsidRPr="00847282">
              <w:t>MDA1</w:t>
            </w:r>
          </w:p>
        </w:tc>
        <w:tc>
          <w:tcPr>
            <w:tcW w:w="0" w:type="auto"/>
            <w:tcBorders>
              <w:top w:val="nil"/>
              <w:bottom w:val="nil"/>
            </w:tcBorders>
            <w:hideMark/>
          </w:tcPr>
          <w:p w14:paraId="545FC125" w14:textId="31FEA0C1" w:rsidR="00A32066" w:rsidRPr="0070346E" w:rsidRDefault="00A32066" w:rsidP="00A32066">
            <w:r w:rsidRPr="00847282">
              <w:t>spring</w:t>
            </w:r>
          </w:p>
        </w:tc>
        <w:tc>
          <w:tcPr>
            <w:tcW w:w="0" w:type="auto"/>
            <w:tcBorders>
              <w:top w:val="nil"/>
              <w:bottom w:val="nil"/>
            </w:tcBorders>
            <w:hideMark/>
          </w:tcPr>
          <w:p w14:paraId="788186C6" w14:textId="4571A3CF" w:rsidR="00A32066" w:rsidRPr="0070346E" w:rsidRDefault="00A32066" w:rsidP="00A32066">
            <w:r w:rsidRPr="00847282">
              <w:t>400</w:t>
            </w:r>
          </w:p>
        </w:tc>
        <w:tc>
          <w:tcPr>
            <w:tcW w:w="0" w:type="auto"/>
            <w:tcBorders>
              <w:top w:val="nil"/>
              <w:bottom w:val="nil"/>
            </w:tcBorders>
            <w:hideMark/>
          </w:tcPr>
          <w:p w14:paraId="1C1C4E12" w14:textId="0737DD55" w:rsidR="00A32066" w:rsidRPr="0070346E" w:rsidRDefault="00A32066" w:rsidP="00A32066">
            <w:r w:rsidRPr="00847282">
              <w:t>108,468</w:t>
            </w:r>
          </w:p>
        </w:tc>
        <w:tc>
          <w:tcPr>
            <w:tcW w:w="0" w:type="auto"/>
            <w:tcBorders>
              <w:top w:val="nil"/>
              <w:bottom w:val="nil"/>
            </w:tcBorders>
            <w:hideMark/>
          </w:tcPr>
          <w:p w14:paraId="04EBD100" w14:textId="065105FC" w:rsidR="00A32066" w:rsidRPr="0070346E" w:rsidRDefault="00A32066" w:rsidP="00A32066">
            <w:r w:rsidRPr="00847282">
              <w:t>3.1</w:t>
            </w:r>
          </w:p>
        </w:tc>
        <w:tc>
          <w:tcPr>
            <w:tcW w:w="0" w:type="auto"/>
            <w:tcBorders>
              <w:top w:val="nil"/>
              <w:bottom w:val="nil"/>
            </w:tcBorders>
            <w:hideMark/>
          </w:tcPr>
          <w:p w14:paraId="65BD92E9" w14:textId="7AA00841" w:rsidR="00A32066" w:rsidRPr="0070346E" w:rsidRDefault="00A32066" w:rsidP="00A32066">
            <w:r w:rsidRPr="00847282">
              <w:t>12.6</w:t>
            </w:r>
          </w:p>
        </w:tc>
        <w:tc>
          <w:tcPr>
            <w:tcW w:w="0" w:type="auto"/>
            <w:tcBorders>
              <w:top w:val="nil"/>
              <w:bottom w:val="nil"/>
            </w:tcBorders>
            <w:hideMark/>
          </w:tcPr>
          <w:p w14:paraId="34B9F167" w14:textId="37E2D67C" w:rsidR="00A32066" w:rsidRPr="0070346E" w:rsidRDefault="00A32066" w:rsidP="00A32066">
            <w:r w:rsidRPr="00847282">
              <w:t>-3.4</w:t>
            </w:r>
          </w:p>
        </w:tc>
        <w:tc>
          <w:tcPr>
            <w:tcW w:w="0" w:type="auto"/>
            <w:tcBorders>
              <w:top w:val="nil"/>
              <w:bottom w:val="nil"/>
            </w:tcBorders>
            <w:hideMark/>
          </w:tcPr>
          <w:p w14:paraId="5C6EC074" w14:textId="2125C7BC" w:rsidR="00A32066" w:rsidRPr="0070346E" w:rsidRDefault="00A32066" w:rsidP="00A32066">
            <w:r w:rsidRPr="00847282">
              <w:t>-0.1</w:t>
            </w:r>
          </w:p>
        </w:tc>
        <w:tc>
          <w:tcPr>
            <w:tcW w:w="0" w:type="auto"/>
            <w:tcBorders>
              <w:top w:val="nil"/>
              <w:bottom w:val="nil"/>
            </w:tcBorders>
            <w:hideMark/>
          </w:tcPr>
          <w:p w14:paraId="1FD9F949" w14:textId="7307222B" w:rsidR="00A32066" w:rsidRPr="0070346E" w:rsidRDefault="00A32066" w:rsidP="00A32066">
            <w:r w:rsidRPr="00847282">
              <w:t>0</w:t>
            </w:r>
          </w:p>
        </w:tc>
        <w:tc>
          <w:tcPr>
            <w:tcW w:w="0" w:type="auto"/>
            <w:tcBorders>
              <w:top w:val="nil"/>
              <w:bottom w:val="nil"/>
            </w:tcBorders>
            <w:hideMark/>
          </w:tcPr>
          <w:p w14:paraId="083D2284" w14:textId="467F91C8" w:rsidR="00A32066" w:rsidRPr="0070346E" w:rsidRDefault="00A32066" w:rsidP="00A32066">
            <w:r w:rsidRPr="00847282">
              <w:t>0</w:t>
            </w:r>
          </w:p>
        </w:tc>
        <w:tc>
          <w:tcPr>
            <w:tcW w:w="0" w:type="auto"/>
            <w:tcBorders>
              <w:top w:val="nil"/>
              <w:bottom w:val="nil"/>
            </w:tcBorders>
            <w:hideMark/>
          </w:tcPr>
          <w:p w14:paraId="2C61CFE3" w14:textId="0C3DFABE" w:rsidR="00A32066" w:rsidRPr="0070346E" w:rsidRDefault="00A32066" w:rsidP="00A32066">
            <w:r w:rsidRPr="00847282">
              <w:t>0.3</w:t>
            </w:r>
          </w:p>
        </w:tc>
        <w:tc>
          <w:tcPr>
            <w:tcW w:w="0" w:type="auto"/>
            <w:tcBorders>
              <w:top w:val="nil"/>
              <w:bottom w:val="nil"/>
            </w:tcBorders>
            <w:hideMark/>
          </w:tcPr>
          <w:p w14:paraId="3F70F834" w14:textId="7B64F452" w:rsidR="00A32066" w:rsidRPr="0070346E" w:rsidRDefault="00A32066" w:rsidP="00A32066">
            <w:r w:rsidRPr="00847282">
              <w:t>0.9</w:t>
            </w:r>
          </w:p>
        </w:tc>
        <w:tc>
          <w:tcPr>
            <w:tcW w:w="0" w:type="auto"/>
            <w:tcBorders>
              <w:top w:val="nil"/>
              <w:bottom w:val="nil"/>
            </w:tcBorders>
            <w:hideMark/>
          </w:tcPr>
          <w:p w14:paraId="6BEEBA54" w14:textId="2B917029" w:rsidR="00A32066" w:rsidRPr="0070346E" w:rsidRDefault="00A32066" w:rsidP="00A32066">
            <w:r w:rsidRPr="00847282">
              <w:t>2.0</w:t>
            </w:r>
          </w:p>
        </w:tc>
        <w:tc>
          <w:tcPr>
            <w:tcW w:w="0" w:type="auto"/>
            <w:tcBorders>
              <w:top w:val="nil"/>
              <w:bottom w:val="nil"/>
            </w:tcBorders>
            <w:hideMark/>
          </w:tcPr>
          <w:p w14:paraId="406F27BF" w14:textId="62BEEC5A" w:rsidR="00A32066" w:rsidRPr="0070346E" w:rsidRDefault="00A32066" w:rsidP="00A32066">
            <w:r w:rsidRPr="00847282">
              <w:t>5.2</w:t>
            </w:r>
          </w:p>
        </w:tc>
        <w:tc>
          <w:tcPr>
            <w:tcW w:w="0" w:type="auto"/>
            <w:tcBorders>
              <w:top w:val="nil"/>
              <w:bottom w:val="nil"/>
            </w:tcBorders>
            <w:hideMark/>
          </w:tcPr>
          <w:p w14:paraId="03548E5A" w14:textId="7156ECDD" w:rsidR="00A32066" w:rsidRPr="0070346E" w:rsidRDefault="00A32066" w:rsidP="00A32066">
            <w:r w:rsidRPr="00847282">
              <w:t>12.0</w:t>
            </w:r>
          </w:p>
        </w:tc>
        <w:tc>
          <w:tcPr>
            <w:tcW w:w="0" w:type="auto"/>
            <w:tcBorders>
              <w:top w:val="nil"/>
              <w:bottom w:val="nil"/>
            </w:tcBorders>
            <w:hideMark/>
          </w:tcPr>
          <w:p w14:paraId="5DE5BC81" w14:textId="0ED5D5EC" w:rsidR="00A32066" w:rsidRPr="0070346E" w:rsidRDefault="00A32066" w:rsidP="00A32066">
            <w:r w:rsidRPr="00847282">
              <w:t>26.2</w:t>
            </w:r>
          </w:p>
        </w:tc>
        <w:tc>
          <w:tcPr>
            <w:tcW w:w="0" w:type="auto"/>
            <w:tcBorders>
              <w:top w:val="nil"/>
              <w:bottom w:val="nil"/>
            </w:tcBorders>
            <w:hideMark/>
          </w:tcPr>
          <w:p w14:paraId="517D8857" w14:textId="0DA66E40" w:rsidR="00A32066" w:rsidRPr="0070346E" w:rsidRDefault="00A32066" w:rsidP="00A32066">
            <w:r w:rsidRPr="00847282">
              <w:t>42.0</w:t>
            </w:r>
          </w:p>
        </w:tc>
        <w:tc>
          <w:tcPr>
            <w:tcW w:w="0" w:type="auto"/>
            <w:tcBorders>
              <w:top w:val="nil"/>
              <w:bottom w:val="nil"/>
            </w:tcBorders>
            <w:hideMark/>
          </w:tcPr>
          <w:p w14:paraId="57E45C87" w14:textId="68F7DE8F" w:rsidR="00A32066" w:rsidRPr="0070346E" w:rsidRDefault="00A32066" w:rsidP="00A32066">
            <w:r w:rsidRPr="00847282">
              <w:t>564.5</w:t>
            </w:r>
          </w:p>
        </w:tc>
        <w:tc>
          <w:tcPr>
            <w:tcW w:w="0" w:type="auto"/>
            <w:tcBorders>
              <w:top w:val="nil"/>
              <w:bottom w:val="nil"/>
            </w:tcBorders>
            <w:hideMark/>
          </w:tcPr>
          <w:p w14:paraId="6EBE8899" w14:textId="1EB98A5A" w:rsidR="00A32066" w:rsidRPr="0070346E" w:rsidRDefault="00A32066" w:rsidP="00A32066">
            <w:r w:rsidRPr="00847282">
              <w:t>120570112</w:t>
            </w:r>
          </w:p>
        </w:tc>
      </w:tr>
      <w:tr w:rsidR="00A32066" w:rsidRPr="0070346E" w14:paraId="6A72663A" w14:textId="77777777" w:rsidTr="00A32066">
        <w:tc>
          <w:tcPr>
            <w:tcW w:w="0" w:type="auto"/>
            <w:tcBorders>
              <w:top w:val="nil"/>
              <w:bottom w:val="nil"/>
            </w:tcBorders>
            <w:hideMark/>
          </w:tcPr>
          <w:p w14:paraId="5F813321" w14:textId="67C78DD6" w:rsidR="00A32066" w:rsidRPr="0070346E" w:rsidRDefault="00A32066" w:rsidP="00A32066">
            <w:r w:rsidRPr="00847282">
              <w:t>MDA1</w:t>
            </w:r>
          </w:p>
        </w:tc>
        <w:tc>
          <w:tcPr>
            <w:tcW w:w="0" w:type="auto"/>
            <w:tcBorders>
              <w:top w:val="nil"/>
              <w:bottom w:val="nil"/>
            </w:tcBorders>
            <w:hideMark/>
          </w:tcPr>
          <w:p w14:paraId="7A9374C4" w14:textId="28004F96" w:rsidR="00A32066" w:rsidRPr="0070346E" w:rsidRDefault="00A32066" w:rsidP="00A32066">
            <w:r w:rsidRPr="00847282">
              <w:t>summer</w:t>
            </w:r>
          </w:p>
        </w:tc>
        <w:tc>
          <w:tcPr>
            <w:tcW w:w="0" w:type="auto"/>
            <w:tcBorders>
              <w:top w:val="nil"/>
              <w:bottom w:val="nil"/>
            </w:tcBorders>
            <w:hideMark/>
          </w:tcPr>
          <w:p w14:paraId="05F3861B" w14:textId="461DFA66" w:rsidR="00A32066" w:rsidRPr="0070346E" w:rsidRDefault="00A32066" w:rsidP="00A32066">
            <w:r w:rsidRPr="00847282">
              <w:t>397</w:t>
            </w:r>
          </w:p>
        </w:tc>
        <w:tc>
          <w:tcPr>
            <w:tcW w:w="0" w:type="auto"/>
            <w:tcBorders>
              <w:top w:val="nil"/>
              <w:bottom w:val="nil"/>
            </w:tcBorders>
            <w:hideMark/>
          </w:tcPr>
          <w:p w14:paraId="6A6C79DF" w14:textId="582134C2" w:rsidR="00A32066" w:rsidRPr="0070346E" w:rsidRDefault="00A32066" w:rsidP="00A32066">
            <w:r w:rsidRPr="00847282">
              <w:t>107,212</w:t>
            </w:r>
          </w:p>
        </w:tc>
        <w:tc>
          <w:tcPr>
            <w:tcW w:w="0" w:type="auto"/>
            <w:tcBorders>
              <w:top w:val="nil"/>
              <w:bottom w:val="nil"/>
            </w:tcBorders>
            <w:hideMark/>
          </w:tcPr>
          <w:p w14:paraId="5E8C4577" w14:textId="3386C876" w:rsidR="00A32066" w:rsidRPr="0070346E" w:rsidRDefault="00A32066" w:rsidP="00A32066">
            <w:r w:rsidRPr="00847282">
              <w:t>2.9</w:t>
            </w:r>
          </w:p>
        </w:tc>
        <w:tc>
          <w:tcPr>
            <w:tcW w:w="0" w:type="auto"/>
            <w:tcBorders>
              <w:top w:val="nil"/>
              <w:bottom w:val="nil"/>
            </w:tcBorders>
            <w:hideMark/>
          </w:tcPr>
          <w:p w14:paraId="4651BDD2" w14:textId="2AA86FE9" w:rsidR="00A32066" w:rsidRPr="0070346E" w:rsidRDefault="00A32066" w:rsidP="00A32066">
            <w:r w:rsidRPr="00847282">
              <w:t>13.2</w:t>
            </w:r>
          </w:p>
        </w:tc>
        <w:tc>
          <w:tcPr>
            <w:tcW w:w="0" w:type="auto"/>
            <w:tcBorders>
              <w:top w:val="nil"/>
              <w:bottom w:val="nil"/>
            </w:tcBorders>
            <w:hideMark/>
          </w:tcPr>
          <w:p w14:paraId="48EC0817" w14:textId="3BE0806D" w:rsidR="00A32066" w:rsidRPr="0070346E" w:rsidRDefault="00A32066" w:rsidP="00A32066">
            <w:r w:rsidRPr="00847282">
              <w:t>-2.7</w:t>
            </w:r>
          </w:p>
        </w:tc>
        <w:tc>
          <w:tcPr>
            <w:tcW w:w="0" w:type="auto"/>
            <w:tcBorders>
              <w:top w:val="nil"/>
              <w:bottom w:val="nil"/>
            </w:tcBorders>
            <w:hideMark/>
          </w:tcPr>
          <w:p w14:paraId="21FF3C4A" w14:textId="0AF7B30E" w:rsidR="00A32066" w:rsidRPr="0070346E" w:rsidRDefault="00A32066" w:rsidP="00A32066">
            <w:r w:rsidRPr="00847282">
              <w:t>-0.1</w:t>
            </w:r>
          </w:p>
        </w:tc>
        <w:tc>
          <w:tcPr>
            <w:tcW w:w="0" w:type="auto"/>
            <w:tcBorders>
              <w:top w:val="nil"/>
              <w:bottom w:val="nil"/>
            </w:tcBorders>
            <w:hideMark/>
          </w:tcPr>
          <w:p w14:paraId="57B8A5DE" w14:textId="28C95FDE" w:rsidR="00A32066" w:rsidRPr="0070346E" w:rsidRDefault="00A32066" w:rsidP="00A32066">
            <w:r w:rsidRPr="00847282">
              <w:t>0</w:t>
            </w:r>
          </w:p>
        </w:tc>
        <w:tc>
          <w:tcPr>
            <w:tcW w:w="0" w:type="auto"/>
            <w:tcBorders>
              <w:top w:val="nil"/>
              <w:bottom w:val="nil"/>
            </w:tcBorders>
            <w:hideMark/>
          </w:tcPr>
          <w:p w14:paraId="61C01E52" w14:textId="63B01FCF" w:rsidR="00A32066" w:rsidRPr="0070346E" w:rsidRDefault="00A32066" w:rsidP="00A32066">
            <w:r w:rsidRPr="00847282">
              <w:t>0</w:t>
            </w:r>
          </w:p>
        </w:tc>
        <w:tc>
          <w:tcPr>
            <w:tcW w:w="0" w:type="auto"/>
            <w:tcBorders>
              <w:top w:val="nil"/>
              <w:bottom w:val="nil"/>
            </w:tcBorders>
            <w:hideMark/>
          </w:tcPr>
          <w:p w14:paraId="2258267A" w14:textId="6A7768F9" w:rsidR="00A32066" w:rsidRPr="0070346E" w:rsidRDefault="00A32066" w:rsidP="00A32066">
            <w:r w:rsidRPr="00847282">
              <w:t>0.3</w:t>
            </w:r>
          </w:p>
        </w:tc>
        <w:tc>
          <w:tcPr>
            <w:tcW w:w="0" w:type="auto"/>
            <w:tcBorders>
              <w:top w:val="nil"/>
              <w:bottom w:val="nil"/>
            </w:tcBorders>
            <w:hideMark/>
          </w:tcPr>
          <w:p w14:paraId="2AC8E55F" w14:textId="4C265972" w:rsidR="00A32066" w:rsidRPr="0070346E" w:rsidRDefault="00A32066" w:rsidP="00A32066">
            <w:r w:rsidRPr="00847282">
              <w:t>0.9</w:t>
            </w:r>
          </w:p>
        </w:tc>
        <w:tc>
          <w:tcPr>
            <w:tcW w:w="0" w:type="auto"/>
            <w:tcBorders>
              <w:top w:val="nil"/>
              <w:bottom w:val="nil"/>
            </w:tcBorders>
            <w:hideMark/>
          </w:tcPr>
          <w:p w14:paraId="78143930" w14:textId="67249B94" w:rsidR="00A32066" w:rsidRPr="0070346E" w:rsidRDefault="00A32066" w:rsidP="00A32066">
            <w:r w:rsidRPr="00847282">
              <w:t>2.0</w:t>
            </w:r>
          </w:p>
        </w:tc>
        <w:tc>
          <w:tcPr>
            <w:tcW w:w="0" w:type="auto"/>
            <w:tcBorders>
              <w:top w:val="nil"/>
              <w:bottom w:val="nil"/>
            </w:tcBorders>
            <w:hideMark/>
          </w:tcPr>
          <w:p w14:paraId="3AE2D1CF" w14:textId="55D71325" w:rsidR="00A32066" w:rsidRPr="0070346E" w:rsidRDefault="00A32066" w:rsidP="00A32066">
            <w:r w:rsidRPr="00847282">
              <w:t>5.4</w:t>
            </w:r>
          </w:p>
        </w:tc>
        <w:tc>
          <w:tcPr>
            <w:tcW w:w="0" w:type="auto"/>
            <w:tcBorders>
              <w:top w:val="nil"/>
              <w:bottom w:val="nil"/>
            </w:tcBorders>
            <w:hideMark/>
          </w:tcPr>
          <w:p w14:paraId="2A97D747" w14:textId="0A32F19B" w:rsidR="00A32066" w:rsidRPr="0070346E" w:rsidRDefault="00A32066" w:rsidP="00A32066">
            <w:r w:rsidRPr="00847282">
              <w:t>11.0</w:t>
            </w:r>
          </w:p>
        </w:tc>
        <w:tc>
          <w:tcPr>
            <w:tcW w:w="0" w:type="auto"/>
            <w:tcBorders>
              <w:top w:val="nil"/>
              <w:bottom w:val="nil"/>
            </w:tcBorders>
            <w:hideMark/>
          </w:tcPr>
          <w:p w14:paraId="1E2A99E8" w14:textId="3C0CC344" w:rsidR="00A32066" w:rsidRPr="0070346E" w:rsidRDefault="00A32066" w:rsidP="00A32066">
            <w:r w:rsidRPr="00847282">
              <w:t>22.7</w:t>
            </w:r>
          </w:p>
        </w:tc>
        <w:tc>
          <w:tcPr>
            <w:tcW w:w="0" w:type="auto"/>
            <w:tcBorders>
              <w:top w:val="nil"/>
              <w:bottom w:val="nil"/>
            </w:tcBorders>
            <w:hideMark/>
          </w:tcPr>
          <w:p w14:paraId="635F2E53" w14:textId="6C4ECACC" w:rsidR="00A32066" w:rsidRPr="0070346E" w:rsidRDefault="00A32066" w:rsidP="00A32066">
            <w:r w:rsidRPr="00847282">
              <w:t>36.0</w:t>
            </w:r>
          </w:p>
        </w:tc>
        <w:tc>
          <w:tcPr>
            <w:tcW w:w="0" w:type="auto"/>
            <w:tcBorders>
              <w:top w:val="nil"/>
              <w:bottom w:val="nil"/>
            </w:tcBorders>
            <w:hideMark/>
          </w:tcPr>
          <w:p w14:paraId="55810636" w14:textId="58B7BF80" w:rsidR="00A32066" w:rsidRPr="0070346E" w:rsidRDefault="00A32066" w:rsidP="00A32066">
            <w:r w:rsidRPr="00847282">
              <w:t>2,732.4</w:t>
            </w:r>
          </w:p>
        </w:tc>
        <w:tc>
          <w:tcPr>
            <w:tcW w:w="0" w:type="auto"/>
            <w:tcBorders>
              <w:top w:val="nil"/>
              <w:bottom w:val="nil"/>
            </w:tcBorders>
            <w:hideMark/>
          </w:tcPr>
          <w:p w14:paraId="51D81A36" w14:textId="0A933EFE" w:rsidR="00A32066" w:rsidRPr="0070346E" w:rsidRDefault="00A32066" w:rsidP="00A32066">
            <w:r w:rsidRPr="00847282">
              <w:t>171193007</w:t>
            </w:r>
          </w:p>
        </w:tc>
      </w:tr>
      <w:tr w:rsidR="00A32066" w:rsidRPr="0070346E" w14:paraId="4BC4BFCC" w14:textId="77777777" w:rsidTr="00A32066">
        <w:tc>
          <w:tcPr>
            <w:tcW w:w="0" w:type="auto"/>
            <w:tcBorders>
              <w:top w:val="nil"/>
              <w:bottom w:val="single" w:sz="4" w:space="0" w:color="666666" w:themeColor="text1" w:themeTint="99"/>
            </w:tcBorders>
            <w:hideMark/>
          </w:tcPr>
          <w:p w14:paraId="41C8AC64" w14:textId="4BC86715" w:rsidR="00A32066" w:rsidRPr="0070346E" w:rsidRDefault="00A32066" w:rsidP="00A32066">
            <w:r w:rsidRPr="00847282">
              <w:t>MDA1</w:t>
            </w:r>
          </w:p>
        </w:tc>
        <w:tc>
          <w:tcPr>
            <w:tcW w:w="0" w:type="auto"/>
            <w:tcBorders>
              <w:top w:val="nil"/>
              <w:bottom w:val="single" w:sz="4" w:space="0" w:color="666666" w:themeColor="text1" w:themeTint="99"/>
            </w:tcBorders>
            <w:hideMark/>
          </w:tcPr>
          <w:p w14:paraId="4A8A52B1" w14:textId="1EB05DCF" w:rsidR="00A32066" w:rsidRPr="0070346E" w:rsidRDefault="00A32066" w:rsidP="00A32066">
            <w:r w:rsidRPr="00847282">
              <w:t>autumn</w:t>
            </w:r>
          </w:p>
        </w:tc>
        <w:tc>
          <w:tcPr>
            <w:tcW w:w="0" w:type="auto"/>
            <w:tcBorders>
              <w:top w:val="nil"/>
              <w:bottom w:val="single" w:sz="4" w:space="0" w:color="666666" w:themeColor="text1" w:themeTint="99"/>
            </w:tcBorders>
            <w:hideMark/>
          </w:tcPr>
          <w:p w14:paraId="37932C63" w14:textId="2A465B52" w:rsidR="00A32066" w:rsidRPr="0070346E" w:rsidRDefault="00A32066" w:rsidP="00A32066">
            <w:r w:rsidRPr="00847282">
              <w:t>394</w:t>
            </w:r>
          </w:p>
        </w:tc>
        <w:tc>
          <w:tcPr>
            <w:tcW w:w="0" w:type="auto"/>
            <w:tcBorders>
              <w:top w:val="nil"/>
              <w:bottom w:val="single" w:sz="4" w:space="0" w:color="666666" w:themeColor="text1" w:themeTint="99"/>
            </w:tcBorders>
            <w:hideMark/>
          </w:tcPr>
          <w:p w14:paraId="241AB4DF" w14:textId="3189CE57" w:rsidR="00A32066" w:rsidRPr="0070346E" w:rsidRDefault="00A32066" w:rsidP="00A32066">
            <w:r w:rsidRPr="00847282">
              <w:t>105,117</w:t>
            </w:r>
          </w:p>
        </w:tc>
        <w:tc>
          <w:tcPr>
            <w:tcW w:w="0" w:type="auto"/>
            <w:tcBorders>
              <w:top w:val="nil"/>
              <w:bottom w:val="single" w:sz="4" w:space="0" w:color="666666" w:themeColor="text1" w:themeTint="99"/>
            </w:tcBorders>
            <w:hideMark/>
          </w:tcPr>
          <w:p w14:paraId="2F999FDC" w14:textId="1D977213" w:rsidR="00A32066" w:rsidRPr="0070346E" w:rsidRDefault="00A32066" w:rsidP="00A32066">
            <w:r w:rsidRPr="00847282">
              <w:t>3.1</w:t>
            </w:r>
          </w:p>
        </w:tc>
        <w:tc>
          <w:tcPr>
            <w:tcW w:w="0" w:type="auto"/>
            <w:tcBorders>
              <w:top w:val="nil"/>
              <w:bottom w:val="single" w:sz="4" w:space="0" w:color="666666" w:themeColor="text1" w:themeTint="99"/>
            </w:tcBorders>
            <w:hideMark/>
          </w:tcPr>
          <w:p w14:paraId="33969463" w14:textId="590BA85B" w:rsidR="00A32066" w:rsidRPr="0070346E" w:rsidRDefault="00A32066" w:rsidP="00A32066">
            <w:r w:rsidRPr="00847282">
              <w:t>12.8</w:t>
            </w:r>
          </w:p>
        </w:tc>
        <w:tc>
          <w:tcPr>
            <w:tcW w:w="0" w:type="auto"/>
            <w:tcBorders>
              <w:top w:val="nil"/>
              <w:bottom w:val="single" w:sz="4" w:space="0" w:color="666666" w:themeColor="text1" w:themeTint="99"/>
            </w:tcBorders>
            <w:hideMark/>
          </w:tcPr>
          <w:p w14:paraId="32C76F29" w14:textId="40C3ED73" w:rsidR="00A32066" w:rsidRPr="0070346E" w:rsidRDefault="00A32066" w:rsidP="00A32066">
            <w:r w:rsidRPr="00847282">
              <w:t>-3.7</w:t>
            </w:r>
          </w:p>
        </w:tc>
        <w:tc>
          <w:tcPr>
            <w:tcW w:w="0" w:type="auto"/>
            <w:tcBorders>
              <w:top w:val="nil"/>
              <w:bottom w:val="single" w:sz="4" w:space="0" w:color="666666" w:themeColor="text1" w:themeTint="99"/>
            </w:tcBorders>
            <w:hideMark/>
          </w:tcPr>
          <w:p w14:paraId="28003F87" w14:textId="3E51BCD5" w:rsidR="00A32066" w:rsidRPr="0070346E" w:rsidRDefault="00A32066" w:rsidP="00A32066">
            <w:r w:rsidRPr="00847282">
              <w:t>-0.2</w:t>
            </w:r>
          </w:p>
        </w:tc>
        <w:tc>
          <w:tcPr>
            <w:tcW w:w="0" w:type="auto"/>
            <w:tcBorders>
              <w:top w:val="nil"/>
              <w:bottom w:val="single" w:sz="4" w:space="0" w:color="666666" w:themeColor="text1" w:themeTint="99"/>
            </w:tcBorders>
            <w:hideMark/>
          </w:tcPr>
          <w:p w14:paraId="2C91EA65" w14:textId="264DC886" w:rsidR="00A32066" w:rsidRPr="0070346E" w:rsidRDefault="00A32066" w:rsidP="00A32066">
            <w:r w:rsidRPr="00847282">
              <w:t>0</w:t>
            </w:r>
          </w:p>
        </w:tc>
        <w:tc>
          <w:tcPr>
            <w:tcW w:w="0" w:type="auto"/>
            <w:tcBorders>
              <w:top w:val="nil"/>
              <w:bottom w:val="single" w:sz="4" w:space="0" w:color="666666" w:themeColor="text1" w:themeTint="99"/>
            </w:tcBorders>
            <w:hideMark/>
          </w:tcPr>
          <w:p w14:paraId="74DA020D" w14:textId="0C3476E5" w:rsidR="00A32066" w:rsidRPr="0070346E" w:rsidRDefault="00A32066" w:rsidP="00A32066">
            <w:r w:rsidRPr="00847282">
              <w:t>0</w:t>
            </w:r>
          </w:p>
        </w:tc>
        <w:tc>
          <w:tcPr>
            <w:tcW w:w="0" w:type="auto"/>
            <w:tcBorders>
              <w:top w:val="nil"/>
              <w:bottom w:val="single" w:sz="4" w:space="0" w:color="666666" w:themeColor="text1" w:themeTint="99"/>
            </w:tcBorders>
            <w:hideMark/>
          </w:tcPr>
          <w:p w14:paraId="6A8D92FF" w14:textId="51973AFB" w:rsidR="00A32066" w:rsidRPr="0070346E" w:rsidRDefault="00A32066" w:rsidP="00A32066">
            <w:r w:rsidRPr="00847282">
              <w:t>0.3</w:t>
            </w:r>
          </w:p>
        </w:tc>
        <w:tc>
          <w:tcPr>
            <w:tcW w:w="0" w:type="auto"/>
            <w:tcBorders>
              <w:top w:val="nil"/>
              <w:bottom w:val="single" w:sz="4" w:space="0" w:color="666666" w:themeColor="text1" w:themeTint="99"/>
            </w:tcBorders>
            <w:hideMark/>
          </w:tcPr>
          <w:p w14:paraId="544D3E97" w14:textId="75BDFB4C" w:rsidR="00A32066" w:rsidRPr="0070346E" w:rsidRDefault="00A32066" w:rsidP="00A32066">
            <w:r w:rsidRPr="00847282">
              <w:t>1.0</w:t>
            </w:r>
          </w:p>
        </w:tc>
        <w:tc>
          <w:tcPr>
            <w:tcW w:w="0" w:type="auto"/>
            <w:tcBorders>
              <w:top w:val="nil"/>
              <w:bottom w:val="single" w:sz="4" w:space="0" w:color="666666" w:themeColor="text1" w:themeTint="99"/>
            </w:tcBorders>
            <w:hideMark/>
          </w:tcPr>
          <w:p w14:paraId="32670DA9" w14:textId="09785B3B" w:rsidR="00A32066" w:rsidRPr="0070346E" w:rsidRDefault="00A32066" w:rsidP="00A32066">
            <w:r w:rsidRPr="00847282">
              <w:t>2.0</w:t>
            </w:r>
          </w:p>
        </w:tc>
        <w:tc>
          <w:tcPr>
            <w:tcW w:w="0" w:type="auto"/>
            <w:tcBorders>
              <w:top w:val="nil"/>
              <w:bottom w:val="single" w:sz="4" w:space="0" w:color="666666" w:themeColor="text1" w:themeTint="99"/>
            </w:tcBorders>
            <w:hideMark/>
          </w:tcPr>
          <w:p w14:paraId="3683C7F7" w14:textId="5286C454" w:rsidR="00A32066" w:rsidRPr="0070346E" w:rsidRDefault="00A32066" w:rsidP="00A32066">
            <w:r w:rsidRPr="00847282">
              <w:t>5.1</w:t>
            </w:r>
          </w:p>
        </w:tc>
        <w:tc>
          <w:tcPr>
            <w:tcW w:w="0" w:type="auto"/>
            <w:tcBorders>
              <w:top w:val="nil"/>
              <w:bottom w:val="single" w:sz="4" w:space="0" w:color="666666" w:themeColor="text1" w:themeTint="99"/>
            </w:tcBorders>
            <w:hideMark/>
          </w:tcPr>
          <w:p w14:paraId="789B11B7" w14:textId="3F373758" w:rsidR="00A32066" w:rsidRPr="0070346E" w:rsidRDefault="00A32066" w:rsidP="00A32066">
            <w:r w:rsidRPr="00847282">
              <w:t>11.1</w:t>
            </w:r>
          </w:p>
        </w:tc>
        <w:tc>
          <w:tcPr>
            <w:tcW w:w="0" w:type="auto"/>
            <w:tcBorders>
              <w:top w:val="nil"/>
              <w:bottom w:val="single" w:sz="4" w:space="0" w:color="666666" w:themeColor="text1" w:themeTint="99"/>
            </w:tcBorders>
            <w:hideMark/>
          </w:tcPr>
          <w:p w14:paraId="70038227" w14:textId="40A72277" w:rsidR="00A32066" w:rsidRPr="0070346E" w:rsidRDefault="00A32066" w:rsidP="00A32066">
            <w:r w:rsidRPr="00847282">
              <w:t>24.7</w:t>
            </w:r>
          </w:p>
        </w:tc>
        <w:tc>
          <w:tcPr>
            <w:tcW w:w="0" w:type="auto"/>
            <w:tcBorders>
              <w:top w:val="nil"/>
              <w:bottom w:val="single" w:sz="4" w:space="0" w:color="666666" w:themeColor="text1" w:themeTint="99"/>
            </w:tcBorders>
            <w:hideMark/>
          </w:tcPr>
          <w:p w14:paraId="51A508EE" w14:textId="088B68D4" w:rsidR="00A32066" w:rsidRPr="0070346E" w:rsidRDefault="00A32066" w:rsidP="00A32066">
            <w:r w:rsidRPr="00847282">
              <w:t>40.2</w:t>
            </w:r>
          </w:p>
        </w:tc>
        <w:tc>
          <w:tcPr>
            <w:tcW w:w="0" w:type="auto"/>
            <w:tcBorders>
              <w:top w:val="nil"/>
              <w:bottom w:val="single" w:sz="4" w:space="0" w:color="666666" w:themeColor="text1" w:themeTint="99"/>
            </w:tcBorders>
            <w:hideMark/>
          </w:tcPr>
          <w:p w14:paraId="4354688E" w14:textId="4B68698F" w:rsidR="00A32066" w:rsidRPr="0070346E" w:rsidRDefault="00A32066" w:rsidP="00A32066">
            <w:r w:rsidRPr="00847282">
              <w:t>881.0</w:t>
            </w:r>
          </w:p>
        </w:tc>
        <w:tc>
          <w:tcPr>
            <w:tcW w:w="0" w:type="auto"/>
            <w:tcBorders>
              <w:top w:val="nil"/>
              <w:bottom w:val="single" w:sz="4" w:space="0" w:color="666666" w:themeColor="text1" w:themeTint="99"/>
            </w:tcBorders>
            <w:hideMark/>
          </w:tcPr>
          <w:p w14:paraId="183BDE1D" w14:textId="30B65B64" w:rsidR="00A32066" w:rsidRPr="0070346E" w:rsidRDefault="00A32066" w:rsidP="00A32066">
            <w:r w:rsidRPr="00847282">
              <w:t>271630436</w:t>
            </w:r>
          </w:p>
        </w:tc>
      </w:tr>
      <w:tr w:rsidR="00A32066" w:rsidRPr="0070346E" w14:paraId="29AD865C" w14:textId="77777777" w:rsidTr="00A32066">
        <w:tc>
          <w:tcPr>
            <w:tcW w:w="0" w:type="auto"/>
            <w:tcBorders>
              <w:top w:val="single" w:sz="4" w:space="0" w:color="666666" w:themeColor="text1" w:themeTint="99"/>
            </w:tcBorders>
            <w:hideMark/>
          </w:tcPr>
          <w:p w14:paraId="55FED6F7" w14:textId="57796085" w:rsidR="00A32066" w:rsidRPr="0070346E" w:rsidRDefault="00A32066" w:rsidP="00A32066">
            <w:r w:rsidRPr="00847282">
              <w:t>DA24</w:t>
            </w:r>
          </w:p>
        </w:tc>
        <w:tc>
          <w:tcPr>
            <w:tcW w:w="0" w:type="auto"/>
            <w:tcBorders>
              <w:top w:val="single" w:sz="4" w:space="0" w:color="666666" w:themeColor="text1" w:themeTint="99"/>
            </w:tcBorders>
            <w:hideMark/>
          </w:tcPr>
          <w:p w14:paraId="2C89A41D" w14:textId="42052818" w:rsidR="00A32066" w:rsidRPr="0070346E" w:rsidRDefault="00A32066" w:rsidP="00A32066">
            <w:r w:rsidRPr="00847282">
              <w:t>all</w:t>
            </w:r>
          </w:p>
        </w:tc>
        <w:tc>
          <w:tcPr>
            <w:tcW w:w="0" w:type="auto"/>
            <w:tcBorders>
              <w:top w:val="single" w:sz="4" w:space="0" w:color="666666" w:themeColor="text1" w:themeTint="99"/>
            </w:tcBorders>
            <w:hideMark/>
          </w:tcPr>
          <w:p w14:paraId="3769B2F8" w14:textId="5DC44FCF" w:rsidR="00A32066" w:rsidRPr="0070346E" w:rsidRDefault="00A32066" w:rsidP="00A32066">
            <w:r w:rsidRPr="00847282">
              <w:t>402</w:t>
            </w:r>
          </w:p>
        </w:tc>
        <w:tc>
          <w:tcPr>
            <w:tcW w:w="0" w:type="auto"/>
            <w:tcBorders>
              <w:top w:val="single" w:sz="4" w:space="0" w:color="666666" w:themeColor="text1" w:themeTint="99"/>
            </w:tcBorders>
            <w:hideMark/>
          </w:tcPr>
          <w:p w14:paraId="6D03A40A" w14:textId="7E563B3A" w:rsidR="00A32066" w:rsidRPr="0070346E" w:rsidRDefault="00A32066" w:rsidP="00A32066">
            <w:r w:rsidRPr="00847282">
              <w:t>429,661</w:t>
            </w:r>
          </w:p>
        </w:tc>
        <w:tc>
          <w:tcPr>
            <w:tcW w:w="0" w:type="auto"/>
            <w:tcBorders>
              <w:top w:val="single" w:sz="4" w:space="0" w:color="666666" w:themeColor="text1" w:themeTint="99"/>
            </w:tcBorders>
            <w:hideMark/>
          </w:tcPr>
          <w:p w14:paraId="3FB90C91" w14:textId="0C819829" w:rsidR="00A32066" w:rsidRPr="0070346E" w:rsidRDefault="00A32066" w:rsidP="00A32066">
            <w:r w:rsidRPr="00847282">
              <w:t>0.9</w:t>
            </w:r>
          </w:p>
        </w:tc>
        <w:tc>
          <w:tcPr>
            <w:tcW w:w="0" w:type="auto"/>
            <w:tcBorders>
              <w:top w:val="single" w:sz="4" w:space="0" w:color="666666" w:themeColor="text1" w:themeTint="99"/>
            </w:tcBorders>
            <w:hideMark/>
          </w:tcPr>
          <w:p w14:paraId="3923F71C" w14:textId="2443BAF4" w:rsidR="00A32066" w:rsidRPr="0070346E" w:rsidRDefault="00A32066" w:rsidP="00A32066">
            <w:r w:rsidRPr="00847282">
              <w:t>3.6</w:t>
            </w:r>
          </w:p>
        </w:tc>
        <w:tc>
          <w:tcPr>
            <w:tcW w:w="0" w:type="auto"/>
            <w:tcBorders>
              <w:top w:val="single" w:sz="4" w:space="0" w:color="666666" w:themeColor="text1" w:themeTint="99"/>
            </w:tcBorders>
            <w:hideMark/>
          </w:tcPr>
          <w:p w14:paraId="33CBBE3F" w14:textId="0D4B9A87" w:rsidR="00A32066" w:rsidRPr="0070346E" w:rsidRDefault="00A32066" w:rsidP="00A32066">
            <w:r w:rsidRPr="00847282">
              <w:t>-3.7</w:t>
            </w:r>
          </w:p>
        </w:tc>
        <w:tc>
          <w:tcPr>
            <w:tcW w:w="0" w:type="auto"/>
            <w:tcBorders>
              <w:top w:val="single" w:sz="4" w:space="0" w:color="666666" w:themeColor="text1" w:themeTint="99"/>
            </w:tcBorders>
            <w:hideMark/>
          </w:tcPr>
          <w:p w14:paraId="2A4E3EE5" w14:textId="026A699E" w:rsidR="00A32066" w:rsidRPr="0070346E" w:rsidRDefault="00A32066" w:rsidP="00A32066">
            <w:r w:rsidRPr="00847282">
              <w:t>-0.4</w:t>
            </w:r>
          </w:p>
        </w:tc>
        <w:tc>
          <w:tcPr>
            <w:tcW w:w="0" w:type="auto"/>
            <w:tcBorders>
              <w:top w:val="single" w:sz="4" w:space="0" w:color="666666" w:themeColor="text1" w:themeTint="99"/>
            </w:tcBorders>
            <w:hideMark/>
          </w:tcPr>
          <w:p w14:paraId="16CFA006" w14:textId="2C09B948" w:rsidR="00A32066" w:rsidRPr="0070346E" w:rsidRDefault="00A32066" w:rsidP="00A32066">
            <w:r w:rsidRPr="00847282">
              <w:t>0</w:t>
            </w:r>
          </w:p>
        </w:tc>
        <w:tc>
          <w:tcPr>
            <w:tcW w:w="0" w:type="auto"/>
            <w:tcBorders>
              <w:top w:val="single" w:sz="4" w:space="0" w:color="666666" w:themeColor="text1" w:themeTint="99"/>
            </w:tcBorders>
            <w:hideMark/>
          </w:tcPr>
          <w:p w14:paraId="363ACEF0" w14:textId="39782B3F" w:rsidR="00A32066" w:rsidRPr="0070346E" w:rsidRDefault="00A32066" w:rsidP="00A32066">
            <w:r w:rsidRPr="00847282">
              <w:t>0</w:t>
            </w:r>
          </w:p>
        </w:tc>
        <w:tc>
          <w:tcPr>
            <w:tcW w:w="0" w:type="auto"/>
            <w:tcBorders>
              <w:top w:val="single" w:sz="4" w:space="0" w:color="666666" w:themeColor="text1" w:themeTint="99"/>
            </w:tcBorders>
            <w:hideMark/>
          </w:tcPr>
          <w:p w14:paraId="09218EFA" w14:textId="2B56AD44" w:rsidR="00A32066" w:rsidRPr="0070346E" w:rsidRDefault="00A32066" w:rsidP="00A32066">
            <w:r w:rsidRPr="00847282">
              <w:t>0.1</w:t>
            </w:r>
          </w:p>
        </w:tc>
        <w:tc>
          <w:tcPr>
            <w:tcW w:w="0" w:type="auto"/>
            <w:tcBorders>
              <w:top w:val="single" w:sz="4" w:space="0" w:color="666666" w:themeColor="text1" w:themeTint="99"/>
            </w:tcBorders>
            <w:hideMark/>
          </w:tcPr>
          <w:p w14:paraId="6776D2BA" w14:textId="70A45823" w:rsidR="00A32066" w:rsidRPr="0070346E" w:rsidRDefault="00A32066" w:rsidP="00A32066">
            <w:r w:rsidRPr="00847282">
              <w:t>0.4</w:t>
            </w:r>
          </w:p>
        </w:tc>
        <w:tc>
          <w:tcPr>
            <w:tcW w:w="0" w:type="auto"/>
            <w:tcBorders>
              <w:top w:val="single" w:sz="4" w:space="0" w:color="666666" w:themeColor="text1" w:themeTint="99"/>
            </w:tcBorders>
            <w:hideMark/>
          </w:tcPr>
          <w:p w14:paraId="547F1577" w14:textId="13DD68EE" w:rsidR="00A32066" w:rsidRPr="0070346E" w:rsidRDefault="00A32066" w:rsidP="00A32066">
            <w:r w:rsidRPr="00847282">
              <w:t>0.9</w:t>
            </w:r>
          </w:p>
        </w:tc>
        <w:tc>
          <w:tcPr>
            <w:tcW w:w="0" w:type="auto"/>
            <w:tcBorders>
              <w:top w:val="single" w:sz="4" w:space="0" w:color="666666" w:themeColor="text1" w:themeTint="99"/>
            </w:tcBorders>
            <w:hideMark/>
          </w:tcPr>
          <w:p w14:paraId="2A6765A7" w14:textId="5411CD1D" w:rsidR="00A32066" w:rsidRPr="0070346E" w:rsidRDefault="00A32066" w:rsidP="00A32066">
            <w:r w:rsidRPr="00847282">
              <w:t>1.8</w:t>
            </w:r>
          </w:p>
        </w:tc>
        <w:tc>
          <w:tcPr>
            <w:tcW w:w="0" w:type="auto"/>
            <w:tcBorders>
              <w:top w:val="single" w:sz="4" w:space="0" w:color="666666" w:themeColor="text1" w:themeTint="99"/>
            </w:tcBorders>
            <w:hideMark/>
          </w:tcPr>
          <w:p w14:paraId="5BB36EF7" w14:textId="1610DF73" w:rsidR="00A32066" w:rsidRPr="0070346E" w:rsidRDefault="00A32066" w:rsidP="00A32066">
            <w:r w:rsidRPr="00847282">
              <w:t>2.7</w:t>
            </w:r>
          </w:p>
        </w:tc>
        <w:tc>
          <w:tcPr>
            <w:tcW w:w="0" w:type="auto"/>
            <w:tcBorders>
              <w:top w:val="single" w:sz="4" w:space="0" w:color="666666" w:themeColor="text1" w:themeTint="99"/>
            </w:tcBorders>
            <w:hideMark/>
          </w:tcPr>
          <w:p w14:paraId="0DB4D585" w14:textId="0E94C1D3" w:rsidR="00A32066" w:rsidRPr="0070346E" w:rsidRDefault="00A32066" w:rsidP="00A32066">
            <w:r w:rsidRPr="00847282">
              <w:t>4.8</w:t>
            </w:r>
          </w:p>
        </w:tc>
        <w:tc>
          <w:tcPr>
            <w:tcW w:w="0" w:type="auto"/>
            <w:tcBorders>
              <w:top w:val="single" w:sz="4" w:space="0" w:color="666666" w:themeColor="text1" w:themeTint="99"/>
            </w:tcBorders>
            <w:hideMark/>
          </w:tcPr>
          <w:p w14:paraId="6D701659" w14:textId="5313117C" w:rsidR="00A32066" w:rsidRPr="0070346E" w:rsidRDefault="00A32066" w:rsidP="00A32066">
            <w:r w:rsidRPr="00847282">
              <w:t>7.7</w:t>
            </w:r>
          </w:p>
        </w:tc>
        <w:tc>
          <w:tcPr>
            <w:tcW w:w="0" w:type="auto"/>
            <w:tcBorders>
              <w:top w:val="single" w:sz="4" w:space="0" w:color="666666" w:themeColor="text1" w:themeTint="99"/>
            </w:tcBorders>
            <w:hideMark/>
          </w:tcPr>
          <w:p w14:paraId="001635AB" w14:textId="20727719" w:rsidR="00A32066" w:rsidRPr="0070346E" w:rsidRDefault="00A32066" w:rsidP="00A32066">
            <w:r w:rsidRPr="00847282">
              <w:t>395.0</w:t>
            </w:r>
          </w:p>
        </w:tc>
        <w:tc>
          <w:tcPr>
            <w:tcW w:w="0" w:type="auto"/>
            <w:tcBorders>
              <w:top w:val="single" w:sz="4" w:space="0" w:color="666666" w:themeColor="text1" w:themeTint="99"/>
            </w:tcBorders>
            <w:hideMark/>
          </w:tcPr>
          <w:p w14:paraId="6F1592CC" w14:textId="2A0C2738" w:rsidR="00A32066" w:rsidRPr="0070346E" w:rsidRDefault="00A32066" w:rsidP="00A32066">
            <w:r w:rsidRPr="00847282">
              <w:t>150012020</w:t>
            </w:r>
          </w:p>
        </w:tc>
      </w:tr>
      <w:tr w:rsidR="00A32066" w:rsidRPr="0070346E" w14:paraId="446C3B32" w14:textId="77777777" w:rsidTr="0070346E">
        <w:tc>
          <w:tcPr>
            <w:tcW w:w="0" w:type="auto"/>
            <w:hideMark/>
          </w:tcPr>
          <w:p w14:paraId="01084E6B" w14:textId="2E1004DA" w:rsidR="00A32066" w:rsidRPr="0070346E" w:rsidRDefault="00A32066" w:rsidP="00A32066">
            <w:r w:rsidRPr="00847282">
              <w:t>DA24</w:t>
            </w:r>
          </w:p>
        </w:tc>
        <w:tc>
          <w:tcPr>
            <w:tcW w:w="0" w:type="auto"/>
            <w:hideMark/>
          </w:tcPr>
          <w:p w14:paraId="36B50DED" w14:textId="335E7CA7" w:rsidR="00A32066" w:rsidRPr="0070346E" w:rsidRDefault="00A32066" w:rsidP="00A32066">
            <w:r w:rsidRPr="00847282">
              <w:t>winter</w:t>
            </w:r>
          </w:p>
        </w:tc>
        <w:tc>
          <w:tcPr>
            <w:tcW w:w="0" w:type="auto"/>
            <w:hideMark/>
          </w:tcPr>
          <w:p w14:paraId="5AE419A2" w14:textId="30EC93C3" w:rsidR="00A32066" w:rsidRPr="0070346E" w:rsidRDefault="00A32066" w:rsidP="00A32066">
            <w:r w:rsidRPr="00847282">
              <w:t>401</w:t>
            </w:r>
          </w:p>
        </w:tc>
        <w:tc>
          <w:tcPr>
            <w:tcW w:w="0" w:type="auto"/>
            <w:hideMark/>
          </w:tcPr>
          <w:p w14:paraId="7BB84DAA" w14:textId="7773191B" w:rsidR="00A32066" w:rsidRPr="0070346E" w:rsidRDefault="00A32066" w:rsidP="00A32066">
            <w:r w:rsidRPr="00847282">
              <w:t>105,937</w:t>
            </w:r>
          </w:p>
        </w:tc>
        <w:tc>
          <w:tcPr>
            <w:tcW w:w="0" w:type="auto"/>
            <w:hideMark/>
          </w:tcPr>
          <w:p w14:paraId="68886F96" w14:textId="5E146D4A" w:rsidR="00A32066" w:rsidRPr="0070346E" w:rsidRDefault="00A32066" w:rsidP="00A32066">
            <w:r w:rsidRPr="00847282">
              <w:t>0.9</w:t>
            </w:r>
          </w:p>
        </w:tc>
        <w:tc>
          <w:tcPr>
            <w:tcW w:w="0" w:type="auto"/>
            <w:hideMark/>
          </w:tcPr>
          <w:p w14:paraId="552DBF02" w14:textId="47815E6B" w:rsidR="00A32066" w:rsidRPr="0070346E" w:rsidRDefault="00A32066" w:rsidP="00A32066">
            <w:r w:rsidRPr="00847282">
              <w:t>3.9</w:t>
            </w:r>
          </w:p>
        </w:tc>
        <w:tc>
          <w:tcPr>
            <w:tcW w:w="0" w:type="auto"/>
            <w:hideMark/>
          </w:tcPr>
          <w:p w14:paraId="570590AF" w14:textId="09F6BF97" w:rsidR="00A32066" w:rsidRPr="0070346E" w:rsidRDefault="00A32066" w:rsidP="00A32066">
            <w:r w:rsidRPr="00847282">
              <w:t>-2.4</w:t>
            </w:r>
          </w:p>
        </w:tc>
        <w:tc>
          <w:tcPr>
            <w:tcW w:w="0" w:type="auto"/>
            <w:hideMark/>
          </w:tcPr>
          <w:p w14:paraId="0B8C6511" w14:textId="358799A5" w:rsidR="00A32066" w:rsidRPr="0070346E" w:rsidRDefault="00A32066" w:rsidP="00A32066">
            <w:r w:rsidRPr="00847282">
              <w:t>-0.4</w:t>
            </w:r>
          </w:p>
        </w:tc>
        <w:tc>
          <w:tcPr>
            <w:tcW w:w="0" w:type="auto"/>
            <w:hideMark/>
          </w:tcPr>
          <w:p w14:paraId="240DE856" w14:textId="54C4C133" w:rsidR="00A32066" w:rsidRPr="0070346E" w:rsidRDefault="00A32066" w:rsidP="00A32066">
            <w:r w:rsidRPr="00847282">
              <w:t>0</w:t>
            </w:r>
          </w:p>
        </w:tc>
        <w:tc>
          <w:tcPr>
            <w:tcW w:w="0" w:type="auto"/>
            <w:hideMark/>
          </w:tcPr>
          <w:p w14:paraId="4496F6B2" w14:textId="4E304030" w:rsidR="00A32066" w:rsidRPr="0070346E" w:rsidRDefault="00A32066" w:rsidP="00A32066">
            <w:r w:rsidRPr="00847282">
              <w:t>0</w:t>
            </w:r>
          </w:p>
        </w:tc>
        <w:tc>
          <w:tcPr>
            <w:tcW w:w="0" w:type="auto"/>
            <w:hideMark/>
          </w:tcPr>
          <w:p w14:paraId="6E82E121" w14:textId="2F3A87EC" w:rsidR="00A32066" w:rsidRPr="0070346E" w:rsidRDefault="00A32066" w:rsidP="00A32066">
            <w:r w:rsidRPr="00847282">
              <w:t>0.1</w:t>
            </w:r>
          </w:p>
        </w:tc>
        <w:tc>
          <w:tcPr>
            <w:tcW w:w="0" w:type="auto"/>
            <w:hideMark/>
          </w:tcPr>
          <w:p w14:paraId="2E03A05B" w14:textId="24F48FA8" w:rsidR="00A32066" w:rsidRPr="0070346E" w:rsidRDefault="00A32066" w:rsidP="00A32066">
            <w:r w:rsidRPr="00847282">
              <w:t>0.4</w:t>
            </w:r>
          </w:p>
        </w:tc>
        <w:tc>
          <w:tcPr>
            <w:tcW w:w="0" w:type="auto"/>
            <w:hideMark/>
          </w:tcPr>
          <w:p w14:paraId="5C2B9627" w14:textId="5DED0387" w:rsidR="00A32066" w:rsidRPr="0070346E" w:rsidRDefault="00A32066" w:rsidP="00A32066">
            <w:r w:rsidRPr="00847282">
              <w:t>1.0</w:t>
            </w:r>
          </w:p>
        </w:tc>
        <w:tc>
          <w:tcPr>
            <w:tcW w:w="0" w:type="auto"/>
            <w:hideMark/>
          </w:tcPr>
          <w:p w14:paraId="0F2C40DF" w14:textId="5B2518F9" w:rsidR="00A32066" w:rsidRPr="0070346E" w:rsidRDefault="00A32066" w:rsidP="00A32066">
            <w:r w:rsidRPr="00847282">
              <w:t>1.8</w:t>
            </w:r>
          </w:p>
        </w:tc>
        <w:tc>
          <w:tcPr>
            <w:tcW w:w="0" w:type="auto"/>
            <w:hideMark/>
          </w:tcPr>
          <w:p w14:paraId="2FC1514D" w14:textId="4B1FFB5D" w:rsidR="00A32066" w:rsidRPr="0070346E" w:rsidRDefault="00A32066" w:rsidP="00A32066">
            <w:r w:rsidRPr="00847282">
              <w:t>2.6</w:t>
            </w:r>
          </w:p>
        </w:tc>
        <w:tc>
          <w:tcPr>
            <w:tcW w:w="0" w:type="auto"/>
            <w:hideMark/>
          </w:tcPr>
          <w:p w14:paraId="2658C9D8" w14:textId="4DB0464F" w:rsidR="00A32066" w:rsidRPr="0070346E" w:rsidRDefault="00A32066" w:rsidP="00A32066">
            <w:r w:rsidRPr="00847282">
              <w:t>5.0</w:t>
            </w:r>
          </w:p>
        </w:tc>
        <w:tc>
          <w:tcPr>
            <w:tcW w:w="0" w:type="auto"/>
            <w:hideMark/>
          </w:tcPr>
          <w:p w14:paraId="37443943" w14:textId="7D2884F4" w:rsidR="00A32066" w:rsidRPr="0070346E" w:rsidRDefault="00A32066" w:rsidP="00A32066">
            <w:r w:rsidRPr="00847282">
              <w:t>8.7</w:t>
            </w:r>
          </w:p>
        </w:tc>
        <w:tc>
          <w:tcPr>
            <w:tcW w:w="0" w:type="auto"/>
            <w:hideMark/>
          </w:tcPr>
          <w:p w14:paraId="4F55985B" w14:textId="001D37E1" w:rsidR="00A32066" w:rsidRPr="0070346E" w:rsidRDefault="00A32066" w:rsidP="00A32066">
            <w:r w:rsidRPr="00847282">
              <w:t>395.0</w:t>
            </w:r>
          </w:p>
        </w:tc>
        <w:tc>
          <w:tcPr>
            <w:tcW w:w="0" w:type="auto"/>
            <w:hideMark/>
          </w:tcPr>
          <w:p w14:paraId="21C2ACCF" w14:textId="0D7C5EE5" w:rsidR="00A32066" w:rsidRPr="0070346E" w:rsidRDefault="00A32066" w:rsidP="00A32066">
            <w:r w:rsidRPr="00847282">
              <w:t>150012020</w:t>
            </w:r>
          </w:p>
        </w:tc>
      </w:tr>
      <w:tr w:rsidR="00A32066" w:rsidRPr="0070346E" w14:paraId="67920679" w14:textId="77777777" w:rsidTr="0070346E">
        <w:tc>
          <w:tcPr>
            <w:tcW w:w="0" w:type="auto"/>
            <w:hideMark/>
          </w:tcPr>
          <w:p w14:paraId="0727B746" w14:textId="7FB6759A" w:rsidR="00A32066" w:rsidRPr="0070346E" w:rsidRDefault="00A32066" w:rsidP="00A32066">
            <w:r w:rsidRPr="00847282">
              <w:t>DA24</w:t>
            </w:r>
          </w:p>
        </w:tc>
        <w:tc>
          <w:tcPr>
            <w:tcW w:w="0" w:type="auto"/>
            <w:hideMark/>
          </w:tcPr>
          <w:p w14:paraId="19AE9E32" w14:textId="14DD462E" w:rsidR="00A32066" w:rsidRPr="0070346E" w:rsidRDefault="00A32066" w:rsidP="00A32066">
            <w:r w:rsidRPr="00847282">
              <w:t>spring</w:t>
            </w:r>
          </w:p>
        </w:tc>
        <w:tc>
          <w:tcPr>
            <w:tcW w:w="0" w:type="auto"/>
            <w:hideMark/>
          </w:tcPr>
          <w:p w14:paraId="5AF7AC9E" w14:textId="52BECA83" w:rsidR="00A32066" w:rsidRPr="0070346E" w:rsidRDefault="00A32066" w:rsidP="00A32066">
            <w:r w:rsidRPr="00847282">
              <w:t>400</w:t>
            </w:r>
          </w:p>
        </w:tc>
        <w:tc>
          <w:tcPr>
            <w:tcW w:w="0" w:type="auto"/>
            <w:hideMark/>
          </w:tcPr>
          <w:p w14:paraId="6AA61C09" w14:textId="5408D4E1" w:rsidR="00A32066" w:rsidRPr="0070346E" w:rsidRDefault="00A32066" w:rsidP="00A32066">
            <w:r w:rsidRPr="00847282">
              <w:t>108,468</w:t>
            </w:r>
          </w:p>
        </w:tc>
        <w:tc>
          <w:tcPr>
            <w:tcW w:w="0" w:type="auto"/>
            <w:hideMark/>
          </w:tcPr>
          <w:p w14:paraId="018E8207" w14:textId="0FC1238B" w:rsidR="00A32066" w:rsidRPr="0070346E" w:rsidRDefault="00A32066" w:rsidP="00A32066">
            <w:r w:rsidRPr="00847282">
              <w:t>0.9</w:t>
            </w:r>
          </w:p>
        </w:tc>
        <w:tc>
          <w:tcPr>
            <w:tcW w:w="0" w:type="auto"/>
            <w:hideMark/>
          </w:tcPr>
          <w:p w14:paraId="531F0A94" w14:textId="062D025F" w:rsidR="00A32066" w:rsidRPr="0070346E" w:rsidRDefault="00A32066" w:rsidP="00A32066">
            <w:r w:rsidRPr="00847282">
              <w:t>3.9</w:t>
            </w:r>
          </w:p>
        </w:tc>
        <w:tc>
          <w:tcPr>
            <w:tcW w:w="0" w:type="auto"/>
            <w:hideMark/>
          </w:tcPr>
          <w:p w14:paraId="68E5A6E8" w14:textId="031E396B" w:rsidR="00A32066" w:rsidRPr="0070346E" w:rsidRDefault="00A32066" w:rsidP="00A32066">
            <w:r w:rsidRPr="00847282">
              <w:t>-3.5</w:t>
            </w:r>
          </w:p>
        </w:tc>
        <w:tc>
          <w:tcPr>
            <w:tcW w:w="0" w:type="auto"/>
            <w:hideMark/>
          </w:tcPr>
          <w:p w14:paraId="4D41011A" w14:textId="00090E9E" w:rsidR="00A32066" w:rsidRPr="0070346E" w:rsidRDefault="00A32066" w:rsidP="00A32066">
            <w:r w:rsidRPr="00847282">
              <w:t>-0.4</w:t>
            </w:r>
          </w:p>
        </w:tc>
        <w:tc>
          <w:tcPr>
            <w:tcW w:w="0" w:type="auto"/>
            <w:hideMark/>
          </w:tcPr>
          <w:p w14:paraId="51D40EB9" w14:textId="05456A7E" w:rsidR="00A32066" w:rsidRPr="0070346E" w:rsidRDefault="00A32066" w:rsidP="00A32066">
            <w:r w:rsidRPr="00847282">
              <w:t>0</w:t>
            </w:r>
          </w:p>
        </w:tc>
        <w:tc>
          <w:tcPr>
            <w:tcW w:w="0" w:type="auto"/>
            <w:hideMark/>
          </w:tcPr>
          <w:p w14:paraId="4F45A599" w14:textId="1F83B782" w:rsidR="00A32066" w:rsidRPr="0070346E" w:rsidRDefault="00A32066" w:rsidP="00A32066">
            <w:r w:rsidRPr="00847282">
              <w:t>0</w:t>
            </w:r>
          </w:p>
        </w:tc>
        <w:tc>
          <w:tcPr>
            <w:tcW w:w="0" w:type="auto"/>
            <w:hideMark/>
          </w:tcPr>
          <w:p w14:paraId="3DEEC8FB" w14:textId="4614C351" w:rsidR="00A32066" w:rsidRPr="0070346E" w:rsidRDefault="00A32066" w:rsidP="00A32066">
            <w:r w:rsidRPr="00847282">
              <w:t>0.1</w:t>
            </w:r>
          </w:p>
        </w:tc>
        <w:tc>
          <w:tcPr>
            <w:tcW w:w="0" w:type="auto"/>
            <w:hideMark/>
          </w:tcPr>
          <w:p w14:paraId="0CA11C54" w14:textId="7EF49245" w:rsidR="00A32066" w:rsidRPr="0070346E" w:rsidRDefault="00A32066" w:rsidP="00A32066">
            <w:r w:rsidRPr="00847282">
              <w:t>0.4</w:t>
            </w:r>
          </w:p>
        </w:tc>
        <w:tc>
          <w:tcPr>
            <w:tcW w:w="0" w:type="auto"/>
            <w:hideMark/>
          </w:tcPr>
          <w:p w14:paraId="1BC87F83" w14:textId="148EAE5A" w:rsidR="00A32066" w:rsidRPr="0070346E" w:rsidRDefault="00A32066" w:rsidP="00A32066">
            <w:r w:rsidRPr="00847282">
              <w:t>0.9</w:t>
            </w:r>
          </w:p>
        </w:tc>
        <w:tc>
          <w:tcPr>
            <w:tcW w:w="0" w:type="auto"/>
            <w:hideMark/>
          </w:tcPr>
          <w:p w14:paraId="75D07285" w14:textId="24B1C675" w:rsidR="00A32066" w:rsidRPr="0070346E" w:rsidRDefault="00A32066" w:rsidP="00A32066">
            <w:r w:rsidRPr="00847282">
              <w:t>1.8</w:t>
            </w:r>
          </w:p>
        </w:tc>
        <w:tc>
          <w:tcPr>
            <w:tcW w:w="0" w:type="auto"/>
            <w:hideMark/>
          </w:tcPr>
          <w:p w14:paraId="58C63F6B" w14:textId="3EBA456E" w:rsidR="00A32066" w:rsidRPr="0070346E" w:rsidRDefault="00A32066" w:rsidP="00A32066">
            <w:r w:rsidRPr="00847282">
              <w:t>2.6</w:t>
            </w:r>
          </w:p>
        </w:tc>
        <w:tc>
          <w:tcPr>
            <w:tcW w:w="0" w:type="auto"/>
            <w:hideMark/>
          </w:tcPr>
          <w:p w14:paraId="487BC350" w14:textId="0C529E4D" w:rsidR="00A32066" w:rsidRPr="0070346E" w:rsidRDefault="00A32066" w:rsidP="00A32066">
            <w:r w:rsidRPr="00847282">
              <w:t>4.9</w:t>
            </w:r>
          </w:p>
        </w:tc>
        <w:tc>
          <w:tcPr>
            <w:tcW w:w="0" w:type="auto"/>
            <w:hideMark/>
          </w:tcPr>
          <w:p w14:paraId="4F00ACED" w14:textId="17A3F9CA" w:rsidR="00A32066" w:rsidRPr="0070346E" w:rsidRDefault="00A32066" w:rsidP="00A32066">
            <w:r w:rsidRPr="00847282">
              <w:t>7.8</w:t>
            </w:r>
          </w:p>
        </w:tc>
        <w:tc>
          <w:tcPr>
            <w:tcW w:w="0" w:type="auto"/>
            <w:hideMark/>
          </w:tcPr>
          <w:p w14:paraId="67F6EA45" w14:textId="44469364" w:rsidR="00A32066" w:rsidRPr="0070346E" w:rsidRDefault="00A32066" w:rsidP="00A32066">
            <w:r w:rsidRPr="00847282">
              <w:t>222.3</w:t>
            </w:r>
          </w:p>
        </w:tc>
        <w:tc>
          <w:tcPr>
            <w:tcW w:w="0" w:type="auto"/>
            <w:hideMark/>
          </w:tcPr>
          <w:p w14:paraId="068641AC" w14:textId="779F9AE7" w:rsidR="00A32066" w:rsidRPr="0070346E" w:rsidRDefault="00A32066" w:rsidP="00A32066">
            <w:r w:rsidRPr="00847282">
              <w:t>291439002</w:t>
            </w:r>
          </w:p>
        </w:tc>
      </w:tr>
      <w:tr w:rsidR="00A32066" w:rsidRPr="0070346E" w14:paraId="3171D8F1" w14:textId="77777777" w:rsidTr="0070346E">
        <w:tc>
          <w:tcPr>
            <w:tcW w:w="0" w:type="auto"/>
            <w:hideMark/>
          </w:tcPr>
          <w:p w14:paraId="680F497D" w14:textId="348E9E87" w:rsidR="00A32066" w:rsidRPr="0070346E" w:rsidRDefault="00A32066" w:rsidP="00A32066">
            <w:r w:rsidRPr="00847282">
              <w:t>DA24</w:t>
            </w:r>
          </w:p>
        </w:tc>
        <w:tc>
          <w:tcPr>
            <w:tcW w:w="0" w:type="auto"/>
            <w:hideMark/>
          </w:tcPr>
          <w:p w14:paraId="2D833214" w14:textId="4FD3A163" w:rsidR="00A32066" w:rsidRPr="0070346E" w:rsidRDefault="00A32066" w:rsidP="00A32066">
            <w:r w:rsidRPr="00847282">
              <w:t>summer</w:t>
            </w:r>
          </w:p>
        </w:tc>
        <w:tc>
          <w:tcPr>
            <w:tcW w:w="0" w:type="auto"/>
            <w:hideMark/>
          </w:tcPr>
          <w:p w14:paraId="1D24F1CC" w14:textId="184F22A0" w:rsidR="00A32066" w:rsidRPr="0070346E" w:rsidRDefault="00A32066" w:rsidP="00A32066">
            <w:r w:rsidRPr="00847282">
              <w:t>397</w:t>
            </w:r>
          </w:p>
        </w:tc>
        <w:tc>
          <w:tcPr>
            <w:tcW w:w="0" w:type="auto"/>
            <w:hideMark/>
          </w:tcPr>
          <w:p w14:paraId="2D5CF25B" w14:textId="4B6E78F3" w:rsidR="00A32066" w:rsidRPr="0070346E" w:rsidRDefault="00A32066" w:rsidP="00A32066">
            <w:r w:rsidRPr="00847282">
              <w:t>107,212</w:t>
            </w:r>
          </w:p>
        </w:tc>
        <w:tc>
          <w:tcPr>
            <w:tcW w:w="0" w:type="auto"/>
            <w:hideMark/>
          </w:tcPr>
          <w:p w14:paraId="61CA5F54" w14:textId="1E4906B7" w:rsidR="00A32066" w:rsidRPr="0070346E" w:rsidRDefault="00A32066" w:rsidP="00A32066">
            <w:r w:rsidRPr="00847282">
              <w:t>0.8</w:t>
            </w:r>
          </w:p>
        </w:tc>
        <w:tc>
          <w:tcPr>
            <w:tcW w:w="0" w:type="auto"/>
            <w:hideMark/>
          </w:tcPr>
          <w:p w14:paraId="2BB8044A" w14:textId="1CEDEA75" w:rsidR="00A32066" w:rsidRPr="0070346E" w:rsidRDefault="00A32066" w:rsidP="00A32066">
            <w:r w:rsidRPr="00847282">
              <w:t>3.0</w:t>
            </w:r>
          </w:p>
        </w:tc>
        <w:tc>
          <w:tcPr>
            <w:tcW w:w="0" w:type="auto"/>
            <w:hideMark/>
          </w:tcPr>
          <w:p w14:paraId="4D895E81" w14:textId="6530CFD6" w:rsidR="00A32066" w:rsidRPr="0070346E" w:rsidRDefault="00A32066" w:rsidP="00A32066">
            <w:r w:rsidRPr="00847282">
              <w:t>-2.9</w:t>
            </w:r>
          </w:p>
        </w:tc>
        <w:tc>
          <w:tcPr>
            <w:tcW w:w="0" w:type="auto"/>
            <w:hideMark/>
          </w:tcPr>
          <w:p w14:paraId="29FB499D" w14:textId="145EF614" w:rsidR="00A32066" w:rsidRPr="0070346E" w:rsidRDefault="00A32066" w:rsidP="00A32066">
            <w:r w:rsidRPr="00847282">
              <w:t>-0.4</w:t>
            </w:r>
          </w:p>
        </w:tc>
        <w:tc>
          <w:tcPr>
            <w:tcW w:w="0" w:type="auto"/>
            <w:hideMark/>
          </w:tcPr>
          <w:p w14:paraId="2843E234" w14:textId="681FDE93" w:rsidR="00A32066" w:rsidRPr="0070346E" w:rsidRDefault="00A32066" w:rsidP="00A32066">
            <w:r w:rsidRPr="00847282">
              <w:t>0</w:t>
            </w:r>
          </w:p>
        </w:tc>
        <w:tc>
          <w:tcPr>
            <w:tcW w:w="0" w:type="auto"/>
            <w:hideMark/>
          </w:tcPr>
          <w:p w14:paraId="4F49BA62" w14:textId="0F49993B" w:rsidR="00A32066" w:rsidRPr="0070346E" w:rsidRDefault="00A32066" w:rsidP="00A32066">
            <w:r w:rsidRPr="00847282">
              <w:t>0</w:t>
            </w:r>
          </w:p>
        </w:tc>
        <w:tc>
          <w:tcPr>
            <w:tcW w:w="0" w:type="auto"/>
            <w:hideMark/>
          </w:tcPr>
          <w:p w14:paraId="5A80251B" w14:textId="247625B6" w:rsidR="00A32066" w:rsidRPr="0070346E" w:rsidRDefault="00A32066" w:rsidP="00A32066">
            <w:r w:rsidRPr="00847282">
              <w:t>0.1</w:t>
            </w:r>
          </w:p>
        </w:tc>
        <w:tc>
          <w:tcPr>
            <w:tcW w:w="0" w:type="auto"/>
            <w:hideMark/>
          </w:tcPr>
          <w:p w14:paraId="011C5F0B" w14:textId="60D4EB4C" w:rsidR="00A32066" w:rsidRPr="0070346E" w:rsidRDefault="00A32066" w:rsidP="00A32066">
            <w:r w:rsidRPr="00847282">
              <w:t>0.4</w:t>
            </w:r>
          </w:p>
        </w:tc>
        <w:tc>
          <w:tcPr>
            <w:tcW w:w="0" w:type="auto"/>
            <w:hideMark/>
          </w:tcPr>
          <w:p w14:paraId="3876E17E" w14:textId="1C465B30" w:rsidR="00A32066" w:rsidRPr="0070346E" w:rsidRDefault="00A32066" w:rsidP="00A32066">
            <w:r w:rsidRPr="00847282">
              <w:t>0.9</w:t>
            </w:r>
          </w:p>
        </w:tc>
        <w:tc>
          <w:tcPr>
            <w:tcW w:w="0" w:type="auto"/>
            <w:hideMark/>
          </w:tcPr>
          <w:p w14:paraId="43B576F7" w14:textId="7393714A" w:rsidR="00A32066" w:rsidRPr="0070346E" w:rsidRDefault="00A32066" w:rsidP="00A32066">
            <w:r w:rsidRPr="00847282">
              <w:t>1.8</w:t>
            </w:r>
          </w:p>
        </w:tc>
        <w:tc>
          <w:tcPr>
            <w:tcW w:w="0" w:type="auto"/>
            <w:hideMark/>
          </w:tcPr>
          <w:p w14:paraId="23A1BF05" w14:textId="6F4B67A6" w:rsidR="00A32066" w:rsidRPr="0070346E" w:rsidRDefault="00A32066" w:rsidP="00A32066">
            <w:r w:rsidRPr="00847282">
              <w:t>2.6</w:t>
            </w:r>
          </w:p>
        </w:tc>
        <w:tc>
          <w:tcPr>
            <w:tcW w:w="0" w:type="auto"/>
            <w:hideMark/>
          </w:tcPr>
          <w:p w14:paraId="0F29DBC4" w14:textId="7C30D9AE" w:rsidR="00A32066" w:rsidRPr="0070346E" w:rsidRDefault="00A32066" w:rsidP="00A32066">
            <w:r w:rsidRPr="00847282">
              <w:t>4.3</w:t>
            </w:r>
          </w:p>
        </w:tc>
        <w:tc>
          <w:tcPr>
            <w:tcW w:w="0" w:type="auto"/>
            <w:hideMark/>
          </w:tcPr>
          <w:p w14:paraId="53E0A37A" w14:textId="3C23798A" w:rsidR="00A32066" w:rsidRPr="0070346E" w:rsidRDefault="00A32066" w:rsidP="00A32066">
            <w:r w:rsidRPr="00847282">
              <w:t>6.6</w:t>
            </w:r>
          </w:p>
        </w:tc>
        <w:tc>
          <w:tcPr>
            <w:tcW w:w="0" w:type="auto"/>
            <w:hideMark/>
          </w:tcPr>
          <w:p w14:paraId="6BEC5EC7" w14:textId="1C015784" w:rsidR="00A32066" w:rsidRPr="0070346E" w:rsidRDefault="00A32066" w:rsidP="00A32066">
            <w:r w:rsidRPr="00847282">
              <w:t>212.3</w:t>
            </w:r>
          </w:p>
        </w:tc>
        <w:tc>
          <w:tcPr>
            <w:tcW w:w="0" w:type="auto"/>
            <w:hideMark/>
          </w:tcPr>
          <w:p w14:paraId="65FCE1DD" w14:textId="2D8AF394" w:rsidR="00A32066" w:rsidRPr="0070346E" w:rsidRDefault="00A32066" w:rsidP="00A32066">
            <w:r w:rsidRPr="00847282">
              <w:t>171193007</w:t>
            </w:r>
          </w:p>
        </w:tc>
      </w:tr>
      <w:tr w:rsidR="00A32066" w:rsidRPr="0070346E" w14:paraId="096686C6" w14:textId="77777777" w:rsidTr="0070346E">
        <w:tc>
          <w:tcPr>
            <w:tcW w:w="0" w:type="auto"/>
            <w:hideMark/>
          </w:tcPr>
          <w:p w14:paraId="779C607A" w14:textId="4E72E176" w:rsidR="00A32066" w:rsidRPr="0070346E" w:rsidRDefault="00A32066" w:rsidP="00A32066">
            <w:r w:rsidRPr="00847282">
              <w:t>DA24</w:t>
            </w:r>
          </w:p>
        </w:tc>
        <w:tc>
          <w:tcPr>
            <w:tcW w:w="0" w:type="auto"/>
            <w:hideMark/>
          </w:tcPr>
          <w:p w14:paraId="452E1ABC" w14:textId="47F51D70" w:rsidR="00A32066" w:rsidRPr="0070346E" w:rsidRDefault="00A32066" w:rsidP="00A32066">
            <w:r w:rsidRPr="00847282">
              <w:t>autumn</w:t>
            </w:r>
          </w:p>
        </w:tc>
        <w:tc>
          <w:tcPr>
            <w:tcW w:w="0" w:type="auto"/>
            <w:hideMark/>
          </w:tcPr>
          <w:p w14:paraId="14C4863A" w14:textId="75549A20" w:rsidR="00A32066" w:rsidRPr="0070346E" w:rsidRDefault="00A32066" w:rsidP="00A32066">
            <w:r w:rsidRPr="00847282">
              <w:t>394</w:t>
            </w:r>
          </w:p>
        </w:tc>
        <w:tc>
          <w:tcPr>
            <w:tcW w:w="0" w:type="auto"/>
            <w:hideMark/>
          </w:tcPr>
          <w:p w14:paraId="525E1013" w14:textId="0C5228E4" w:rsidR="00A32066" w:rsidRPr="0070346E" w:rsidRDefault="00A32066" w:rsidP="00A32066">
            <w:r w:rsidRPr="00847282">
              <w:t>105,117</w:t>
            </w:r>
          </w:p>
        </w:tc>
        <w:tc>
          <w:tcPr>
            <w:tcW w:w="0" w:type="auto"/>
            <w:hideMark/>
          </w:tcPr>
          <w:p w14:paraId="7D9B7ACC" w14:textId="1E025A27" w:rsidR="00A32066" w:rsidRPr="0070346E" w:rsidRDefault="00A32066" w:rsidP="00A32066">
            <w:r w:rsidRPr="00847282">
              <w:t>0.9</w:t>
            </w:r>
          </w:p>
        </w:tc>
        <w:tc>
          <w:tcPr>
            <w:tcW w:w="0" w:type="auto"/>
            <w:hideMark/>
          </w:tcPr>
          <w:p w14:paraId="50C2D267" w14:textId="289A1D65" w:rsidR="00A32066" w:rsidRPr="0070346E" w:rsidRDefault="00A32066" w:rsidP="00A32066">
            <w:r w:rsidRPr="00847282">
              <w:t>3.8</w:t>
            </w:r>
          </w:p>
        </w:tc>
        <w:tc>
          <w:tcPr>
            <w:tcW w:w="0" w:type="auto"/>
            <w:hideMark/>
          </w:tcPr>
          <w:p w14:paraId="5D0EA1A4" w14:textId="620D1E67" w:rsidR="00A32066" w:rsidRPr="0070346E" w:rsidRDefault="00A32066" w:rsidP="00A32066">
            <w:r w:rsidRPr="00847282">
              <w:t>-3.7</w:t>
            </w:r>
          </w:p>
        </w:tc>
        <w:tc>
          <w:tcPr>
            <w:tcW w:w="0" w:type="auto"/>
            <w:hideMark/>
          </w:tcPr>
          <w:p w14:paraId="155C03D2" w14:textId="3726CBCF" w:rsidR="00A32066" w:rsidRPr="0070346E" w:rsidRDefault="00A32066" w:rsidP="00A32066">
            <w:r w:rsidRPr="00847282">
              <w:t>-0.5</w:t>
            </w:r>
          </w:p>
        </w:tc>
        <w:tc>
          <w:tcPr>
            <w:tcW w:w="0" w:type="auto"/>
            <w:hideMark/>
          </w:tcPr>
          <w:p w14:paraId="060B50B5" w14:textId="639D951B" w:rsidR="00A32066" w:rsidRPr="0070346E" w:rsidRDefault="00A32066" w:rsidP="00A32066">
            <w:r w:rsidRPr="00847282">
              <w:t>0</w:t>
            </w:r>
          </w:p>
        </w:tc>
        <w:tc>
          <w:tcPr>
            <w:tcW w:w="0" w:type="auto"/>
            <w:hideMark/>
          </w:tcPr>
          <w:p w14:paraId="7B23D2D1" w14:textId="2BF0753E" w:rsidR="00A32066" w:rsidRPr="0070346E" w:rsidRDefault="00A32066" w:rsidP="00A32066">
            <w:r w:rsidRPr="00847282">
              <w:t>0</w:t>
            </w:r>
          </w:p>
        </w:tc>
        <w:tc>
          <w:tcPr>
            <w:tcW w:w="0" w:type="auto"/>
            <w:hideMark/>
          </w:tcPr>
          <w:p w14:paraId="285B9C6E" w14:textId="0D150DAD" w:rsidR="00A32066" w:rsidRPr="0070346E" w:rsidRDefault="00A32066" w:rsidP="00A32066">
            <w:r w:rsidRPr="00847282">
              <w:t>0.1</w:t>
            </w:r>
          </w:p>
        </w:tc>
        <w:tc>
          <w:tcPr>
            <w:tcW w:w="0" w:type="auto"/>
            <w:hideMark/>
          </w:tcPr>
          <w:p w14:paraId="5D8CEF37" w14:textId="3715B5EB" w:rsidR="00A32066" w:rsidRPr="0070346E" w:rsidRDefault="00A32066" w:rsidP="00A32066">
            <w:r w:rsidRPr="00847282">
              <w:t>0.4</w:t>
            </w:r>
          </w:p>
        </w:tc>
        <w:tc>
          <w:tcPr>
            <w:tcW w:w="0" w:type="auto"/>
            <w:hideMark/>
          </w:tcPr>
          <w:p w14:paraId="02C20739" w14:textId="711BE382" w:rsidR="00A32066" w:rsidRPr="0070346E" w:rsidRDefault="00A32066" w:rsidP="00A32066">
            <w:r w:rsidRPr="00847282">
              <w:t>1.0</w:t>
            </w:r>
          </w:p>
        </w:tc>
        <w:tc>
          <w:tcPr>
            <w:tcW w:w="0" w:type="auto"/>
            <w:hideMark/>
          </w:tcPr>
          <w:p w14:paraId="689BBAF2" w14:textId="09FBBF79" w:rsidR="00A32066" w:rsidRPr="0070346E" w:rsidRDefault="00A32066" w:rsidP="00A32066">
            <w:r w:rsidRPr="00847282">
              <w:t>1.8</w:t>
            </w:r>
          </w:p>
        </w:tc>
        <w:tc>
          <w:tcPr>
            <w:tcW w:w="0" w:type="auto"/>
            <w:hideMark/>
          </w:tcPr>
          <w:p w14:paraId="395FBA52" w14:textId="3A648579" w:rsidR="00A32066" w:rsidRPr="0070346E" w:rsidRDefault="00A32066" w:rsidP="00A32066">
            <w:r w:rsidRPr="00847282">
              <w:t>2.9</w:t>
            </w:r>
          </w:p>
        </w:tc>
        <w:tc>
          <w:tcPr>
            <w:tcW w:w="0" w:type="auto"/>
            <w:hideMark/>
          </w:tcPr>
          <w:p w14:paraId="287BB58E" w14:textId="59A955D2" w:rsidR="00A32066" w:rsidRPr="0070346E" w:rsidRDefault="00A32066" w:rsidP="00A32066">
            <w:r w:rsidRPr="00847282">
              <w:t>4.9</w:t>
            </w:r>
          </w:p>
        </w:tc>
        <w:tc>
          <w:tcPr>
            <w:tcW w:w="0" w:type="auto"/>
            <w:hideMark/>
          </w:tcPr>
          <w:p w14:paraId="2CF0D34A" w14:textId="672B3B32" w:rsidR="00A32066" w:rsidRPr="0070346E" w:rsidRDefault="00A32066" w:rsidP="00A32066">
            <w:r w:rsidRPr="00847282">
              <w:t>7.9</w:t>
            </w:r>
          </w:p>
        </w:tc>
        <w:tc>
          <w:tcPr>
            <w:tcW w:w="0" w:type="auto"/>
            <w:hideMark/>
          </w:tcPr>
          <w:p w14:paraId="2DE69B65" w14:textId="6A3FFDA8" w:rsidR="00A32066" w:rsidRPr="0070346E" w:rsidRDefault="00A32066" w:rsidP="00A32066">
            <w:r w:rsidRPr="00847282">
              <w:t>296.1</w:t>
            </w:r>
          </w:p>
        </w:tc>
        <w:tc>
          <w:tcPr>
            <w:tcW w:w="0" w:type="auto"/>
            <w:hideMark/>
          </w:tcPr>
          <w:p w14:paraId="02E43F8C" w14:textId="0F557CB0" w:rsidR="00A32066" w:rsidRPr="0070346E" w:rsidRDefault="00A32066" w:rsidP="00A32066">
            <w:r w:rsidRPr="00847282">
              <w:t>291439001</w:t>
            </w:r>
          </w:p>
        </w:tc>
      </w:tr>
    </w:tbl>
    <w:p w14:paraId="3D4D1427" w14:textId="77777777" w:rsidR="0070346E" w:rsidRPr="0070346E" w:rsidRDefault="0070346E" w:rsidP="00A32066">
      <w:pPr>
        <w:spacing w:after="120" w:line="240" w:lineRule="auto"/>
      </w:pPr>
      <w:r w:rsidRPr="0070346E">
        <w:t>N.sites = number of sites; N.obs = number of observations; SD = standard deviation; min = minimum; p1, p5, p10, p25, p50, p90, p95, p98, p99 = 1st, 5th, 10th, 25th, 50th, 90th, 95th, 98th, 99th percentiles; max = maximum; max.site = AQS ID number for the monitoring site corresponding to the observation in the max column. winter = December/January/February; spring = March/April/May; summer = June/July/August; autumn = September/October/November.</w:t>
      </w:r>
    </w:p>
    <w:p w14:paraId="4EF2602D" w14:textId="1EC0C8B6" w:rsidR="00A32066" w:rsidRPr="00A32066" w:rsidRDefault="00A32066" w:rsidP="00A32066">
      <w:pPr>
        <w:spacing w:after="120"/>
      </w:pPr>
      <w:r w:rsidRPr="00A32066">
        <w:rPr>
          <w:b/>
          <w:bCs/>
        </w:rPr>
        <w:t>Table 2.</w:t>
      </w:r>
      <w:r w:rsidRPr="00A32066">
        <w:t> Distribution of SO</w:t>
      </w:r>
      <w:r w:rsidRPr="00A32066">
        <w:rPr>
          <w:vertAlign w:val="subscript"/>
        </w:rPr>
        <w:t>2</w:t>
      </w:r>
      <w:r w:rsidRPr="00A32066">
        <w:t> concentrations in ppb by site type for 2019-2021.</w:t>
      </w:r>
      <w:hyperlink r:id="rId25" w:anchor="fn3" w:history="1">
        <w:r w:rsidR="004867EE" w:rsidRPr="004867EE">
          <w:rPr>
            <w:rStyle w:val="Hyperlink"/>
            <w:vertAlign w:val="superscript"/>
          </w:rPr>
          <w:t>3</w:t>
        </w:r>
      </w:hyperlink>
      <w:r w:rsidRPr="00A32066">
        <w:t> </w:t>
      </w:r>
      <w:r w:rsidRPr="00A32066">
        <w:rPr>
          <w:b/>
          <w:bCs/>
        </w:rPr>
        <w:t>Source:</w:t>
      </w:r>
      <w:r w:rsidRPr="00A32066">
        <w:t> </w:t>
      </w:r>
      <w:hyperlink r:id="rId26" w:history="1">
        <w:r w:rsidRPr="00A32066">
          <w:rPr>
            <w:rStyle w:val="Hyperlink"/>
          </w:rPr>
          <w:t>AQS</w:t>
        </w:r>
      </w:hyperlink>
      <w:r w:rsidRPr="00A32066">
        <w:t>.</w:t>
      </w:r>
    </w:p>
    <w:tbl>
      <w:tblPr>
        <w:tblStyle w:val="ListTable1Light"/>
        <w:tblW w:w="14362" w:type="dxa"/>
        <w:tblLook w:val="0620" w:firstRow="1" w:lastRow="0" w:firstColumn="0" w:lastColumn="0" w:noHBand="1" w:noVBand="1"/>
      </w:tblPr>
      <w:tblGrid>
        <w:gridCol w:w="813"/>
        <w:gridCol w:w="1888"/>
        <w:gridCol w:w="844"/>
        <w:gridCol w:w="948"/>
        <w:gridCol w:w="739"/>
        <w:gridCol w:w="612"/>
        <w:gridCol w:w="573"/>
        <w:gridCol w:w="566"/>
        <w:gridCol w:w="450"/>
        <w:gridCol w:w="562"/>
        <w:gridCol w:w="562"/>
        <w:gridCol w:w="562"/>
        <w:gridCol w:w="562"/>
        <w:gridCol w:w="612"/>
        <w:gridCol w:w="612"/>
        <w:gridCol w:w="612"/>
        <w:gridCol w:w="724"/>
        <w:gridCol w:w="891"/>
        <w:gridCol w:w="1230"/>
      </w:tblGrid>
      <w:tr w:rsidR="00A32066" w:rsidRPr="00A32066" w14:paraId="4F22BE81" w14:textId="77777777" w:rsidTr="00A32066">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666666" w:themeColor="text1" w:themeTint="99"/>
            </w:tcBorders>
            <w:hideMark/>
          </w:tcPr>
          <w:p w14:paraId="43608E37" w14:textId="77777777" w:rsidR="00A32066" w:rsidRPr="00A32066" w:rsidRDefault="00A32066" w:rsidP="00A32066">
            <w:r w:rsidRPr="00A32066">
              <w:t>metric</w:t>
            </w:r>
          </w:p>
        </w:tc>
        <w:tc>
          <w:tcPr>
            <w:tcW w:w="0" w:type="auto"/>
            <w:tcBorders>
              <w:top w:val="single" w:sz="4" w:space="0" w:color="666666" w:themeColor="text1" w:themeTint="99"/>
            </w:tcBorders>
            <w:hideMark/>
          </w:tcPr>
          <w:p w14:paraId="6A3CB516" w14:textId="77777777" w:rsidR="00A32066" w:rsidRPr="00A32066" w:rsidRDefault="00A32066" w:rsidP="00A32066">
            <w:r w:rsidRPr="00A32066">
              <w:t>site.type</w:t>
            </w:r>
          </w:p>
        </w:tc>
        <w:tc>
          <w:tcPr>
            <w:tcW w:w="0" w:type="auto"/>
            <w:tcBorders>
              <w:top w:val="single" w:sz="4" w:space="0" w:color="666666" w:themeColor="text1" w:themeTint="99"/>
            </w:tcBorders>
            <w:hideMark/>
          </w:tcPr>
          <w:p w14:paraId="35FBF66B" w14:textId="77777777" w:rsidR="00A32066" w:rsidRPr="00A32066" w:rsidRDefault="00A32066" w:rsidP="00A32066">
            <w:r w:rsidRPr="00A32066">
              <w:t>N.sites</w:t>
            </w:r>
          </w:p>
        </w:tc>
        <w:tc>
          <w:tcPr>
            <w:tcW w:w="0" w:type="auto"/>
            <w:tcBorders>
              <w:top w:val="single" w:sz="4" w:space="0" w:color="666666" w:themeColor="text1" w:themeTint="99"/>
            </w:tcBorders>
            <w:hideMark/>
          </w:tcPr>
          <w:p w14:paraId="1E293027" w14:textId="77777777" w:rsidR="00A32066" w:rsidRPr="00A32066" w:rsidRDefault="00A32066" w:rsidP="00A32066">
            <w:r w:rsidRPr="00A32066">
              <w:t>N.obs</w:t>
            </w:r>
          </w:p>
        </w:tc>
        <w:tc>
          <w:tcPr>
            <w:tcW w:w="0" w:type="auto"/>
            <w:tcBorders>
              <w:top w:val="single" w:sz="4" w:space="0" w:color="666666" w:themeColor="text1" w:themeTint="99"/>
            </w:tcBorders>
            <w:hideMark/>
          </w:tcPr>
          <w:p w14:paraId="2D29145F" w14:textId="77777777" w:rsidR="00A32066" w:rsidRPr="00A32066" w:rsidRDefault="00A32066" w:rsidP="00A32066">
            <w:r w:rsidRPr="00A32066">
              <w:t>mean</w:t>
            </w:r>
          </w:p>
        </w:tc>
        <w:tc>
          <w:tcPr>
            <w:tcW w:w="0" w:type="auto"/>
            <w:tcBorders>
              <w:top w:val="single" w:sz="4" w:space="0" w:color="666666" w:themeColor="text1" w:themeTint="99"/>
            </w:tcBorders>
            <w:hideMark/>
          </w:tcPr>
          <w:p w14:paraId="1BFF4FF0" w14:textId="77777777" w:rsidR="00A32066" w:rsidRPr="00A32066" w:rsidRDefault="00A32066" w:rsidP="00A32066">
            <w:r w:rsidRPr="00A32066">
              <w:t>SD</w:t>
            </w:r>
          </w:p>
        </w:tc>
        <w:tc>
          <w:tcPr>
            <w:tcW w:w="0" w:type="auto"/>
            <w:tcBorders>
              <w:top w:val="single" w:sz="4" w:space="0" w:color="666666" w:themeColor="text1" w:themeTint="99"/>
            </w:tcBorders>
            <w:hideMark/>
          </w:tcPr>
          <w:p w14:paraId="2CAA7258" w14:textId="77777777" w:rsidR="00A32066" w:rsidRPr="00A32066" w:rsidRDefault="00A32066" w:rsidP="00A32066">
            <w:r w:rsidRPr="00A32066">
              <w:t>min</w:t>
            </w:r>
          </w:p>
        </w:tc>
        <w:tc>
          <w:tcPr>
            <w:tcW w:w="0" w:type="auto"/>
            <w:tcBorders>
              <w:top w:val="single" w:sz="4" w:space="0" w:color="666666" w:themeColor="text1" w:themeTint="99"/>
            </w:tcBorders>
            <w:hideMark/>
          </w:tcPr>
          <w:p w14:paraId="21F170BD" w14:textId="77777777" w:rsidR="00A32066" w:rsidRPr="00A32066" w:rsidRDefault="00A32066" w:rsidP="00A32066">
            <w:r w:rsidRPr="00A32066">
              <w:t>p1</w:t>
            </w:r>
          </w:p>
        </w:tc>
        <w:tc>
          <w:tcPr>
            <w:tcW w:w="0" w:type="auto"/>
            <w:tcBorders>
              <w:top w:val="single" w:sz="4" w:space="0" w:color="666666" w:themeColor="text1" w:themeTint="99"/>
            </w:tcBorders>
            <w:hideMark/>
          </w:tcPr>
          <w:p w14:paraId="467EC32C" w14:textId="77777777" w:rsidR="00A32066" w:rsidRPr="00A32066" w:rsidRDefault="00A32066" w:rsidP="00A32066">
            <w:r w:rsidRPr="00A32066">
              <w:t>p5</w:t>
            </w:r>
          </w:p>
        </w:tc>
        <w:tc>
          <w:tcPr>
            <w:tcW w:w="0" w:type="auto"/>
            <w:tcBorders>
              <w:top w:val="single" w:sz="4" w:space="0" w:color="666666" w:themeColor="text1" w:themeTint="99"/>
            </w:tcBorders>
            <w:hideMark/>
          </w:tcPr>
          <w:p w14:paraId="081257E3" w14:textId="77777777" w:rsidR="00A32066" w:rsidRPr="00A32066" w:rsidRDefault="00A32066" w:rsidP="00A32066">
            <w:r w:rsidRPr="00A32066">
              <w:t>p10</w:t>
            </w:r>
          </w:p>
        </w:tc>
        <w:tc>
          <w:tcPr>
            <w:tcW w:w="0" w:type="auto"/>
            <w:tcBorders>
              <w:top w:val="single" w:sz="4" w:space="0" w:color="666666" w:themeColor="text1" w:themeTint="99"/>
            </w:tcBorders>
            <w:hideMark/>
          </w:tcPr>
          <w:p w14:paraId="42C25E54" w14:textId="77777777" w:rsidR="00A32066" w:rsidRPr="00A32066" w:rsidRDefault="00A32066" w:rsidP="00A32066">
            <w:r w:rsidRPr="00A32066">
              <w:t>p25</w:t>
            </w:r>
          </w:p>
        </w:tc>
        <w:tc>
          <w:tcPr>
            <w:tcW w:w="0" w:type="auto"/>
            <w:tcBorders>
              <w:top w:val="single" w:sz="4" w:space="0" w:color="666666" w:themeColor="text1" w:themeTint="99"/>
            </w:tcBorders>
            <w:hideMark/>
          </w:tcPr>
          <w:p w14:paraId="35A9A591" w14:textId="77777777" w:rsidR="00A32066" w:rsidRPr="00A32066" w:rsidRDefault="00A32066" w:rsidP="00A32066">
            <w:r w:rsidRPr="00A32066">
              <w:t>p50</w:t>
            </w:r>
          </w:p>
        </w:tc>
        <w:tc>
          <w:tcPr>
            <w:tcW w:w="0" w:type="auto"/>
            <w:tcBorders>
              <w:top w:val="single" w:sz="4" w:space="0" w:color="666666" w:themeColor="text1" w:themeTint="99"/>
            </w:tcBorders>
            <w:hideMark/>
          </w:tcPr>
          <w:p w14:paraId="4841787A" w14:textId="77777777" w:rsidR="00A32066" w:rsidRPr="00A32066" w:rsidRDefault="00A32066" w:rsidP="00A32066">
            <w:r w:rsidRPr="00A32066">
              <w:t>p75</w:t>
            </w:r>
          </w:p>
        </w:tc>
        <w:tc>
          <w:tcPr>
            <w:tcW w:w="0" w:type="auto"/>
            <w:tcBorders>
              <w:top w:val="single" w:sz="4" w:space="0" w:color="666666" w:themeColor="text1" w:themeTint="99"/>
            </w:tcBorders>
            <w:hideMark/>
          </w:tcPr>
          <w:p w14:paraId="12B7C121" w14:textId="77777777" w:rsidR="00A32066" w:rsidRPr="00A32066" w:rsidRDefault="00A32066" w:rsidP="00A32066">
            <w:r w:rsidRPr="00A32066">
              <w:t>p90</w:t>
            </w:r>
          </w:p>
        </w:tc>
        <w:tc>
          <w:tcPr>
            <w:tcW w:w="0" w:type="auto"/>
            <w:tcBorders>
              <w:top w:val="single" w:sz="4" w:space="0" w:color="666666" w:themeColor="text1" w:themeTint="99"/>
            </w:tcBorders>
            <w:hideMark/>
          </w:tcPr>
          <w:p w14:paraId="2E78DC8A" w14:textId="77777777" w:rsidR="00A32066" w:rsidRPr="00A32066" w:rsidRDefault="00A32066" w:rsidP="00A32066">
            <w:r w:rsidRPr="00A32066">
              <w:t>p95</w:t>
            </w:r>
          </w:p>
        </w:tc>
        <w:tc>
          <w:tcPr>
            <w:tcW w:w="0" w:type="auto"/>
            <w:tcBorders>
              <w:top w:val="single" w:sz="4" w:space="0" w:color="666666" w:themeColor="text1" w:themeTint="99"/>
            </w:tcBorders>
            <w:hideMark/>
          </w:tcPr>
          <w:p w14:paraId="6DB173E5" w14:textId="77777777" w:rsidR="00A32066" w:rsidRPr="00A32066" w:rsidRDefault="00A32066" w:rsidP="00A32066">
            <w:r w:rsidRPr="00A32066">
              <w:t>p98</w:t>
            </w:r>
          </w:p>
        </w:tc>
        <w:tc>
          <w:tcPr>
            <w:tcW w:w="0" w:type="auto"/>
            <w:tcBorders>
              <w:top w:val="single" w:sz="4" w:space="0" w:color="666666" w:themeColor="text1" w:themeTint="99"/>
            </w:tcBorders>
            <w:hideMark/>
          </w:tcPr>
          <w:p w14:paraId="4BB80942" w14:textId="77777777" w:rsidR="00A32066" w:rsidRPr="00A32066" w:rsidRDefault="00A32066" w:rsidP="00A32066">
            <w:r w:rsidRPr="00A32066">
              <w:t>p99</w:t>
            </w:r>
          </w:p>
        </w:tc>
        <w:tc>
          <w:tcPr>
            <w:tcW w:w="0" w:type="auto"/>
            <w:tcBorders>
              <w:top w:val="single" w:sz="4" w:space="0" w:color="666666" w:themeColor="text1" w:themeTint="99"/>
            </w:tcBorders>
            <w:hideMark/>
          </w:tcPr>
          <w:p w14:paraId="6E48068F" w14:textId="77777777" w:rsidR="00A32066" w:rsidRPr="00A32066" w:rsidRDefault="00A32066" w:rsidP="00A32066">
            <w:r w:rsidRPr="00A32066">
              <w:t>max</w:t>
            </w:r>
          </w:p>
        </w:tc>
        <w:tc>
          <w:tcPr>
            <w:tcW w:w="0" w:type="auto"/>
            <w:tcBorders>
              <w:top w:val="single" w:sz="4" w:space="0" w:color="666666" w:themeColor="text1" w:themeTint="99"/>
            </w:tcBorders>
            <w:hideMark/>
          </w:tcPr>
          <w:p w14:paraId="5C309721" w14:textId="77777777" w:rsidR="00A32066" w:rsidRPr="00A32066" w:rsidRDefault="00A32066" w:rsidP="00A32066">
            <w:r w:rsidRPr="00A32066">
              <w:t>max.site</w:t>
            </w:r>
          </w:p>
        </w:tc>
      </w:tr>
      <w:tr w:rsidR="00A32066" w:rsidRPr="00A32066" w14:paraId="5A9C36B8" w14:textId="77777777" w:rsidTr="00A32066">
        <w:tc>
          <w:tcPr>
            <w:tcW w:w="0" w:type="auto"/>
            <w:tcBorders>
              <w:top w:val="single" w:sz="4" w:space="0" w:color="666666" w:themeColor="text1" w:themeTint="99"/>
            </w:tcBorders>
            <w:hideMark/>
          </w:tcPr>
          <w:p w14:paraId="02F33BD3" w14:textId="77777777" w:rsidR="00A32066" w:rsidRPr="00A32066" w:rsidRDefault="00A32066" w:rsidP="00A32066">
            <w:r w:rsidRPr="00A32066">
              <w:t>MDA1</w:t>
            </w:r>
          </w:p>
        </w:tc>
        <w:tc>
          <w:tcPr>
            <w:tcW w:w="0" w:type="auto"/>
            <w:tcBorders>
              <w:top w:val="single" w:sz="4" w:space="0" w:color="666666" w:themeColor="text1" w:themeTint="99"/>
            </w:tcBorders>
            <w:hideMark/>
          </w:tcPr>
          <w:p w14:paraId="484AC2C7" w14:textId="77777777" w:rsidR="00A32066" w:rsidRPr="00A32066" w:rsidRDefault="00A32066" w:rsidP="00A32066">
            <w:r w:rsidRPr="00A32066">
              <w:t>All</w:t>
            </w:r>
          </w:p>
        </w:tc>
        <w:tc>
          <w:tcPr>
            <w:tcW w:w="0" w:type="auto"/>
            <w:tcBorders>
              <w:top w:val="single" w:sz="4" w:space="0" w:color="666666" w:themeColor="text1" w:themeTint="99"/>
            </w:tcBorders>
            <w:hideMark/>
          </w:tcPr>
          <w:p w14:paraId="771F1DD0" w14:textId="77777777" w:rsidR="00A32066" w:rsidRPr="00A32066" w:rsidRDefault="00A32066" w:rsidP="00A32066">
            <w:r w:rsidRPr="00A32066">
              <w:t>402</w:t>
            </w:r>
          </w:p>
        </w:tc>
        <w:tc>
          <w:tcPr>
            <w:tcW w:w="0" w:type="auto"/>
            <w:tcBorders>
              <w:top w:val="single" w:sz="4" w:space="0" w:color="666666" w:themeColor="text1" w:themeTint="99"/>
            </w:tcBorders>
            <w:hideMark/>
          </w:tcPr>
          <w:p w14:paraId="7FC7BD61" w14:textId="77777777" w:rsidR="00A32066" w:rsidRPr="00A32066" w:rsidRDefault="00A32066" w:rsidP="00A32066">
            <w:r w:rsidRPr="00A32066">
              <w:t>429,661</w:t>
            </w:r>
          </w:p>
        </w:tc>
        <w:tc>
          <w:tcPr>
            <w:tcW w:w="0" w:type="auto"/>
            <w:tcBorders>
              <w:top w:val="single" w:sz="4" w:space="0" w:color="666666" w:themeColor="text1" w:themeTint="99"/>
            </w:tcBorders>
            <w:hideMark/>
          </w:tcPr>
          <w:p w14:paraId="2CB92627" w14:textId="77777777" w:rsidR="00A32066" w:rsidRPr="00A32066" w:rsidRDefault="00A32066" w:rsidP="00A32066">
            <w:r w:rsidRPr="00A32066">
              <w:t>3.0</w:t>
            </w:r>
          </w:p>
        </w:tc>
        <w:tc>
          <w:tcPr>
            <w:tcW w:w="0" w:type="auto"/>
            <w:tcBorders>
              <w:top w:val="single" w:sz="4" w:space="0" w:color="666666" w:themeColor="text1" w:themeTint="99"/>
            </w:tcBorders>
            <w:hideMark/>
          </w:tcPr>
          <w:p w14:paraId="55F98002" w14:textId="77777777" w:rsidR="00A32066" w:rsidRPr="00A32066" w:rsidRDefault="00A32066" w:rsidP="00A32066">
            <w:r w:rsidRPr="00A32066">
              <w:t>13.0</w:t>
            </w:r>
          </w:p>
        </w:tc>
        <w:tc>
          <w:tcPr>
            <w:tcW w:w="0" w:type="auto"/>
            <w:tcBorders>
              <w:top w:val="single" w:sz="4" w:space="0" w:color="666666" w:themeColor="text1" w:themeTint="99"/>
            </w:tcBorders>
            <w:hideMark/>
          </w:tcPr>
          <w:p w14:paraId="5FB09E66" w14:textId="77777777" w:rsidR="00A32066" w:rsidRPr="00A32066" w:rsidRDefault="00A32066" w:rsidP="00A32066">
            <w:r w:rsidRPr="00A32066">
              <w:t>-3.7</w:t>
            </w:r>
          </w:p>
        </w:tc>
        <w:tc>
          <w:tcPr>
            <w:tcW w:w="0" w:type="auto"/>
            <w:tcBorders>
              <w:top w:val="single" w:sz="4" w:space="0" w:color="666666" w:themeColor="text1" w:themeTint="99"/>
            </w:tcBorders>
            <w:hideMark/>
          </w:tcPr>
          <w:p w14:paraId="15B98872" w14:textId="77777777" w:rsidR="00A32066" w:rsidRPr="00A32066" w:rsidRDefault="00A32066" w:rsidP="00A32066">
            <w:r w:rsidRPr="00A32066">
              <w:t>-0.1</w:t>
            </w:r>
          </w:p>
        </w:tc>
        <w:tc>
          <w:tcPr>
            <w:tcW w:w="0" w:type="auto"/>
            <w:tcBorders>
              <w:top w:val="single" w:sz="4" w:space="0" w:color="666666" w:themeColor="text1" w:themeTint="99"/>
            </w:tcBorders>
            <w:hideMark/>
          </w:tcPr>
          <w:p w14:paraId="09B44BA5" w14:textId="77777777" w:rsidR="00A32066" w:rsidRPr="00A32066" w:rsidRDefault="00A32066" w:rsidP="00A32066">
            <w:r w:rsidRPr="00A32066">
              <w:t>0</w:t>
            </w:r>
          </w:p>
        </w:tc>
        <w:tc>
          <w:tcPr>
            <w:tcW w:w="0" w:type="auto"/>
            <w:tcBorders>
              <w:top w:val="single" w:sz="4" w:space="0" w:color="666666" w:themeColor="text1" w:themeTint="99"/>
            </w:tcBorders>
            <w:hideMark/>
          </w:tcPr>
          <w:p w14:paraId="64C69E54" w14:textId="77777777" w:rsidR="00A32066" w:rsidRPr="00A32066" w:rsidRDefault="00A32066" w:rsidP="00A32066">
            <w:r w:rsidRPr="00A32066">
              <w:t>0</w:t>
            </w:r>
          </w:p>
        </w:tc>
        <w:tc>
          <w:tcPr>
            <w:tcW w:w="0" w:type="auto"/>
            <w:tcBorders>
              <w:top w:val="single" w:sz="4" w:space="0" w:color="666666" w:themeColor="text1" w:themeTint="99"/>
            </w:tcBorders>
            <w:hideMark/>
          </w:tcPr>
          <w:p w14:paraId="32B4EEDB" w14:textId="77777777" w:rsidR="00A32066" w:rsidRPr="00A32066" w:rsidRDefault="00A32066" w:rsidP="00A32066">
            <w:r w:rsidRPr="00A32066">
              <w:t>0.3</w:t>
            </w:r>
          </w:p>
        </w:tc>
        <w:tc>
          <w:tcPr>
            <w:tcW w:w="0" w:type="auto"/>
            <w:tcBorders>
              <w:top w:val="single" w:sz="4" w:space="0" w:color="666666" w:themeColor="text1" w:themeTint="99"/>
            </w:tcBorders>
            <w:hideMark/>
          </w:tcPr>
          <w:p w14:paraId="623C2870" w14:textId="77777777" w:rsidR="00A32066" w:rsidRPr="00A32066" w:rsidRDefault="00A32066" w:rsidP="00A32066">
            <w:r w:rsidRPr="00A32066">
              <w:t>0.9</w:t>
            </w:r>
          </w:p>
        </w:tc>
        <w:tc>
          <w:tcPr>
            <w:tcW w:w="0" w:type="auto"/>
            <w:tcBorders>
              <w:top w:val="single" w:sz="4" w:space="0" w:color="666666" w:themeColor="text1" w:themeTint="99"/>
            </w:tcBorders>
            <w:hideMark/>
          </w:tcPr>
          <w:p w14:paraId="38E84B92" w14:textId="77777777" w:rsidR="00A32066" w:rsidRPr="00A32066" w:rsidRDefault="00A32066" w:rsidP="00A32066">
            <w:r w:rsidRPr="00A32066">
              <w:t>2.0</w:t>
            </w:r>
          </w:p>
        </w:tc>
        <w:tc>
          <w:tcPr>
            <w:tcW w:w="0" w:type="auto"/>
            <w:tcBorders>
              <w:top w:val="single" w:sz="4" w:space="0" w:color="666666" w:themeColor="text1" w:themeTint="99"/>
            </w:tcBorders>
            <w:hideMark/>
          </w:tcPr>
          <w:p w14:paraId="42A7F5AF" w14:textId="77777777" w:rsidR="00A32066" w:rsidRPr="00A32066" w:rsidRDefault="00A32066" w:rsidP="00A32066">
            <w:r w:rsidRPr="00A32066">
              <w:t>5.0</w:t>
            </w:r>
          </w:p>
        </w:tc>
        <w:tc>
          <w:tcPr>
            <w:tcW w:w="0" w:type="auto"/>
            <w:tcBorders>
              <w:top w:val="single" w:sz="4" w:space="0" w:color="666666" w:themeColor="text1" w:themeTint="99"/>
            </w:tcBorders>
            <w:hideMark/>
          </w:tcPr>
          <w:p w14:paraId="408905A7" w14:textId="77777777" w:rsidR="00A32066" w:rsidRPr="00A32066" w:rsidRDefault="00A32066" w:rsidP="00A32066">
            <w:r w:rsidRPr="00A32066">
              <w:t>11.0</w:t>
            </w:r>
          </w:p>
        </w:tc>
        <w:tc>
          <w:tcPr>
            <w:tcW w:w="0" w:type="auto"/>
            <w:tcBorders>
              <w:top w:val="single" w:sz="4" w:space="0" w:color="666666" w:themeColor="text1" w:themeTint="99"/>
            </w:tcBorders>
            <w:hideMark/>
          </w:tcPr>
          <w:p w14:paraId="63AAB1A8" w14:textId="77777777" w:rsidR="00A32066" w:rsidRPr="00A32066" w:rsidRDefault="00A32066" w:rsidP="00A32066">
            <w:r w:rsidRPr="00A32066">
              <w:t>24.1</w:t>
            </w:r>
          </w:p>
        </w:tc>
        <w:tc>
          <w:tcPr>
            <w:tcW w:w="0" w:type="auto"/>
            <w:tcBorders>
              <w:top w:val="single" w:sz="4" w:space="0" w:color="666666" w:themeColor="text1" w:themeTint="99"/>
            </w:tcBorders>
            <w:hideMark/>
          </w:tcPr>
          <w:p w14:paraId="266E59A4" w14:textId="77777777" w:rsidR="00A32066" w:rsidRPr="00A32066" w:rsidRDefault="00A32066" w:rsidP="00A32066">
            <w:r w:rsidRPr="00A32066">
              <w:t>39.2</w:t>
            </w:r>
          </w:p>
        </w:tc>
        <w:tc>
          <w:tcPr>
            <w:tcW w:w="0" w:type="auto"/>
            <w:tcBorders>
              <w:top w:val="single" w:sz="4" w:space="0" w:color="666666" w:themeColor="text1" w:themeTint="99"/>
            </w:tcBorders>
            <w:hideMark/>
          </w:tcPr>
          <w:p w14:paraId="7271B9B9" w14:textId="77777777" w:rsidR="00A32066" w:rsidRPr="00A32066" w:rsidRDefault="00A32066" w:rsidP="00A32066">
            <w:r w:rsidRPr="00A32066">
              <w:t>2,732.4</w:t>
            </w:r>
          </w:p>
        </w:tc>
        <w:tc>
          <w:tcPr>
            <w:tcW w:w="0" w:type="auto"/>
            <w:tcBorders>
              <w:top w:val="single" w:sz="4" w:space="0" w:color="666666" w:themeColor="text1" w:themeTint="99"/>
            </w:tcBorders>
            <w:hideMark/>
          </w:tcPr>
          <w:p w14:paraId="0FEEE38C" w14:textId="77777777" w:rsidR="00A32066" w:rsidRPr="00A32066" w:rsidRDefault="00A32066" w:rsidP="00A32066">
            <w:r w:rsidRPr="00A32066">
              <w:t>171193007</w:t>
            </w:r>
          </w:p>
        </w:tc>
      </w:tr>
      <w:tr w:rsidR="00A32066" w:rsidRPr="00A32066" w14:paraId="4F7EDA1B" w14:textId="77777777" w:rsidTr="00A32066">
        <w:tc>
          <w:tcPr>
            <w:tcW w:w="0" w:type="auto"/>
            <w:hideMark/>
          </w:tcPr>
          <w:p w14:paraId="35EC07E9" w14:textId="77777777" w:rsidR="00A32066" w:rsidRPr="00A32066" w:rsidRDefault="00A32066" w:rsidP="00A32066">
            <w:r w:rsidRPr="00A32066">
              <w:t>MDA1</w:t>
            </w:r>
          </w:p>
        </w:tc>
        <w:tc>
          <w:tcPr>
            <w:tcW w:w="0" w:type="auto"/>
            <w:hideMark/>
          </w:tcPr>
          <w:p w14:paraId="3AF85208" w14:textId="77777777" w:rsidR="00A32066" w:rsidRPr="00A32066" w:rsidRDefault="00A32066" w:rsidP="00A32066">
            <w:r w:rsidRPr="00A32066">
              <w:t>Source Oriented</w:t>
            </w:r>
          </w:p>
        </w:tc>
        <w:tc>
          <w:tcPr>
            <w:tcW w:w="0" w:type="auto"/>
            <w:hideMark/>
          </w:tcPr>
          <w:p w14:paraId="636FD552" w14:textId="77777777" w:rsidR="00A32066" w:rsidRPr="00A32066" w:rsidRDefault="00A32066" w:rsidP="00A32066">
            <w:r w:rsidRPr="00A32066">
              <w:t>161</w:t>
            </w:r>
          </w:p>
        </w:tc>
        <w:tc>
          <w:tcPr>
            <w:tcW w:w="0" w:type="auto"/>
            <w:hideMark/>
          </w:tcPr>
          <w:p w14:paraId="54579184" w14:textId="77777777" w:rsidR="00A32066" w:rsidRPr="00A32066" w:rsidRDefault="00A32066" w:rsidP="00A32066">
            <w:r w:rsidRPr="00A32066">
              <w:t>172,216</w:t>
            </w:r>
          </w:p>
        </w:tc>
        <w:tc>
          <w:tcPr>
            <w:tcW w:w="0" w:type="auto"/>
            <w:hideMark/>
          </w:tcPr>
          <w:p w14:paraId="3E764FEB" w14:textId="77777777" w:rsidR="00A32066" w:rsidRPr="00A32066" w:rsidRDefault="00A32066" w:rsidP="00A32066">
            <w:r w:rsidRPr="00A32066">
              <w:t>5.1</w:t>
            </w:r>
          </w:p>
        </w:tc>
        <w:tc>
          <w:tcPr>
            <w:tcW w:w="0" w:type="auto"/>
            <w:hideMark/>
          </w:tcPr>
          <w:p w14:paraId="5BE4B17A" w14:textId="77777777" w:rsidR="00A32066" w:rsidRPr="00A32066" w:rsidRDefault="00A32066" w:rsidP="00A32066">
            <w:r w:rsidRPr="00A32066">
              <w:t>17.4</w:t>
            </w:r>
          </w:p>
        </w:tc>
        <w:tc>
          <w:tcPr>
            <w:tcW w:w="0" w:type="auto"/>
            <w:hideMark/>
          </w:tcPr>
          <w:p w14:paraId="6F797D9E" w14:textId="77777777" w:rsidR="00A32066" w:rsidRPr="00A32066" w:rsidRDefault="00A32066" w:rsidP="00A32066">
            <w:r w:rsidRPr="00A32066">
              <w:t>-2.7</w:t>
            </w:r>
          </w:p>
        </w:tc>
        <w:tc>
          <w:tcPr>
            <w:tcW w:w="0" w:type="auto"/>
            <w:hideMark/>
          </w:tcPr>
          <w:p w14:paraId="22D5109C" w14:textId="77777777" w:rsidR="00A32066" w:rsidRPr="00A32066" w:rsidRDefault="00A32066" w:rsidP="00A32066">
            <w:r w:rsidRPr="00A32066">
              <w:t>-0.2</w:t>
            </w:r>
          </w:p>
        </w:tc>
        <w:tc>
          <w:tcPr>
            <w:tcW w:w="0" w:type="auto"/>
            <w:hideMark/>
          </w:tcPr>
          <w:p w14:paraId="62EAEE09" w14:textId="77777777" w:rsidR="00A32066" w:rsidRPr="00A32066" w:rsidRDefault="00A32066" w:rsidP="00A32066">
            <w:r w:rsidRPr="00A32066">
              <w:t>0</w:t>
            </w:r>
          </w:p>
        </w:tc>
        <w:tc>
          <w:tcPr>
            <w:tcW w:w="0" w:type="auto"/>
            <w:hideMark/>
          </w:tcPr>
          <w:p w14:paraId="69BAC667" w14:textId="77777777" w:rsidR="00A32066" w:rsidRPr="00A32066" w:rsidRDefault="00A32066" w:rsidP="00A32066">
            <w:r w:rsidRPr="00A32066">
              <w:t>0</w:t>
            </w:r>
          </w:p>
        </w:tc>
        <w:tc>
          <w:tcPr>
            <w:tcW w:w="0" w:type="auto"/>
            <w:hideMark/>
          </w:tcPr>
          <w:p w14:paraId="3D5A5647" w14:textId="77777777" w:rsidR="00A32066" w:rsidRPr="00A32066" w:rsidRDefault="00A32066" w:rsidP="00A32066">
            <w:r w:rsidRPr="00A32066">
              <w:t>0.4</w:t>
            </w:r>
          </w:p>
        </w:tc>
        <w:tc>
          <w:tcPr>
            <w:tcW w:w="0" w:type="auto"/>
            <w:hideMark/>
          </w:tcPr>
          <w:p w14:paraId="4DACBB1B" w14:textId="77777777" w:rsidR="00A32066" w:rsidRPr="00A32066" w:rsidRDefault="00A32066" w:rsidP="00A32066">
            <w:r w:rsidRPr="00A32066">
              <w:t>1.1</w:t>
            </w:r>
          </w:p>
        </w:tc>
        <w:tc>
          <w:tcPr>
            <w:tcW w:w="0" w:type="auto"/>
            <w:hideMark/>
          </w:tcPr>
          <w:p w14:paraId="7692E86D" w14:textId="77777777" w:rsidR="00A32066" w:rsidRPr="00A32066" w:rsidRDefault="00A32066" w:rsidP="00A32066">
            <w:r w:rsidRPr="00A32066">
              <w:t>3.0</w:t>
            </w:r>
          </w:p>
        </w:tc>
        <w:tc>
          <w:tcPr>
            <w:tcW w:w="0" w:type="auto"/>
            <w:hideMark/>
          </w:tcPr>
          <w:p w14:paraId="7CEB93D5" w14:textId="77777777" w:rsidR="00A32066" w:rsidRPr="00A32066" w:rsidRDefault="00A32066" w:rsidP="00A32066">
            <w:r w:rsidRPr="00A32066">
              <w:t>11.0</w:t>
            </w:r>
          </w:p>
        </w:tc>
        <w:tc>
          <w:tcPr>
            <w:tcW w:w="0" w:type="auto"/>
            <w:hideMark/>
          </w:tcPr>
          <w:p w14:paraId="7493447E" w14:textId="77777777" w:rsidR="00A32066" w:rsidRPr="00A32066" w:rsidRDefault="00A32066" w:rsidP="00A32066">
            <w:r w:rsidRPr="00A32066">
              <w:t>21.9</w:t>
            </w:r>
          </w:p>
        </w:tc>
        <w:tc>
          <w:tcPr>
            <w:tcW w:w="0" w:type="auto"/>
            <w:hideMark/>
          </w:tcPr>
          <w:p w14:paraId="50B78830" w14:textId="77777777" w:rsidR="00A32066" w:rsidRPr="00A32066" w:rsidRDefault="00A32066" w:rsidP="00A32066">
            <w:r w:rsidRPr="00A32066">
              <w:t>42.5</w:t>
            </w:r>
          </w:p>
        </w:tc>
        <w:tc>
          <w:tcPr>
            <w:tcW w:w="0" w:type="auto"/>
            <w:hideMark/>
          </w:tcPr>
          <w:p w14:paraId="2BF0815D" w14:textId="77777777" w:rsidR="00A32066" w:rsidRPr="00A32066" w:rsidRDefault="00A32066" w:rsidP="00A32066">
            <w:r w:rsidRPr="00A32066">
              <w:t>67.4</w:t>
            </w:r>
          </w:p>
        </w:tc>
        <w:tc>
          <w:tcPr>
            <w:tcW w:w="0" w:type="auto"/>
            <w:hideMark/>
          </w:tcPr>
          <w:p w14:paraId="449FA427" w14:textId="77777777" w:rsidR="00A32066" w:rsidRPr="00A32066" w:rsidRDefault="00A32066" w:rsidP="00A32066">
            <w:r w:rsidRPr="00A32066">
              <w:t>881.0</w:t>
            </w:r>
          </w:p>
        </w:tc>
        <w:tc>
          <w:tcPr>
            <w:tcW w:w="0" w:type="auto"/>
            <w:hideMark/>
          </w:tcPr>
          <w:p w14:paraId="3B693E11" w14:textId="77777777" w:rsidR="00A32066" w:rsidRPr="00A32066" w:rsidRDefault="00A32066" w:rsidP="00A32066">
            <w:r w:rsidRPr="00A32066">
              <w:t>271630436</w:t>
            </w:r>
          </w:p>
        </w:tc>
      </w:tr>
      <w:tr w:rsidR="00A32066" w:rsidRPr="00A32066" w14:paraId="60A1C83B" w14:textId="77777777" w:rsidTr="00A32066">
        <w:tc>
          <w:tcPr>
            <w:tcW w:w="0" w:type="auto"/>
            <w:hideMark/>
          </w:tcPr>
          <w:p w14:paraId="50822608" w14:textId="77777777" w:rsidR="00A32066" w:rsidRPr="00A32066" w:rsidRDefault="00A32066" w:rsidP="00A32066">
            <w:r w:rsidRPr="00A32066">
              <w:t>MDA1</w:t>
            </w:r>
          </w:p>
        </w:tc>
        <w:tc>
          <w:tcPr>
            <w:tcW w:w="0" w:type="auto"/>
            <w:hideMark/>
          </w:tcPr>
          <w:p w14:paraId="2BF9F426" w14:textId="77777777" w:rsidR="00A32066" w:rsidRPr="00A32066" w:rsidRDefault="00A32066" w:rsidP="00A32066">
            <w:r w:rsidRPr="00A32066">
              <w:t>Urban Non-Source</w:t>
            </w:r>
          </w:p>
        </w:tc>
        <w:tc>
          <w:tcPr>
            <w:tcW w:w="0" w:type="auto"/>
            <w:hideMark/>
          </w:tcPr>
          <w:p w14:paraId="2F181738" w14:textId="77777777" w:rsidR="00A32066" w:rsidRPr="00A32066" w:rsidRDefault="00A32066" w:rsidP="00A32066">
            <w:r w:rsidRPr="00A32066">
              <w:t>202</w:t>
            </w:r>
          </w:p>
        </w:tc>
        <w:tc>
          <w:tcPr>
            <w:tcW w:w="0" w:type="auto"/>
            <w:hideMark/>
          </w:tcPr>
          <w:p w14:paraId="4A3F88C6" w14:textId="77777777" w:rsidR="00A32066" w:rsidRPr="00A32066" w:rsidRDefault="00A32066" w:rsidP="00A32066">
            <w:r w:rsidRPr="00A32066">
              <w:t>215,820</w:t>
            </w:r>
          </w:p>
        </w:tc>
        <w:tc>
          <w:tcPr>
            <w:tcW w:w="0" w:type="auto"/>
            <w:hideMark/>
          </w:tcPr>
          <w:p w14:paraId="026EEE13" w14:textId="77777777" w:rsidR="00A32066" w:rsidRPr="00A32066" w:rsidRDefault="00A32066" w:rsidP="00A32066">
            <w:r w:rsidRPr="00A32066">
              <w:t>1.6</w:t>
            </w:r>
          </w:p>
        </w:tc>
        <w:tc>
          <w:tcPr>
            <w:tcW w:w="0" w:type="auto"/>
            <w:hideMark/>
          </w:tcPr>
          <w:p w14:paraId="74AFEFB8" w14:textId="77777777" w:rsidR="00A32066" w:rsidRPr="00A32066" w:rsidRDefault="00A32066" w:rsidP="00A32066">
            <w:r w:rsidRPr="00A32066">
              <w:t>7.0</w:t>
            </w:r>
          </w:p>
        </w:tc>
        <w:tc>
          <w:tcPr>
            <w:tcW w:w="0" w:type="auto"/>
            <w:hideMark/>
          </w:tcPr>
          <w:p w14:paraId="1C8C551E" w14:textId="77777777" w:rsidR="00A32066" w:rsidRPr="00A32066" w:rsidRDefault="00A32066" w:rsidP="00A32066">
            <w:r w:rsidRPr="00A32066">
              <w:t>-3.7</w:t>
            </w:r>
          </w:p>
        </w:tc>
        <w:tc>
          <w:tcPr>
            <w:tcW w:w="0" w:type="auto"/>
            <w:hideMark/>
          </w:tcPr>
          <w:p w14:paraId="4EAA2043" w14:textId="77777777" w:rsidR="00A32066" w:rsidRPr="00A32066" w:rsidRDefault="00A32066" w:rsidP="00A32066">
            <w:r w:rsidRPr="00A32066">
              <w:t>-0.1</w:t>
            </w:r>
          </w:p>
        </w:tc>
        <w:tc>
          <w:tcPr>
            <w:tcW w:w="0" w:type="auto"/>
            <w:hideMark/>
          </w:tcPr>
          <w:p w14:paraId="6FA4854D" w14:textId="77777777" w:rsidR="00A32066" w:rsidRPr="00A32066" w:rsidRDefault="00A32066" w:rsidP="00A32066">
            <w:r w:rsidRPr="00A32066">
              <w:t>0</w:t>
            </w:r>
          </w:p>
        </w:tc>
        <w:tc>
          <w:tcPr>
            <w:tcW w:w="0" w:type="auto"/>
            <w:hideMark/>
          </w:tcPr>
          <w:p w14:paraId="159AC872" w14:textId="77777777" w:rsidR="00A32066" w:rsidRPr="00A32066" w:rsidRDefault="00A32066" w:rsidP="00A32066">
            <w:r w:rsidRPr="00A32066">
              <w:t>0</w:t>
            </w:r>
          </w:p>
        </w:tc>
        <w:tc>
          <w:tcPr>
            <w:tcW w:w="0" w:type="auto"/>
            <w:hideMark/>
          </w:tcPr>
          <w:p w14:paraId="6E087F6C" w14:textId="77777777" w:rsidR="00A32066" w:rsidRPr="00A32066" w:rsidRDefault="00A32066" w:rsidP="00A32066">
            <w:r w:rsidRPr="00A32066">
              <w:t>0.3</w:t>
            </w:r>
          </w:p>
        </w:tc>
        <w:tc>
          <w:tcPr>
            <w:tcW w:w="0" w:type="auto"/>
            <w:hideMark/>
          </w:tcPr>
          <w:p w14:paraId="570D5369" w14:textId="77777777" w:rsidR="00A32066" w:rsidRPr="00A32066" w:rsidRDefault="00A32066" w:rsidP="00A32066">
            <w:r w:rsidRPr="00A32066">
              <w:t>0.8</w:t>
            </w:r>
          </w:p>
        </w:tc>
        <w:tc>
          <w:tcPr>
            <w:tcW w:w="0" w:type="auto"/>
            <w:hideMark/>
          </w:tcPr>
          <w:p w14:paraId="3545C2AE" w14:textId="77777777" w:rsidR="00A32066" w:rsidRPr="00A32066" w:rsidRDefault="00A32066" w:rsidP="00A32066">
            <w:r w:rsidRPr="00A32066">
              <w:t>1.6</w:t>
            </w:r>
          </w:p>
        </w:tc>
        <w:tc>
          <w:tcPr>
            <w:tcW w:w="0" w:type="auto"/>
            <w:hideMark/>
          </w:tcPr>
          <w:p w14:paraId="504A5764" w14:textId="77777777" w:rsidR="00A32066" w:rsidRPr="00A32066" w:rsidRDefault="00A32066" w:rsidP="00A32066">
            <w:r w:rsidRPr="00A32066">
              <w:t>3.1</w:t>
            </w:r>
          </w:p>
        </w:tc>
        <w:tc>
          <w:tcPr>
            <w:tcW w:w="0" w:type="auto"/>
            <w:hideMark/>
          </w:tcPr>
          <w:p w14:paraId="4F076A6C" w14:textId="77777777" w:rsidR="00A32066" w:rsidRPr="00A32066" w:rsidRDefault="00A32066" w:rsidP="00A32066">
            <w:r w:rsidRPr="00A32066">
              <w:t>5.3</w:t>
            </w:r>
          </w:p>
        </w:tc>
        <w:tc>
          <w:tcPr>
            <w:tcW w:w="0" w:type="auto"/>
            <w:hideMark/>
          </w:tcPr>
          <w:p w14:paraId="6A8A9BEE" w14:textId="77777777" w:rsidR="00A32066" w:rsidRPr="00A32066" w:rsidRDefault="00A32066" w:rsidP="00A32066">
            <w:r w:rsidRPr="00A32066">
              <w:t>10.0</w:t>
            </w:r>
          </w:p>
        </w:tc>
        <w:tc>
          <w:tcPr>
            <w:tcW w:w="0" w:type="auto"/>
            <w:hideMark/>
          </w:tcPr>
          <w:p w14:paraId="628CEC79" w14:textId="77777777" w:rsidR="00A32066" w:rsidRPr="00A32066" w:rsidRDefault="00A32066" w:rsidP="00A32066">
            <w:r w:rsidRPr="00A32066">
              <w:t>14.8</w:t>
            </w:r>
          </w:p>
        </w:tc>
        <w:tc>
          <w:tcPr>
            <w:tcW w:w="0" w:type="auto"/>
            <w:hideMark/>
          </w:tcPr>
          <w:p w14:paraId="5358D731" w14:textId="77777777" w:rsidR="00A32066" w:rsidRPr="00A32066" w:rsidRDefault="00A32066" w:rsidP="00A32066">
            <w:r w:rsidRPr="00A32066">
              <w:t>2,732.4</w:t>
            </w:r>
          </w:p>
        </w:tc>
        <w:tc>
          <w:tcPr>
            <w:tcW w:w="0" w:type="auto"/>
            <w:hideMark/>
          </w:tcPr>
          <w:p w14:paraId="12444899" w14:textId="77777777" w:rsidR="00A32066" w:rsidRPr="00A32066" w:rsidRDefault="00A32066" w:rsidP="00A32066">
            <w:r w:rsidRPr="00A32066">
              <w:t>171193007</w:t>
            </w:r>
          </w:p>
        </w:tc>
      </w:tr>
      <w:tr w:rsidR="00A32066" w:rsidRPr="00A32066" w14:paraId="564A14A2" w14:textId="77777777" w:rsidTr="00A32066">
        <w:tc>
          <w:tcPr>
            <w:tcW w:w="0" w:type="auto"/>
            <w:hideMark/>
          </w:tcPr>
          <w:p w14:paraId="398B778B" w14:textId="77777777" w:rsidR="00A32066" w:rsidRPr="00A32066" w:rsidRDefault="00A32066" w:rsidP="00A32066">
            <w:r w:rsidRPr="00A32066">
              <w:t>MDA1</w:t>
            </w:r>
          </w:p>
        </w:tc>
        <w:tc>
          <w:tcPr>
            <w:tcW w:w="0" w:type="auto"/>
            <w:hideMark/>
          </w:tcPr>
          <w:p w14:paraId="3675EFDB" w14:textId="77777777" w:rsidR="00A32066" w:rsidRPr="00A32066" w:rsidRDefault="00A32066" w:rsidP="00A32066">
            <w:r w:rsidRPr="00A32066">
              <w:t>Rural Non-Source</w:t>
            </w:r>
          </w:p>
        </w:tc>
        <w:tc>
          <w:tcPr>
            <w:tcW w:w="0" w:type="auto"/>
            <w:hideMark/>
          </w:tcPr>
          <w:p w14:paraId="657F6EA9" w14:textId="77777777" w:rsidR="00A32066" w:rsidRPr="00A32066" w:rsidRDefault="00A32066" w:rsidP="00A32066">
            <w:r w:rsidRPr="00A32066">
              <w:t>33</w:t>
            </w:r>
          </w:p>
        </w:tc>
        <w:tc>
          <w:tcPr>
            <w:tcW w:w="0" w:type="auto"/>
            <w:hideMark/>
          </w:tcPr>
          <w:p w14:paraId="64C53BE2" w14:textId="77777777" w:rsidR="00A32066" w:rsidRPr="00A32066" w:rsidRDefault="00A32066" w:rsidP="00A32066">
            <w:r w:rsidRPr="00A32066">
              <w:t>35,297</w:t>
            </w:r>
          </w:p>
        </w:tc>
        <w:tc>
          <w:tcPr>
            <w:tcW w:w="0" w:type="auto"/>
            <w:hideMark/>
          </w:tcPr>
          <w:p w14:paraId="7D973BEB" w14:textId="77777777" w:rsidR="00A32066" w:rsidRPr="00A32066" w:rsidRDefault="00A32066" w:rsidP="00A32066">
            <w:r w:rsidRPr="00A32066">
              <w:t>0.9</w:t>
            </w:r>
          </w:p>
        </w:tc>
        <w:tc>
          <w:tcPr>
            <w:tcW w:w="0" w:type="auto"/>
            <w:hideMark/>
          </w:tcPr>
          <w:p w14:paraId="2DE29903" w14:textId="77777777" w:rsidR="00A32066" w:rsidRPr="00A32066" w:rsidRDefault="00A32066" w:rsidP="00A32066">
            <w:r w:rsidRPr="00A32066">
              <w:t>1.4</w:t>
            </w:r>
          </w:p>
        </w:tc>
        <w:tc>
          <w:tcPr>
            <w:tcW w:w="0" w:type="auto"/>
            <w:hideMark/>
          </w:tcPr>
          <w:p w14:paraId="6914DEA1" w14:textId="77777777" w:rsidR="00A32066" w:rsidRPr="00A32066" w:rsidRDefault="00A32066" w:rsidP="00A32066">
            <w:r w:rsidRPr="00A32066">
              <w:t>-1.4</w:t>
            </w:r>
          </w:p>
        </w:tc>
        <w:tc>
          <w:tcPr>
            <w:tcW w:w="0" w:type="auto"/>
            <w:hideMark/>
          </w:tcPr>
          <w:p w14:paraId="60ADBED2" w14:textId="77777777" w:rsidR="00A32066" w:rsidRPr="00A32066" w:rsidRDefault="00A32066" w:rsidP="00A32066">
            <w:r w:rsidRPr="00A32066">
              <w:t>0.0</w:t>
            </w:r>
          </w:p>
        </w:tc>
        <w:tc>
          <w:tcPr>
            <w:tcW w:w="0" w:type="auto"/>
            <w:hideMark/>
          </w:tcPr>
          <w:p w14:paraId="047E738E" w14:textId="77777777" w:rsidR="00A32066" w:rsidRPr="00A32066" w:rsidRDefault="00A32066" w:rsidP="00A32066">
            <w:r w:rsidRPr="00A32066">
              <w:t>0</w:t>
            </w:r>
          </w:p>
        </w:tc>
        <w:tc>
          <w:tcPr>
            <w:tcW w:w="0" w:type="auto"/>
            <w:hideMark/>
          </w:tcPr>
          <w:p w14:paraId="0223CC55" w14:textId="77777777" w:rsidR="00A32066" w:rsidRPr="00A32066" w:rsidRDefault="00A32066" w:rsidP="00A32066">
            <w:r w:rsidRPr="00A32066">
              <w:t>0</w:t>
            </w:r>
          </w:p>
        </w:tc>
        <w:tc>
          <w:tcPr>
            <w:tcW w:w="0" w:type="auto"/>
            <w:hideMark/>
          </w:tcPr>
          <w:p w14:paraId="32627FC5" w14:textId="77777777" w:rsidR="00A32066" w:rsidRPr="00A32066" w:rsidRDefault="00A32066" w:rsidP="00A32066">
            <w:r w:rsidRPr="00A32066">
              <w:t>0.2</w:t>
            </w:r>
          </w:p>
        </w:tc>
        <w:tc>
          <w:tcPr>
            <w:tcW w:w="0" w:type="auto"/>
            <w:hideMark/>
          </w:tcPr>
          <w:p w14:paraId="07CC6677" w14:textId="77777777" w:rsidR="00A32066" w:rsidRPr="00A32066" w:rsidRDefault="00A32066" w:rsidP="00A32066">
            <w:r w:rsidRPr="00A32066">
              <w:t>0.4</w:t>
            </w:r>
          </w:p>
        </w:tc>
        <w:tc>
          <w:tcPr>
            <w:tcW w:w="0" w:type="auto"/>
            <w:hideMark/>
          </w:tcPr>
          <w:p w14:paraId="478388B2" w14:textId="77777777" w:rsidR="00A32066" w:rsidRPr="00A32066" w:rsidRDefault="00A32066" w:rsidP="00A32066">
            <w:r w:rsidRPr="00A32066">
              <w:t>1.0</w:t>
            </w:r>
          </w:p>
        </w:tc>
        <w:tc>
          <w:tcPr>
            <w:tcW w:w="0" w:type="auto"/>
            <w:hideMark/>
          </w:tcPr>
          <w:p w14:paraId="1C1FE79D" w14:textId="77777777" w:rsidR="00A32066" w:rsidRPr="00A32066" w:rsidRDefault="00A32066" w:rsidP="00A32066">
            <w:r w:rsidRPr="00A32066">
              <w:t>2.1</w:t>
            </w:r>
          </w:p>
        </w:tc>
        <w:tc>
          <w:tcPr>
            <w:tcW w:w="0" w:type="auto"/>
            <w:hideMark/>
          </w:tcPr>
          <w:p w14:paraId="0F052870" w14:textId="77777777" w:rsidR="00A32066" w:rsidRPr="00A32066" w:rsidRDefault="00A32066" w:rsidP="00A32066">
            <w:r w:rsidRPr="00A32066">
              <w:t>2.9</w:t>
            </w:r>
          </w:p>
        </w:tc>
        <w:tc>
          <w:tcPr>
            <w:tcW w:w="0" w:type="auto"/>
            <w:hideMark/>
          </w:tcPr>
          <w:p w14:paraId="53ECFF38" w14:textId="77777777" w:rsidR="00A32066" w:rsidRPr="00A32066" w:rsidRDefault="00A32066" w:rsidP="00A32066">
            <w:r w:rsidRPr="00A32066">
              <w:t>4.0</w:t>
            </w:r>
          </w:p>
        </w:tc>
        <w:tc>
          <w:tcPr>
            <w:tcW w:w="0" w:type="auto"/>
            <w:hideMark/>
          </w:tcPr>
          <w:p w14:paraId="4607D977" w14:textId="77777777" w:rsidR="00A32066" w:rsidRPr="00A32066" w:rsidRDefault="00A32066" w:rsidP="00A32066">
            <w:r w:rsidRPr="00A32066">
              <w:t>5.9</w:t>
            </w:r>
          </w:p>
        </w:tc>
        <w:tc>
          <w:tcPr>
            <w:tcW w:w="0" w:type="auto"/>
            <w:hideMark/>
          </w:tcPr>
          <w:p w14:paraId="362E8711" w14:textId="77777777" w:rsidR="00A32066" w:rsidRPr="00A32066" w:rsidRDefault="00A32066" w:rsidP="00A32066">
            <w:r w:rsidRPr="00A32066">
              <w:t>34.9</w:t>
            </w:r>
          </w:p>
        </w:tc>
        <w:tc>
          <w:tcPr>
            <w:tcW w:w="0" w:type="auto"/>
            <w:hideMark/>
          </w:tcPr>
          <w:p w14:paraId="3200730A" w14:textId="77777777" w:rsidR="00A32066" w:rsidRPr="00A32066" w:rsidRDefault="00A32066" w:rsidP="00A32066">
            <w:r w:rsidRPr="00A32066">
              <w:t>380130004</w:t>
            </w:r>
          </w:p>
        </w:tc>
      </w:tr>
      <w:tr w:rsidR="00A32066" w:rsidRPr="00A32066" w14:paraId="435A2C75" w14:textId="77777777" w:rsidTr="00A32066">
        <w:tc>
          <w:tcPr>
            <w:tcW w:w="0" w:type="auto"/>
            <w:tcBorders>
              <w:bottom w:val="single" w:sz="4" w:space="0" w:color="666666" w:themeColor="text1" w:themeTint="99"/>
            </w:tcBorders>
            <w:hideMark/>
          </w:tcPr>
          <w:p w14:paraId="7306680F" w14:textId="77777777" w:rsidR="00A32066" w:rsidRPr="00A32066" w:rsidRDefault="00A32066" w:rsidP="00A32066">
            <w:r w:rsidRPr="00A32066">
              <w:t>MDA1</w:t>
            </w:r>
          </w:p>
        </w:tc>
        <w:tc>
          <w:tcPr>
            <w:tcW w:w="0" w:type="auto"/>
            <w:tcBorders>
              <w:bottom w:val="single" w:sz="4" w:space="0" w:color="666666" w:themeColor="text1" w:themeTint="99"/>
            </w:tcBorders>
            <w:hideMark/>
          </w:tcPr>
          <w:p w14:paraId="57D30627" w14:textId="77777777" w:rsidR="00A32066" w:rsidRPr="00A32066" w:rsidRDefault="00A32066" w:rsidP="00A32066">
            <w:r w:rsidRPr="00A32066">
              <w:t>Hawaii Volcanic</w:t>
            </w:r>
          </w:p>
        </w:tc>
        <w:tc>
          <w:tcPr>
            <w:tcW w:w="0" w:type="auto"/>
            <w:tcBorders>
              <w:bottom w:val="single" w:sz="4" w:space="0" w:color="666666" w:themeColor="text1" w:themeTint="99"/>
            </w:tcBorders>
            <w:hideMark/>
          </w:tcPr>
          <w:p w14:paraId="559FE600" w14:textId="77777777" w:rsidR="00A32066" w:rsidRPr="00A32066" w:rsidRDefault="00A32066" w:rsidP="00A32066">
            <w:r w:rsidRPr="00A32066">
              <w:t>6</w:t>
            </w:r>
          </w:p>
        </w:tc>
        <w:tc>
          <w:tcPr>
            <w:tcW w:w="0" w:type="auto"/>
            <w:tcBorders>
              <w:bottom w:val="single" w:sz="4" w:space="0" w:color="666666" w:themeColor="text1" w:themeTint="99"/>
            </w:tcBorders>
            <w:hideMark/>
          </w:tcPr>
          <w:p w14:paraId="7247740D" w14:textId="77777777" w:rsidR="00A32066" w:rsidRPr="00A32066" w:rsidRDefault="00A32066" w:rsidP="00A32066">
            <w:r w:rsidRPr="00A32066">
              <w:t>6,328</w:t>
            </w:r>
          </w:p>
        </w:tc>
        <w:tc>
          <w:tcPr>
            <w:tcW w:w="0" w:type="auto"/>
            <w:tcBorders>
              <w:bottom w:val="single" w:sz="4" w:space="0" w:color="666666" w:themeColor="text1" w:themeTint="99"/>
            </w:tcBorders>
            <w:hideMark/>
          </w:tcPr>
          <w:p w14:paraId="3A3BFFB3" w14:textId="77777777" w:rsidR="00A32066" w:rsidRPr="00A32066" w:rsidRDefault="00A32066" w:rsidP="00A32066">
            <w:r w:rsidRPr="00A32066">
              <w:t>6.4</w:t>
            </w:r>
          </w:p>
        </w:tc>
        <w:tc>
          <w:tcPr>
            <w:tcW w:w="0" w:type="auto"/>
            <w:tcBorders>
              <w:bottom w:val="single" w:sz="4" w:space="0" w:color="666666" w:themeColor="text1" w:themeTint="99"/>
            </w:tcBorders>
            <w:hideMark/>
          </w:tcPr>
          <w:p w14:paraId="2ACD3BF0" w14:textId="77777777" w:rsidR="00A32066" w:rsidRPr="00A32066" w:rsidRDefault="00A32066" w:rsidP="00A32066">
            <w:r w:rsidRPr="00A32066">
              <w:t>36.6</w:t>
            </w:r>
          </w:p>
        </w:tc>
        <w:tc>
          <w:tcPr>
            <w:tcW w:w="0" w:type="auto"/>
            <w:tcBorders>
              <w:bottom w:val="single" w:sz="4" w:space="0" w:color="666666" w:themeColor="text1" w:themeTint="99"/>
            </w:tcBorders>
            <w:hideMark/>
          </w:tcPr>
          <w:p w14:paraId="1E812BB9" w14:textId="77777777" w:rsidR="00A32066" w:rsidRPr="00A32066" w:rsidRDefault="00A32066" w:rsidP="00A32066">
            <w:r w:rsidRPr="00A32066">
              <w:t>-2.0</w:t>
            </w:r>
          </w:p>
        </w:tc>
        <w:tc>
          <w:tcPr>
            <w:tcW w:w="0" w:type="auto"/>
            <w:tcBorders>
              <w:bottom w:val="single" w:sz="4" w:space="0" w:color="666666" w:themeColor="text1" w:themeTint="99"/>
            </w:tcBorders>
            <w:hideMark/>
          </w:tcPr>
          <w:p w14:paraId="5C772143" w14:textId="77777777" w:rsidR="00A32066" w:rsidRPr="00A32066" w:rsidRDefault="00A32066" w:rsidP="00A32066">
            <w:r w:rsidRPr="00A32066">
              <w:t>0.0</w:t>
            </w:r>
          </w:p>
        </w:tc>
        <w:tc>
          <w:tcPr>
            <w:tcW w:w="0" w:type="auto"/>
            <w:tcBorders>
              <w:bottom w:val="single" w:sz="4" w:space="0" w:color="666666" w:themeColor="text1" w:themeTint="99"/>
            </w:tcBorders>
            <w:hideMark/>
          </w:tcPr>
          <w:p w14:paraId="6143E500" w14:textId="77777777" w:rsidR="00A32066" w:rsidRPr="00A32066" w:rsidRDefault="00A32066" w:rsidP="00A32066">
            <w:r w:rsidRPr="00A32066">
              <w:t>0</w:t>
            </w:r>
          </w:p>
        </w:tc>
        <w:tc>
          <w:tcPr>
            <w:tcW w:w="0" w:type="auto"/>
            <w:tcBorders>
              <w:bottom w:val="single" w:sz="4" w:space="0" w:color="666666" w:themeColor="text1" w:themeTint="99"/>
            </w:tcBorders>
            <w:hideMark/>
          </w:tcPr>
          <w:p w14:paraId="04B50CCB" w14:textId="77777777" w:rsidR="00A32066" w:rsidRPr="00A32066" w:rsidRDefault="00A32066" w:rsidP="00A32066">
            <w:r w:rsidRPr="00A32066">
              <w:t>0</w:t>
            </w:r>
          </w:p>
        </w:tc>
        <w:tc>
          <w:tcPr>
            <w:tcW w:w="0" w:type="auto"/>
            <w:tcBorders>
              <w:bottom w:val="single" w:sz="4" w:space="0" w:color="666666" w:themeColor="text1" w:themeTint="99"/>
            </w:tcBorders>
            <w:hideMark/>
          </w:tcPr>
          <w:p w14:paraId="30B8686B" w14:textId="77777777" w:rsidR="00A32066" w:rsidRPr="00A32066" w:rsidRDefault="00A32066" w:rsidP="00A32066">
            <w:r w:rsidRPr="00A32066">
              <w:t>0.9</w:t>
            </w:r>
          </w:p>
        </w:tc>
        <w:tc>
          <w:tcPr>
            <w:tcW w:w="0" w:type="auto"/>
            <w:tcBorders>
              <w:bottom w:val="single" w:sz="4" w:space="0" w:color="666666" w:themeColor="text1" w:themeTint="99"/>
            </w:tcBorders>
            <w:hideMark/>
          </w:tcPr>
          <w:p w14:paraId="2D8A8BD7" w14:textId="77777777" w:rsidR="00A32066" w:rsidRPr="00A32066" w:rsidRDefault="00A32066" w:rsidP="00A32066">
            <w:r w:rsidRPr="00A32066">
              <w:t>1.8</w:t>
            </w:r>
          </w:p>
        </w:tc>
        <w:tc>
          <w:tcPr>
            <w:tcW w:w="0" w:type="auto"/>
            <w:tcBorders>
              <w:bottom w:val="single" w:sz="4" w:space="0" w:color="666666" w:themeColor="text1" w:themeTint="99"/>
            </w:tcBorders>
            <w:hideMark/>
          </w:tcPr>
          <w:p w14:paraId="37238F12" w14:textId="77777777" w:rsidR="00A32066" w:rsidRPr="00A32066" w:rsidRDefault="00A32066" w:rsidP="00A32066">
            <w:r w:rsidRPr="00A32066">
              <w:t>3.5</w:t>
            </w:r>
          </w:p>
        </w:tc>
        <w:tc>
          <w:tcPr>
            <w:tcW w:w="0" w:type="auto"/>
            <w:tcBorders>
              <w:bottom w:val="single" w:sz="4" w:space="0" w:color="666666" w:themeColor="text1" w:themeTint="99"/>
            </w:tcBorders>
            <w:hideMark/>
          </w:tcPr>
          <w:p w14:paraId="6A3488D1" w14:textId="77777777" w:rsidR="00A32066" w:rsidRPr="00A32066" w:rsidRDefault="00A32066" w:rsidP="00A32066">
            <w:r w:rsidRPr="00A32066">
              <w:t>6.3</w:t>
            </w:r>
          </w:p>
        </w:tc>
        <w:tc>
          <w:tcPr>
            <w:tcW w:w="0" w:type="auto"/>
            <w:tcBorders>
              <w:bottom w:val="single" w:sz="4" w:space="0" w:color="666666" w:themeColor="text1" w:themeTint="99"/>
            </w:tcBorders>
            <w:hideMark/>
          </w:tcPr>
          <w:p w14:paraId="7C71AD9D" w14:textId="77777777" w:rsidR="00A32066" w:rsidRPr="00A32066" w:rsidRDefault="00A32066" w:rsidP="00A32066">
            <w:r w:rsidRPr="00A32066">
              <w:t>17.0</w:t>
            </w:r>
          </w:p>
        </w:tc>
        <w:tc>
          <w:tcPr>
            <w:tcW w:w="0" w:type="auto"/>
            <w:tcBorders>
              <w:bottom w:val="single" w:sz="4" w:space="0" w:color="666666" w:themeColor="text1" w:themeTint="99"/>
            </w:tcBorders>
            <w:hideMark/>
          </w:tcPr>
          <w:p w14:paraId="301E4B42" w14:textId="77777777" w:rsidR="00A32066" w:rsidRPr="00A32066" w:rsidRDefault="00A32066" w:rsidP="00A32066">
            <w:r w:rsidRPr="00A32066">
              <w:t>56.2</w:t>
            </w:r>
          </w:p>
        </w:tc>
        <w:tc>
          <w:tcPr>
            <w:tcW w:w="0" w:type="auto"/>
            <w:tcBorders>
              <w:bottom w:val="single" w:sz="4" w:space="0" w:color="666666" w:themeColor="text1" w:themeTint="99"/>
            </w:tcBorders>
            <w:hideMark/>
          </w:tcPr>
          <w:p w14:paraId="1539FA1F" w14:textId="77777777" w:rsidR="00A32066" w:rsidRPr="00A32066" w:rsidRDefault="00A32066" w:rsidP="00A32066">
            <w:r w:rsidRPr="00A32066">
              <w:t>102.4</w:t>
            </w:r>
          </w:p>
        </w:tc>
        <w:tc>
          <w:tcPr>
            <w:tcW w:w="0" w:type="auto"/>
            <w:tcBorders>
              <w:bottom w:val="single" w:sz="4" w:space="0" w:color="666666" w:themeColor="text1" w:themeTint="99"/>
            </w:tcBorders>
            <w:hideMark/>
          </w:tcPr>
          <w:p w14:paraId="6C3D3440" w14:textId="77777777" w:rsidR="00A32066" w:rsidRPr="00A32066" w:rsidRDefault="00A32066" w:rsidP="00A32066">
            <w:r w:rsidRPr="00A32066">
              <w:t>1,980.6</w:t>
            </w:r>
          </w:p>
        </w:tc>
        <w:tc>
          <w:tcPr>
            <w:tcW w:w="0" w:type="auto"/>
            <w:tcBorders>
              <w:bottom w:val="single" w:sz="4" w:space="0" w:color="666666" w:themeColor="text1" w:themeTint="99"/>
            </w:tcBorders>
            <w:hideMark/>
          </w:tcPr>
          <w:p w14:paraId="030A75E9" w14:textId="77777777" w:rsidR="00A32066" w:rsidRPr="00A32066" w:rsidRDefault="00A32066" w:rsidP="00A32066">
            <w:r w:rsidRPr="00A32066">
              <w:t>150012020</w:t>
            </w:r>
          </w:p>
        </w:tc>
      </w:tr>
      <w:tr w:rsidR="00A32066" w:rsidRPr="00A32066" w14:paraId="7F0DFC2D" w14:textId="77777777" w:rsidTr="00A32066">
        <w:tc>
          <w:tcPr>
            <w:tcW w:w="0" w:type="auto"/>
            <w:tcBorders>
              <w:top w:val="single" w:sz="4" w:space="0" w:color="666666" w:themeColor="text1" w:themeTint="99"/>
            </w:tcBorders>
            <w:hideMark/>
          </w:tcPr>
          <w:p w14:paraId="756862EA" w14:textId="77777777" w:rsidR="00A32066" w:rsidRPr="00A32066" w:rsidRDefault="00A32066" w:rsidP="00A32066">
            <w:r w:rsidRPr="00A32066">
              <w:t>DA24</w:t>
            </w:r>
          </w:p>
        </w:tc>
        <w:tc>
          <w:tcPr>
            <w:tcW w:w="0" w:type="auto"/>
            <w:tcBorders>
              <w:top w:val="single" w:sz="4" w:space="0" w:color="666666" w:themeColor="text1" w:themeTint="99"/>
            </w:tcBorders>
            <w:hideMark/>
          </w:tcPr>
          <w:p w14:paraId="40A796C1" w14:textId="77777777" w:rsidR="00A32066" w:rsidRPr="00A32066" w:rsidRDefault="00A32066" w:rsidP="00A32066">
            <w:r w:rsidRPr="00A32066">
              <w:t>All</w:t>
            </w:r>
          </w:p>
        </w:tc>
        <w:tc>
          <w:tcPr>
            <w:tcW w:w="0" w:type="auto"/>
            <w:tcBorders>
              <w:top w:val="single" w:sz="4" w:space="0" w:color="666666" w:themeColor="text1" w:themeTint="99"/>
            </w:tcBorders>
            <w:hideMark/>
          </w:tcPr>
          <w:p w14:paraId="784F4BBE" w14:textId="77777777" w:rsidR="00A32066" w:rsidRPr="00A32066" w:rsidRDefault="00A32066" w:rsidP="00A32066">
            <w:r w:rsidRPr="00A32066">
              <w:t>402</w:t>
            </w:r>
          </w:p>
        </w:tc>
        <w:tc>
          <w:tcPr>
            <w:tcW w:w="0" w:type="auto"/>
            <w:tcBorders>
              <w:top w:val="single" w:sz="4" w:space="0" w:color="666666" w:themeColor="text1" w:themeTint="99"/>
            </w:tcBorders>
            <w:hideMark/>
          </w:tcPr>
          <w:p w14:paraId="1519ABDE" w14:textId="77777777" w:rsidR="00A32066" w:rsidRPr="00A32066" w:rsidRDefault="00A32066" w:rsidP="00A32066">
            <w:r w:rsidRPr="00A32066">
              <w:t>429,661</w:t>
            </w:r>
          </w:p>
        </w:tc>
        <w:tc>
          <w:tcPr>
            <w:tcW w:w="0" w:type="auto"/>
            <w:tcBorders>
              <w:top w:val="single" w:sz="4" w:space="0" w:color="666666" w:themeColor="text1" w:themeTint="99"/>
            </w:tcBorders>
            <w:hideMark/>
          </w:tcPr>
          <w:p w14:paraId="14E3103C" w14:textId="77777777" w:rsidR="00A32066" w:rsidRPr="00A32066" w:rsidRDefault="00A32066" w:rsidP="00A32066">
            <w:r w:rsidRPr="00A32066">
              <w:t>0.9</w:t>
            </w:r>
          </w:p>
        </w:tc>
        <w:tc>
          <w:tcPr>
            <w:tcW w:w="0" w:type="auto"/>
            <w:tcBorders>
              <w:top w:val="single" w:sz="4" w:space="0" w:color="666666" w:themeColor="text1" w:themeTint="99"/>
            </w:tcBorders>
            <w:hideMark/>
          </w:tcPr>
          <w:p w14:paraId="65F28431" w14:textId="77777777" w:rsidR="00A32066" w:rsidRPr="00A32066" w:rsidRDefault="00A32066" w:rsidP="00A32066">
            <w:r w:rsidRPr="00A32066">
              <w:t>3.6</w:t>
            </w:r>
          </w:p>
        </w:tc>
        <w:tc>
          <w:tcPr>
            <w:tcW w:w="0" w:type="auto"/>
            <w:tcBorders>
              <w:top w:val="single" w:sz="4" w:space="0" w:color="666666" w:themeColor="text1" w:themeTint="99"/>
            </w:tcBorders>
            <w:hideMark/>
          </w:tcPr>
          <w:p w14:paraId="23C6470F" w14:textId="77777777" w:rsidR="00A32066" w:rsidRPr="00A32066" w:rsidRDefault="00A32066" w:rsidP="00A32066">
            <w:r w:rsidRPr="00A32066">
              <w:t>-3.7</w:t>
            </w:r>
          </w:p>
        </w:tc>
        <w:tc>
          <w:tcPr>
            <w:tcW w:w="0" w:type="auto"/>
            <w:tcBorders>
              <w:top w:val="single" w:sz="4" w:space="0" w:color="666666" w:themeColor="text1" w:themeTint="99"/>
            </w:tcBorders>
            <w:hideMark/>
          </w:tcPr>
          <w:p w14:paraId="08A0DC93" w14:textId="77777777" w:rsidR="00A32066" w:rsidRPr="00A32066" w:rsidRDefault="00A32066" w:rsidP="00A32066">
            <w:r w:rsidRPr="00A32066">
              <w:t>-0.4</w:t>
            </w:r>
          </w:p>
        </w:tc>
        <w:tc>
          <w:tcPr>
            <w:tcW w:w="0" w:type="auto"/>
            <w:tcBorders>
              <w:top w:val="single" w:sz="4" w:space="0" w:color="666666" w:themeColor="text1" w:themeTint="99"/>
            </w:tcBorders>
            <w:hideMark/>
          </w:tcPr>
          <w:p w14:paraId="1E3AA9E1" w14:textId="77777777" w:rsidR="00A32066" w:rsidRPr="00A32066" w:rsidRDefault="00A32066" w:rsidP="00A32066">
            <w:r w:rsidRPr="00A32066">
              <w:t>0</w:t>
            </w:r>
          </w:p>
        </w:tc>
        <w:tc>
          <w:tcPr>
            <w:tcW w:w="0" w:type="auto"/>
            <w:tcBorders>
              <w:top w:val="single" w:sz="4" w:space="0" w:color="666666" w:themeColor="text1" w:themeTint="99"/>
            </w:tcBorders>
            <w:hideMark/>
          </w:tcPr>
          <w:p w14:paraId="4B93D23D" w14:textId="77777777" w:rsidR="00A32066" w:rsidRPr="00A32066" w:rsidRDefault="00A32066" w:rsidP="00A32066">
            <w:r w:rsidRPr="00A32066">
              <w:t>0</w:t>
            </w:r>
          </w:p>
        </w:tc>
        <w:tc>
          <w:tcPr>
            <w:tcW w:w="0" w:type="auto"/>
            <w:tcBorders>
              <w:top w:val="single" w:sz="4" w:space="0" w:color="666666" w:themeColor="text1" w:themeTint="99"/>
            </w:tcBorders>
            <w:hideMark/>
          </w:tcPr>
          <w:p w14:paraId="00F53C2A" w14:textId="77777777" w:rsidR="00A32066" w:rsidRPr="00A32066" w:rsidRDefault="00A32066" w:rsidP="00A32066">
            <w:r w:rsidRPr="00A32066">
              <w:t>0.1</w:t>
            </w:r>
          </w:p>
        </w:tc>
        <w:tc>
          <w:tcPr>
            <w:tcW w:w="0" w:type="auto"/>
            <w:tcBorders>
              <w:top w:val="single" w:sz="4" w:space="0" w:color="666666" w:themeColor="text1" w:themeTint="99"/>
            </w:tcBorders>
            <w:hideMark/>
          </w:tcPr>
          <w:p w14:paraId="5B11CE1B" w14:textId="77777777" w:rsidR="00A32066" w:rsidRPr="00A32066" w:rsidRDefault="00A32066" w:rsidP="00A32066">
            <w:r w:rsidRPr="00A32066">
              <w:t>0.4</w:t>
            </w:r>
          </w:p>
        </w:tc>
        <w:tc>
          <w:tcPr>
            <w:tcW w:w="0" w:type="auto"/>
            <w:tcBorders>
              <w:top w:val="single" w:sz="4" w:space="0" w:color="666666" w:themeColor="text1" w:themeTint="99"/>
            </w:tcBorders>
            <w:hideMark/>
          </w:tcPr>
          <w:p w14:paraId="551CBA26" w14:textId="77777777" w:rsidR="00A32066" w:rsidRPr="00A32066" w:rsidRDefault="00A32066" w:rsidP="00A32066">
            <w:r w:rsidRPr="00A32066">
              <w:t>0.9</w:t>
            </w:r>
          </w:p>
        </w:tc>
        <w:tc>
          <w:tcPr>
            <w:tcW w:w="0" w:type="auto"/>
            <w:tcBorders>
              <w:top w:val="single" w:sz="4" w:space="0" w:color="666666" w:themeColor="text1" w:themeTint="99"/>
            </w:tcBorders>
            <w:hideMark/>
          </w:tcPr>
          <w:p w14:paraId="4A1E2F07" w14:textId="77777777" w:rsidR="00A32066" w:rsidRPr="00A32066" w:rsidRDefault="00A32066" w:rsidP="00A32066">
            <w:r w:rsidRPr="00A32066">
              <w:t>1.8</w:t>
            </w:r>
          </w:p>
        </w:tc>
        <w:tc>
          <w:tcPr>
            <w:tcW w:w="0" w:type="auto"/>
            <w:tcBorders>
              <w:top w:val="single" w:sz="4" w:space="0" w:color="666666" w:themeColor="text1" w:themeTint="99"/>
            </w:tcBorders>
            <w:hideMark/>
          </w:tcPr>
          <w:p w14:paraId="02FEF69D" w14:textId="77777777" w:rsidR="00A32066" w:rsidRPr="00A32066" w:rsidRDefault="00A32066" w:rsidP="00A32066">
            <w:r w:rsidRPr="00A32066">
              <w:t>2.7</w:t>
            </w:r>
          </w:p>
        </w:tc>
        <w:tc>
          <w:tcPr>
            <w:tcW w:w="0" w:type="auto"/>
            <w:tcBorders>
              <w:top w:val="single" w:sz="4" w:space="0" w:color="666666" w:themeColor="text1" w:themeTint="99"/>
            </w:tcBorders>
            <w:hideMark/>
          </w:tcPr>
          <w:p w14:paraId="0A479B10" w14:textId="77777777" w:rsidR="00A32066" w:rsidRPr="00A32066" w:rsidRDefault="00A32066" w:rsidP="00A32066">
            <w:r w:rsidRPr="00A32066">
              <w:t>4.8</w:t>
            </w:r>
          </w:p>
        </w:tc>
        <w:tc>
          <w:tcPr>
            <w:tcW w:w="0" w:type="auto"/>
            <w:tcBorders>
              <w:top w:val="single" w:sz="4" w:space="0" w:color="666666" w:themeColor="text1" w:themeTint="99"/>
            </w:tcBorders>
            <w:hideMark/>
          </w:tcPr>
          <w:p w14:paraId="781466DD" w14:textId="77777777" w:rsidR="00A32066" w:rsidRPr="00A32066" w:rsidRDefault="00A32066" w:rsidP="00A32066">
            <w:r w:rsidRPr="00A32066">
              <w:t>7.7</w:t>
            </w:r>
          </w:p>
        </w:tc>
        <w:tc>
          <w:tcPr>
            <w:tcW w:w="0" w:type="auto"/>
            <w:tcBorders>
              <w:top w:val="single" w:sz="4" w:space="0" w:color="666666" w:themeColor="text1" w:themeTint="99"/>
            </w:tcBorders>
            <w:hideMark/>
          </w:tcPr>
          <w:p w14:paraId="41BB2A01" w14:textId="77777777" w:rsidR="00A32066" w:rsidRPr="00A32066" w:rsidRDefault="00A32066" w:rsidP="00A32066">
            <w:r w:rsidRPr="00A32066">
              <w:t>395.0</w:t>
            </w:r>
          </w:p>
        </w:tc>
        <w:tc>
          <w:tcPr>
            <w:tcW w:w="0" w:type="auto"/>
            <w:tcBorders>
              <w:top w:val="single" w:sz="4" w:space="0" w:color="666666" w:themeColor="text1" w:themeTint="99"/>
            </w:tcBorders>
            <w:hideMark/>
          </w:tcPr>
          <w:p w14:paraId="4447517D" w14:textId="77777777" w:rsidR="00A32066" w:rsidRPr="00A32066" w:rsidRDefault="00A32066" w:rsidP="00A32066">
            <w:r w:rsidRPr="00A32066">
              <w:t>150012020</w:t>
            </w:r>
          </w:p>
        </w:tc>
      </w:tr>
      <w:tr w:rsidR="00A32066" w:rsidRPr="00A32066" w14:paraId="77BDBAB5" w14:textId="77777777" w:rsidTr="00A32066">
        <w:tc>
          <w:tcPr>
            <w:tcW w:w="0" w:type="auto"/>
            <w:hideMark/>
          </w:tcPr>
          <w:p w14:paraId="56904D65" w14:textId="77777777" w:rsidR="00A32066" w:rsidRPr="00A32066" w:rsidRDefault="00A32066" w:rsidP="00A32066">
            <w:r w:rsidRPr="00A32066">
              <w:t>DA24</w:t>
            </w:r>
          </w:p>
        </w:tc>
        <w:tc>
          <w:tcPr>
            <w:tcW w:w="0" w:type="auto"/>
            <w:hideMark/>
          </w:tcPr>
          <w:p w14:paraId="78F6100D" w14:textId="77777777" w:rsidR="00A32066" w:rsidRPr="00A32066" w:rsidRDefault="00A32066" w:rsidP="00A32066">
            <w:r w:rsidRPr="00A32066">
              <w:t>Source Oriented</w:t>
            </w:r>
          </w:p>
        </w:tc>
        <w:tc>
          <w:tcPr>
            <w:tcW w:w="0" w:type="auto"/>
            <w:hideMark/>
          </w:tcPr>
          <w:p w14:paraId="12D2C64D" w14:textId="77777777" w:rsidR="00A32066" w:rsidRPr="00A32066" w:rsidRDefault="00A32066" w:rsidP="00A32066">
            <w:r w:rsidRPr="00A32066">
              <w:t>161</w:t>
            </w:r>
          </w:p>
        </w:tc>
        <w:tc>
          <w:tcPr>
            <w:tcW w:w="0" w:type="auto"/>
            <w:hideMark/>
          </w:tcPr>
          <w:p w14:paraId="3B0E29F3" w14:textId="77777777" w:rsidR="00A32066" w:rsidRPr="00A32066" w:rsidRDefault="00A32066" w:rsidP="00A32066">
            <w:r w:rsidRPr="00A32066">
              <w:t>172,216</w:t>
            </w:r>
          </w:p>
        </w:tc>
        <w:tc>
          <w:tcPr>
            <w:tcW w:w="0" w:type="auto"/>
            <w:hideMark/>
          </w:tcPr>
          <w:p w14:paraId="296C2F0A" w14:textId="77777777" w:rsidR="00A32066" w:rsidRPr="00A32066" w:rsidRDefault="00A32066" w:rsidP="00A32066">
            <w:r w:rsidRPr="00A32066">
              <w:t>1.3</w:t>
            </w:r>
          </w:p>
        </w:tc>
        <w:tc>
          <w:tcPr>
            <w:tcW w:w="0" w:type="auto"/>
            <w:hideMark/>
          </w:tcPr>
          <w:p w14:paraId="36554B5B" w14:textId="77777777" w:rsidR="00A32066" w:rsidRPr="00A32066" w:rsidRDefault="00A32066" w:rsidP="00A32066">
            <w:r w:rsidRPr="00A32066">
              <w:t>5.4</w:t>
            </w:r>
          </w:p>
        </w:tc>
        <w:tc>
          <w:tcPr>
            <w:tcW w:w="0" w:type="auto"/>
            <w:hideMark/>
          </w:tcPr>
          <w:p w14:paraId="0138A8CC" w14:textId="77777777" w:rsidR="00A32066" w:rsidRPr="00A32066" w:rsidRDefault="00A32066" w:rsidP="00A32066">
            <w:r w:rsidRPr="00A32066">
              <w:t>-3.5</w:t>
            </w:r>
          </w:p>
        </w:tc>
        <w:tc>
          <w:tcPr>
            <w:tcW w:w="0" w:type="auto"/>
            <w:hideMark/>
          </w:tcPr>
          <w:p w14:paraId="75B03934" w14:textId="77777777" w:rsidR="00A32066" w:rsidRPr="00A32066" w:rsidRDefault="00A32066" w:rsidP="00A32066">
            <w:r w:rsidRPr="00A32066">
              <w:t>-0.6</w:t>
            </w:r>
          </w:p>
        </w:tc>
        <w:tc>
          <w:tcPr>
            <w:tcW w:w="0" w:type="auto"/>
            <w:hideMark/>
          </w:tcPr>
          <w:p w14:paraId="048F6859" w14:textId="77777777" w:rsidR="00A32066" w:rsidRPr="00A32066" w:rsidRDefault="00A32066" w:rsidP="00A32066">
            <w:r w:rsidRPr="00A32066">
              <w:t>0</w:t>
            </w:r>
          </w:p>
        </w:tc>
        <w:tc>
          <w:tcPr>
            <w:tcW w:w="0" w:type="auto"/>
            <w:hideMark/>
          </w:tcPr>
          <w:p w14:paraId="0CA2BEEE" w14:textId="77777777" w:rsidR="00A32066" w:rsidRPr="00A32066" w:rsidRDefault="00A32066" w:rsidP="00A32066">
            <w:r w:rsidRPr="00A32066">
              <w:t>0</w:t>
            </w:r>
          </w:p>
        </w:tc>
        <w:tc>
          <w:tcPr>
            <w:tcW w:w="0" w:type="auto"/>
            <w:hideMark/>
          </w:tcPr>
          <w:p w14:paraId="5A836476" w14:textId="77777777" w:rsidR="00A32066" w:rsidRPr="00A32066" w:rsidRDefault="00A32066" w:rsidP="00A32066">
            <w:r w:rsidRPr="00A32066">
              <w:t>0.1</w:t>
            </w:r>
          </w:p>
        </w:tc>
        <w:tc>
          <w:tcPr>
            <w:tcW w:w="0" w:type="auto"/>
            <w:hideMark/>
          </w:tcPr>
          <w:p w14:paraId="7DB1DEF3" w14:textId="77777777" w:rsidR="00A32066" w:rsidRPr="00A32066" w:rsidRDefault="00A32066" w:rsidP="00A32066">
            <w:r w:rsidRPr="00A32066">
              <w:t>0.5</w:t>
            </w:r>
          </w:p>
        </w:tc>
        <w:tc>
          <w:tcPr>
            <w:tcW w:w="0" w:type="auto"/>
            <w:hideMark/>
          </w:tcPr>
          <w:p w14:paraId="2BC3198C" w14:textId="77777777" w:rsidR="00A32066" w:rsidRPr="00A32066" w:rsidRDefault="00A32066" w:rsidP="00A32066">
            <w:r w:rsidRPr="00A32066">
              <w:t>1.1</w:t>
            </w:r>
          </w:p>
        </w:tc>
        <w:tc>
          <w:tcPr>
            <w:tcW w:w="0" w:type="auto"/>
            <w:hideMark/>
          </w:tcPr>
          <w:p w14:paraId="76B7E0B4" w14:textId="77777777" w:rsidR="00A32066" w:rsidRPr="00A32066" w:rsidRDefault="00A32066" w:rsidP="00A32066">
            <w:r w:rsidRPr="00A32066">
              <w:t>2.3</w:t>
            </w:r>
          </w:p>
        </w:tc>
        <w:tc>
          <w:tcPr>
            <w:tcW w:w="0" w:type="auto"/>
            <w:hideMark/>
          </w:tcPr>
          <w:p w14:paraId="07345939" w14:textId="77777777" w:rsidR="00A32066" w:rsidRPr="00A32066" w:rsidRDefault="00A32066" w:rsidP="00A32066">
            <w:r w:rsidRPr="00A32066">
              <w:t>3.9</w:t>
            </w:r>
          </w:p>
        </w:tc>
        <w:tc>
          <w:tcPr>
            <w:tcW w:w="0" w:type="auto"/>
            <w:hideMark/>
          </w:tcPr>
          <w:p w14:paraId="7E4F8EAF" w14:textId="77777777" w:rsidR="00A32066" w:rsidRPr="00A32066" w:rsidRDefault="00A32066" w:rsidP="00A32066">
            <w:r w:rsidRPr="00A32066">
              <w:t>7.9</w:t>
            </w:r>
          </w:p>
        </w:tc>
        <w:tc>
          <w:tcPr>
            <w:tcW w:w="0" w:type="auto"/>
            <w:hideMark/>
          </w:tcPr>
          <w:p w14:paraId="4D21CB81" w14:textId="77777777" w:rsidR="00A32066" w:rsidRPr="00A32066" w:rsidRDefault="00A32066" w:rsidP="00A32066">
            <w:r w:rsidRPr="00A32066">
              <w:t>13.3</w:t>
            </w:r>
          </w:p>
        </w:tc>
        <w:tc>
          <w:tcPr>
            <w:tcW w:w="0" w:type="auto"/>
            <w:hideMark/>
          </w:tcPr>
          <w:p w14:paraId="2488FE7D" w14:textId="77777777" w:rsidR="00A32066" w:rsidRPr="00A32066" w:rsidRDefault="00A32066" w:rsidP="00A32066">
            <w:r w:rsidRPr="00A32066">
              <w:t>315.2</w:t>
            </w:r>
          </w:p>
        </w:tc>
        <w:tc>
          <w:tcPr>
            <w:tcW w:w="0" w:type="auto"/>
            <w:hideMark/>
          </w:tcPr>
          <w:p w14:paraId="3697C718" w14:textId="77777777" w:rsidR="00A32066" w:rsidRPr="00A32066" w:rsidRDefault="00A32066" w:rsidP="00A32066">
            <w:r w:rsidRPr="00A32066">
              <w:t>291439001</w:t>
            </w:r>
          </w:p>
        </w:tc>
      </w:tr>
      <w:tr w:rsidR="00A32066" w:rsidRPr="00A32066" w14:paraId="15300A5E" w14:textId="77777777" w:rsidTr="00A32066">
        <w:tc>
          <w:tcPr>
            <w:tcW w:w="0" w:type="auto"/>
            <w:hideMark/>
          </w:tcPr>
          <w:p w14:paraId="44B0AD89" w14:textId="77777777" w:rsidR="00A32066" w:rsidRPr="00A32066" w:rsidRDefault="00A32066" w:rsidP="00A32066">
            <w:r w:rsidRPr="00A32066">
              <w:t>DA24</w:t>
            </w:r>
          </w:p>
        </w:tc>
        <w:tc>
          <w:tcPr>
            <w:tcW w:w="0" w:type="auto"/>
            <w:hideMark/>
          </w:tcPr>
          <w:p w14:paraId="48FE3D4E" w14:textId="77777777" w:rsidR="00A32066" w:rsidRPr="00A32066" w:rsidRDefault="00A32066" w:rsidP="00A32066">
            <w:r w:rsidRPr="00A32066">
              <w:t>Urban Non-Source</w:t>
            </w:r>
          </w:p>
        </w:tc>
        <w:tc>
          <w:tcPr>
            <w:tcW w:w="0" w:type="auto"/>
            <w:hideMark/>
          </w:tcPr>
          <w:p w14:paraId="5C82BFB0" w14:textId="77777777" w:rsidR="00A32066" w:rsidRPr="00A32066" w:rsidRDefault="00A32066" w:rsidP="00A32066">
            <w:r w:rsidRPr="00A32066">
              <w:t>202</w:t>
            </w:r>
          </w:p>
        </w:tc>
        <w:tc>
          <w:tcPr>
            <w:tcW w:w="0" w:type="auto"/>
            <w:hideMark/>
          </w:tcPr>
          <w:p w14:paraId="1F00A16D" w14:textId="77777777" w:rsidR="00A32066" w:rsidRPr="00A32066" w:rsidRDefault="00A32066" w:rsidP="00A32066">
            <w:r w:rsidRPr="00A32066">
              <w:t>215,820</w:t>
            </w:r>
          </w:p>
        </w:tc>
        <w:tc>
          <w:tcPr>
            <w:tcW w:w="0" w:type="auto"/>
            <w:hideMark/>
          </w:tcPr>
          <w:p w14:paraId="763D87F2" w14:textId="77777777" w:rsidR="00A32066" w:rsidRPr="00A32066" w:rsidRDefault="00A32066" w:rsidP="00A32066">
            <w:r w:rsidRPr="00A32066">
              <w:t>0.6</w:t>
            </w:r>
          </w:p>
        </w:tc>
        <w:tc>
          <w:tcPr>
            <w:tcW w:w="0" w:type="auto"/>
            <w:hideMark/>
          </w:tcPr>
          <w:p w14:paraId="31953558" w14:textId="77777777" w:rsidR="00A32066" w:rsidRPr="00A32066" w:rsidRDefault="00A32066" w:rsidP="00A32066">
            <w:r w:rsidRPr="00A32066">
              <w:t>1.1</w:t>
            </w:r>
          </w:p>
        </w:tc>
        <w:tc>
          <w:tcPr>
            <w:tcW w:w="0" w:type="auto"/>
            <w:hideMark/>
          </w:tcPr>
          <w:p w14:paraId="442C3022" w14:textId="77777777" w:rsidR="00A32066" w:rsidRPr="00A32066" w:rsidRDefault="00A32066" w:rsidP="00A32066">
            <w:r w:rsidRPr="00A32066">
              <w:t>-3.7</w:t>
            </w:r>
          </w:p>
        </w:tc>
        <w:tc>
          <w:tcPr>
            <w:tcW w:w="0" w:type="auto"/>
            <w:hideMark/>
          </w:tcPr>
          <w:p w14:paraId="6E3F66E9" w14:textId="77777777" w:rsidR="00A32066" w:rsidRPr="00A32066" w:rsidRDefault="00A32066" w:rsidP="00A32066">
            <w:r w:rsidRPr="00A32066">
              <w:t>-0.3</w:t>
            </w:r>
          </w:p>
        </w:tc>
        <w:tc>
          <w:tcPr>
            <w:tcW w:w="0" w:type="auto"/>
            <w:hideMark/>
          </w:tcPr>
          <w:p w14:paraId="115BDB54" w14:textId="77777777" w:rsidR="00A32066" w:rsidRPr="00A32066" w:rsidRDefault="00A32066" w:rsidP="00A32066">
            <w:r w:rsidRPr="00A32066">
              <w:t>0</w:t>
            </w:r>
          </w:p>
        </w:tc>
        <w:tc>
          <w:tcPr>
            <w:tcW w:w="0" w:type="auto"/>
            <w:hideMark/>
          </w:tcPr>
          <w:p w14:paraId="0BF9E189" w14:textId="77777777" w:rsidR="00A32066" w:rsidRPr="00A32066" w:rsidRDefault="00A32066" w:rsidP="00A32066">
            <w:r w:rsidRPr="00A32066">
              <w:t>0</w:t>
            </w:r>
          </w:p>
        </w:tc>
        <w:tc>
          <w:tcPr>
            <w:tcW w:w="0" w:type="auto"/>
            <w:hideMark/>
          </w:tcPr>
          <w:p w14:paraId="0C4E0B35" w14:textId="77777777" w:rsidR="00A32066" w:rsidRPr="00A32066" w:rsidRDefault="00A32066" w:rsidP="00A32066">
            <w:r w:rsidRPr="00A32066">
              <w:t>0.1</w:t>
            </w:r>
          </w:p>
        </w:tc>
        <w:tc>
          <w:tcPr>
            <w:tcW w:w="0" w:type="auto"/>
            <w:hideMark/>
          </w:tcPr>
          <w:p w14:paraId="291099D7" w14:textId="77777777" w:rsidR="00A32066" w:rsidRPr="00A32066" w:rsidRDefault="00A32066" w:rsidP="00A32066">
            <w:r w:rsidRPr="00A32066">
              <w:t>0.3</w:t>
            </w:r>
          </w:p>
        </w:tc>
        <w:tc>
          <w:tcPr>
            <w:tcW w:w="0" w:type="auto"/>
            <w:hideMark/>
          </w:tcPr>
          <w:p w14:paraId="7CEA9FAC" w14:textId="77777777" w:rsidR="00A32066" w:rsidRPr="00A32066" w:rsidRDefault="00A32066" w:rsidP="00A32066">
            <w:r w:rsidRPr="00A32066">
              <w:t>0.8</w:t>
            </w:r>
          </w:p>
        </w:tc>
        <w:tc>
          <w:tcPr>
            <w:tcW w:w="0" w:type="auto"/>
            <w:hideMark/>
          </w:tcPr>
          <w:p w14:paraId="4FFC9021" w14:textId="77777777" w:rsidR="00A32066" w:rsidRPr="00A32066" w:rsidRDefault="00A32066" w:rsidP="00A32066">
            <w:r w:rsidRPr="00A32066">
              <w:t>1.4</w:t>
            </w:r>
          </w:p>
        </w:tc>
        <w:tc>
          <w:tcPr>
            <w:tcW w:w="0" w:type="auto"/>
            <w:hideMark/>
          </w:tcPr>
          <w:p w14:paraId="27322B90" w14:textId="77777777" w:rsidR="00A32066" w:rsidRPr="00A32066" w:rsidRDefault="00A32066" w:rsidP="00A32066">
            <w:r w:rsidRPr="00A32066">
              <w:t>2.0</w:t>
            </w:r>
          </w:p>
        </w:tc>
        <w:tc>
          <w:tcPr>
            <w:tcW w:w="0" w:type="auto"/>
            <w:hideMark/>
          </w:tcPr>
          <w:p w14:paraId="4ABE0A87" w14:textId="77777777" w:rsidR="00A32066" w:rsidRPr="00A32066" w:rsidRDefault="00A32066" w:rsidP="00A32066">
            <w:r w:rsidRPr="00A32066">
              <w:t>3.0</w:t>
            </w:r>
          </w:p>
        </w:tc>
        <w:tc>
          <w:tcPr>
            <w:tcW w:w="0" w:type="auto"/>
            <w:hideMark/>
          </w:tcPr>
          <w:p w14:paraId="77A6C75D" w14:textId="77777777" w:rsidR="00A32066" w:rsidRPr="00A32066" w:rsidRDefault="00A32066" w:rsidP="00A32066">
            <w:r w:rsidRPr="00A32066">
              <w:t>4.0</w:t>
            </w:r>
          </w:p>
        </w:tc>
        <w:tc>
          <w:tcPr>
            <w:tcW w:w="0" w:type="auto"/>
            <w:hideMark/>
          </w:tcPr>
          <w:p w14:paraId="543B3152" w14:textId="77777777" w:rsidR="00A32066" w:rsidRPr="00A32066" w:rsidRDefault="00A32066" w:rsidP="00A32066">
            <w:r w:rsidRPr="00A32066">
              <w:t>212.3</w:t>
            </w:r>
          </w:p>
        </w:tc>
        <w:tc>
          <w:tcPr>
            <w:tcW w:w="0" w:type="auto"/>
            <w:hideMark/>
          </w:tcPr>
          <w:p w14:paraId="7DDFFE69" w14:textId="77777777" w:rsidR="00A32066" w:rsidRPr="00A32066" w:rsidRDefault="00A32066" w:rsidP="00A32066">
            <w:r w:rsidRPr="00A32066">
              <w:t>171193007</w:t>
            </w:r>
          </w:p>
        </w:tc>
      </w:tr>
      <w:tr w:rsidR="00A32066" w:rsidRPr="00A32066" w14:paraId="4028AC4B" w14:textId="77777777" w:rsidTr="00A32066">
        <w:tc>
          <w:tcPr>
            <w:tcW w:w="0" w:type="auto"/>
            <w:hideMark/>
          </w:tcPr>
          <w:p w14:paraId="6F0A7450" w14:textId="77777777" w:rsidR="00A32066" w:rsidRPr="00A32066" w:rsidRDefault="00A32066" w:rsidP="00A32066">
            <w:r w:rsidRPr="00A32066">
              <w:t>DA24</w:t>
            </w:r>
          </w:p>
        </w:tc>
        <w:tc>
          <w:tcPr>
            <w:tcW w:w="0" w:type="auto"/>
            <w:hideMark/>
          </w:tcPr>
          <w:p w14:paraId="7F1D1BCB" w14:textId="77777777" w:rsidR="00A32066" w:rsidRPr="00A32066" w:rsidRDefault="00A32066" w:rsidP="00A32066">
            <w:r w:rsidRPr="00A32066">
              <w:t>Rural Non-Source</w:t>
            </w:r>
          </w:p>
        </w:tc>
        <w:tc>
          <w:tcPr>
            <w:tcW w:w="0" w:type="auto"/>
            <w:hideMark/>
          </w:tcPr>
          <w:p w14:paraId="1AC028F8" w14:textId="77777777" w:rsidR="00A32066" w:rsidRPr="00A32066" w:rsidRDefault="00A32066" w:rsidP="00A32066">
            <w:r w:rsidRPr="00A32066">
              <w:t>33</w:t>
            </w:r>
          </w:p>
        </w:tc>
        <w:tc>
          <w:tcPr>
            <w:tcW w:w="0" w:type="auto"/>
            <w:hideMark/>
          </w:tcPr>
          <w:p w14:paraId="58F06D10" w14:textId="77777777" w:rsidR="00A32066" w:rsidRPr="00A32066" w:rsidRDefault="00A32066" w:rsidP="00A32066">
            <w:r w:rsidRPr="00A32066">
              <w:t>35,297</w:t>
            </w:r>
          </w:p>
        </w:tc>
        <w:tc>
          <w:tcPr>
            <w:tcW w:w="0" w:type="auto"/>
            <w:hideMark/>
          </w:tcPr>
          <w:p w14:paraId="1A94D6C8" w14:textId="77777777" w:rsidR="00A32066" w:rsidRPr="00A32066" w:rsidRDefault="00A32066" w:rsidP="00A32066">
            <w:r w:rsidRPr="00A32066">
              <w:t>0.4</w:t>
            </w:r>
          </w:p>
        </w:tc>
        <w:tc>
          <w:tcPr>
            <w:tcW w:w="0" w:type="auto"/>
            <w:hideMark/>
          </w:tcPr>
          <w:p w14:paraId="5B007392" w14:textId="77777777" w:rsidR="00A32066" w:rsidRPr="00A32066" w:rsidRDefault="00A32066" w:rsidP="00A32066">
            <w:r w:rsidRPr="00A32066">
              <w:t>0.6</w:t>
            </w:r>
          </w:p>
        </w:tc>
        <w:tc>
          <w:tcPr>
            <w:tcW w:w="0" w:type="auto"/>
            <w:hideMark/>
          </w:tcPr>
          <w:p w14:paraId="3B5E9BBB" w14:textId="77777777" w:rsidR="00A32066" w:rsidRPr="00A32066" w:rsidRDefault="00A32066" w:rsidP="00A32066">
            <w:r w:rsidRPr="00A32066">
              <w:t>-1.4</w:t>
            </w:r>
          </w:p>
        </w:tc>
        <w:tc>
          <w:tcPr>
            <w:tcW w:w="0" w:type="auto"/>
            <w:hideMark/>
          </w:tcPr>
          <w:p w14:paraId="378919CB" w14:textId="77777777" w:rsidR="00A32066" w:rsidRPr="00A32066" w:rsidRDefault="00A32066" w:rsidP="00A32066">
            <w:r w:rsidRPr="00A32066">
              <w:t>-0.1</w:t>
            </w:r>
          </w:p>
        </w:tc>
        <w:tc>
          <w:tcPr>
            <w:tcW w:w="0" w:type="auto"/>
            <w:hideMark/>
          </w:tcPr>
          <w:p w14:paraId="21AF57D1" w14:textId="77777777" w:rsidR="00A32066" w:rsidRPr="00A32066" w:rsidRDefault="00A32066" w:rsidP="00A32066">
            <w:r w:rsidRPr="00A32066">
              <w:t>0</w:t>
            </w:r>
          </w:p>
        </w:tc>
        <w:tc>
          <w:tcPr>
            <w:tcW w:w="0" w:type="auto"/>
            <w:hideMark/>
          </w:tcPr>
          <w:p w14:paraId="5EC8A2F3" w14:textId="77777777" w:rsidR="00A32066" w:rsidRPr="00A32066" w:rsidRDefault="00A32066" w:rsidP="00A32066">
            <w:r w:rsidRPr="00A32066">
              <w:t>0</w:t>
            </w:r>
          </w:p>
        </w:tc>
        <w:tc>
          <w:tcPr>
            <w:tcW w:w="0" w:type="auto"/>
            <w:hideMark/>
          </w:tcPr>
          <w:p w14:paraId="52201CB1" w14:textId="77777777" w:rsidR="00A32066" w:rsidRPr="00A32066" w:rsidRDefault="00A32066" w:rsidP="00A32066">
            <w:r w:rsidRPr="00A32066">
              <w:t>0.1</w:t>
            </w:r>
          </w:p>
        </w:tc>
        <w:tc>
          <w:tcPr>
            <w:tcW w:w="0" w:type="auto"/>
            <w:hideMark/>
          </w:tcPr>
          <w:p w14:paraId="34F99907" w14:textId="77777777" w:rsidR="00A32066" w:rsidRPr="00A32066" w:rsidRDefault="00A32066" w:rsidP="00A32066">
            <w:r w:rsidRPr="00A32066">
              <w:t>0.2</w:t>
            </w:r>
          </w:p>
        </w:tc>
        <w:tc>
          <w:tcPr>
            <w:tcW w:w="0" w:type="auto"/>
            <w:hideMark/>
          </w:tcPr>
          <w:p w14:paraId="66707C81" w14:textId="77777777" w:rsidR="00A32066" w:rsidRPr="00A32066" w:rsidRDefault="00A32066" w:rsidP="00A32066">
            <w:r w:rsidRPr="00A32066">
              <w:t>0.6</w:t>
            </w:r>
          </w:p>
        </w:tc>
        <w:tc>
          <w:tcPr>
            <w:tcW w:w="0" w:type="auto"/>
            <w:hideMark/>
          </w:tcPr>
          <w:p w14:paraId="04654E56" w14:textId="77777777" w:rsidR="00A32066" w:rsidRPr="00A32066" w:rsidRDefault="00A32066" w:rsidP="00A32066">
            <w:r w:rsidRPr="00A32066">
              <w:t>1.1</w:t>
            </w:r>
          </w:p>
        </w:tc>
        <w:tc>
          <w:tcPr>
            <w:tcW w:w="0" w:type="auto"/>
            <w:hideMark/>
          </w:tcPr>
          <w:p w14:paraId="3D7AFB2E" w14:textId="77777777" w:rsidR="00A32066" w:rsidRPr="00A32066" w:rsidRDefault="00A32066" w:rsidP="00A32066">
            <w:r w:rsidRPr="00A32066">
              <w:t>1.6</w:t>
            </w:r>
          </w:p>
        </w:tc>
        <w:tc>
          <w:tcPr>
            <w:tcW w:w="0" w:type="auto"/>
            <w:hideMark/>
          </w:tcPr>
          <w:p w14:paraId="3202E78F" w14:textId="77777777" w:rsidR="00A32066" w:rsidRPr="00A32066" w:rsidRDefault="00A32066" w:rsidP="00A32066">
            <w:r w:rsidRPr="00A32066">
              <w:t>2.2</w:t>
            </w:r>
          </w:p>
        </w:tc>
        <w:tc>
          <w:tcPr>
            <w:tcW w:w="0" w:type="auto"/>
            <w:hideMark/>
          </w:tcPr>
          <w:p w14:paraId="347A163E" w14:textId="77777777" w:rsidR="00A32066" w:rsidRPr="00A32066" w:rsidRDefault="00A32066" w:rsidP="00A32066">
            <w:r w:rsidRPr="00A32066">
              <w:t>2.5</w:t>
            </w:r>
          </w:p>
        </w:tc>
        <w:tc>
          <w:tcPr>
            <w:tcW w:w="0" w:type="auto"/>
            <w:hideMark/>
          </w:tcPr>
          <w:p w14:paraId="4AB41254" w14:textId="77777777" w:rsidR="00A32066" w:rsidRPr="00A32066" w:rsidRDefault="00A32066" w:rsidP="00A32066">
            <w:r w:rsidRPr="00A32066">
              <w:t>15.3</w:t>
            </w:r>
          </w:p>
        </w:tc>
        <w:tc>
          <w:tcPr>
            <w:tcW w:w="0" w:type="auto"/>
            <w:hideMark/>
          </w:tcPr>
          <w:p w14:paraId="792FF721" w14:textId="77777777" w:rsidR="00A32066" w:rsidRPr="00A32066" w:rsidRDefault="00A32066" w:rsidP="00A32066">
            <w:r w:rsidRPr="00A32066">
              <w:t>460710001</w:t>
            </w:r>
          </w:p>
        </w:tc>
      </w:tr>
      <w:tr w:rsidR="00A32066" w:rsidRPr="00A32066" w14:paraId="47238FC2" w14:textId="77777777" w:rsidTr="00A32066">
        <w:tc>
          <w:tcPr>
            <w:tcW w:w="0" w:type="auto"/>
            <w:tcBorders>
              <w:bottom w:val="single" w:sz="4" w:space="0" w:color="666666" w:themeColor="text1" w:themeTint="99"/>
            </w:tcBorders>
            <w:hideMark/>
          </w:tcPr>
          <w:p w14:paraId="73668419" w14:textId="77777777" w:rsidR="00A32066" w:rsidRPr="00A32066" w:rsidRDefault="00A32066" w:rsidP="00A32066">
            <w:r w:rsidRPr="00A32066">
              <w:t>DA24</w:t>
            </w:r>
          </w:p>
        </w:tc>
        <w:tc>
          <w:tcPr>
            <w:tcW w:w="0" w:type="auto"/>
            <w:tcBorders>
              <w:bottom w:val="single" w:sz="4" w:space="0" w:color="666666" w:themeColor="text1" w:themeTint="99"/>
            </w:tcBorders>
            <w:hideMark/>
          </w:tcPr>
          <w:p w14:paraId="3EE69E88" w14:textId="77777777" w:rsidR="00A32066" w:rsidRPr="00A32066" w:rsidRDefault="00A32066" w:rsidP="00A32066">
            <w:r w:rsidRPr="00A32066">
              <w:t>Hawaii Volcanic</w:t>
            </w:r>
          </w:p>
        </w:tc>
        <w:tc>
          <w:tcPr>
            <w:tcW w:w="0" w:type="auto"/>
            <w:tcBorders>
              <w:bottom w:val="single" w:sz="4" w:space="0" w:color="666666" w:themeColor="text1" w:themeTint="99"/>
            </w:tcBorders>
            <w:hideMark/>
          </w:tcPr>
          <w:p w14:paraId="305C8D2A" w14:textId="77777777" w:rsidR="00A32066" w:rsidRPr="00A32066" w:rsidRDefault="00A32066" w:rsidP="00A32066">
            <w:r w:rsidRPr="00A32066">
              <w:t>6</w:t>
            </w:r>
          </w:p>
        </w:tc>
        <w:tc>
          <w:tcPr>
            <w:tcW w:w="0" w:type="auto"/>
            <w:tcBorders>
              <w:bottom w:val="single" w:sz="4" w:space="0" w:color="666666" w:themeColor="text1" w:themeTint="99"/>
            </w:tcBorders>
            <w:hideMark/>
          </w:tcPr>
          <w:p w14:paraId="69A06237" w14:textId="77777777" w:rsidR="00A32066" w:rsidRPr="00A32066" w:rsidRDefault="00A32066" w:rsidP="00A32066">
            <w:r w:rsidRPr="00A32066">
              <w:t>6,328</w:t>
            </w:r>
          </w:p>
        </w:tc>
        <w:tc>
          <w:tcPr>
            <w:tcW w:w="0" w:type="auto"/>
            <w:tcBorders>
              <w:bottom w:val="single" w:sz="4" w:space="0" w:color="666666" w:themeColor="text1" w:themeTint="99"/>
            </w:tcBorders>
            <w:hideMark/>
          </w:tcPr>
          <w:p w14:paraId="48E4CFA4" w14:textId="77777777" w:rsidR="00A32066" w:rsidRPr="00A32066" w:rsidRDefault="00A32066" w:rsidP="00A32066">
            <w:r w:rsidRPr="00A32066">
              <w:t>2.2</w:t>
            </w:r>
          </w:p>
        </w:tc>
        <w:tc>
          <w:tcPr>
            <w:tcW w:w="0" w:type="auto"/>
            <w:tcBorders>
              <w:bottom w:val="single" w:sz="4" w:space="0" w:color="666666" w:themeColor="text1" w:themeTint="99"/>
            </w:tcBorders>
            <w:hideMark/>
          </w:tcPr>
          <w:p w14:paraId="0CFEA37E" w14:textId="77777777" w:rsidR="00A32066" w:rsidRPr="00A32066" w:rsidRDefault="00A32066" w:rsidP="00A32066">
            <w:r w:rsidRPr="00A32066">
              <w:t>7.1</w:t>
            </w:r>
          </w:p>
        </w:tc>
        <w:tc>
          <w:tcPr>
            <w:tcW w:w="0" w:type="auto"/>
            <w:tcBorders>
              <w:bottom w:val="single" w:sz="4" w:space="0" w:color="666666" w:themeColor="text1" w:themeTint="99"/>
            </w:tcBorders>
            <w:hideMark/>
          </w:tcPr>
          <w:p w14:paraId="1FD2D53E" w14:textId="77777777" w:rsidR="00A32066" w:rsidRPr="00A32066" w:rsidRDefault="00A32066" w:rsidP="00A32066">
            <w:r w:rsidRPr="00A32066">
              <w:t>-2.0</w:t>
            </w:r>
          </w:p>
        </w:tc>
        <w:tc>
          <w:tcPr>
            <w:tcW w:w="0" w:type="auto"/>
            <w:tcBorders>
              <w:bottom w:val="single" w:sz="4" w:space="0" w:color="666666" w:themeColor="text1" w:themeTint="99"/>
            </w:tcBorders>
            <w:hideMark/>
          </w:tcPr>
          <w:p w14:paraId="764B7566" w14:textId="77777777" w:rsidR="00A32066" w:rsidRPr="00A32066" w:rsidRDefault="00A32066" w:rsidP="00A32066">
            <w:r w:rsidRPr="00A32066">
              <w:t>-0.3</w:t>
            </w:r>
          </w:p>
        </w:tc>
        <w:tc>
          <w:tcPr>
            <w:tcW w:w="0" w:type="auto"/>
            <w:tcBorders>
              <w:bottom w:val="single" w:sz="4" w:space="0" w:color="666666" w:themeColor="text1" w:themeTint="99"/>
            </w:tcBorders>
            <w:hideMark/>
          </w:tcPr>
          <w:p w14:paraId="47E3CE01" w14:textId="77777777" w:rsidR="00A32066" w:rsidRPr="00A32066" w:rsidRDefault="00A32066" w:rsidP="00A32066">
            <w:r w:rsidRPr="00A32066">
              <w:t>0</w:t>
            </w:r>
          </w:p>
        </w:tc>
        <w:tc>
          <w:tcPr>
            <w:tcW w:w="0" w:type="auto"/>
            <w:tcBorders>
              <w:bottom w:val="single" w:sz="4" w:space="0" w:color="666666" w:themeColor="text1" w:themeTint="99"/>
            </w:tcBorders>
            <w:hideMark/>
          </w:tcPr>
          <w:p w14:paraId="0962D143" w14:textId="77777777" w:rsidR="00A32066" w:rsidRPr="00A32066" w:rsidRDefault="00A32066" w:rsidP="00A32066">
            <w:r w:rsidRPr="00A32066">
              <w:t>0</w:t>
            </w:r>
          </w:p>
        </w:tc>
        <w:tc>
          <w:tcPr>
            <w:tcW w:w="0" w:type="auto"/>
            <w:tcBorders>
              <w:bottom w:val="single" w:sz="4" w:space="0" w:color="666666" w:themeColor="text1" w:themeTint="99"/>
            </w:tcBorders>
            <w:hideMark/>
          </w:tcPr>
          <w:p w14:paraId="2F02A319" w14:textId="77777777" w:rsidR="00A32066" w:rsidRPr="00A32066" w:rsidRDefault="00A32066" w:rsidP="00A32066">
            <w:r w:rsidRPr="00A32066">
              <w:t>0.5</w:t>
            </w:r>
          </w:p>
        </w:tc>
        <w:tc>
          <w:tcPr>
            <w:tcW w:w="0" w:type="auto"/>
            <w:tcBorders>
              <w:bottom w:val="single" w:sz="4" w:space="0" w:color="666666" w:themeColor="text1" w:themeTint="99"/>
            </w:tcBorders>
            <w:hideMark/>
          </w:tcPr>
          <w:p w14:paraId="1337D2EC" w14:textId="77777777" w:rsidR="00A32066" w:rsidRPr="00A32066" w:rsidRDefault="00A32066" w:rsidP="00A32066">
            <w:r w:rsidRPr="00A32066">
              <w:t>1.3</w:t>
            </w:r>
          </w:p>
        </w:tc>
        <w:tc>
          <w:tcPr>
            <w:tcW w:w="0" w:type="auto"/>
            <w:tcBorders>
              <w:bottom w:val="single" w:sz="4" w:space="0" w:color="666666" w:themeColor="text1" w:themeTint="99"/>
            </w:tcBorders>
            <w:hideMark/>
          </w:tcPr>
          <w:p w14:paraId="5FA35D3B" w14:textId="77777777" w:rsidR="00A32066" w:rsidRPr="00A32066" w:rsidRDefault="00A32066" w:rsidP="00A32066">
            <w:r w:rsidRPr="00A32066">
              <w:t>2.3</w:t>
            </w:r>
          </w:p>
        </w:tc>
        <w:tc>
          <w:tcPr>
            <w:tcW w:w="0" w:type="auto"/>
            <w:tcBorders>
              <w:bottom w:val="single" w:sz="4" w:space="0" w:color="666666" w:themeColor="text1" w:themeTint="99"/>
            </w:tcBorders>
            <w:hideMark/>
          </w:tcPr>
          <w:p w14:paraId="193C94CD" w14:textId="77777777" w:rsidR="00A32066" w:rsidRPr="00A32066" w:rsidRDefault="00A32066" w:rsidP="00A32066">
            <w:r w:rsidRPr="00A32066">
              <w:t>3.7</w:t>
            </w:r>
          </w:p>
        </w:tc>
        <w:tc>
          <w:tcPr>
            <w:tcW w:w="0" w:type="auto"/>
            <w:tcBorders>
              <w:bottom w:val="single" w:sz="4" w:space="0" w:color="666666" w:themeColor="text1" w:themeTint="99"/>
            </w:tcBorders>
            <w:hideMark/>
          </w:tcPr>
          <w:p w14:paraId="44253352" w14:textId="77777777" w:rsidR="00A32066" w:rsidRPr="00A32066" w:rsidRDefault="00A32066" w:rsidP="00A32066">
            <w:r w:rsidRPr="00A32066">
              <w:t>4.9</w:t>
            </w:r>
          </w:p>
        </w:tc>
        <w:tc>
          <w:tcPr>
            <w:tcW w:w="0" w:type="auto"/>
            <w:tcBorders>
              <w:bottom w:val="single" w:sz="4" w:space="0" w:color="666666" w:themeColor="text1" w:themeTint="99"/>
            </w:tcBorders>
            <w:hideMark/>
          </w:tcPr>
          <w:p w14:paraId="622EA921" w14:textId="77777777" w:rsidR="00A32066" w:rsidRPr="00A32066" w:rsidRDefault="00A32066" w:rsidP="00A32066">
            <w:r w:rsidRPr="00A32066">
              <w:t>13.4</w:t>
            </w:r>
          </w:p>
        </w:tc>
        <w:tc>
          <w:tcPr>
            <w:tcW w:w="0" w:type="auto"/>
            <w:tcBorders>
              <w:bottom w:val="single" w:sz="4" w:space="0" w:color="666666" w:themeColor="text1" w:themeTint="99"/>
            </w:tcBorders>
            <w:hideMark/>
          </w:tcPr>
          <w:p w14:paraId="331B36BF" w14:textId="77777777" w:rsidR="00A32066" w:rsidRPr="00A32066" w:rsidRDefault="00A32066" w:rsidP="00A32066">
            <w:r w:rsidRPr="00A32066">
              <w:t>22.3</w:t>
            </w:r>
          </w:p>
        </w:tc>
        <w:tc>
          <w:tcPr>
            <w:tcW w:w="0" w:type="auto"/>
            <w:tcBorders>
              <w:bottom w:val="single" w:sz="4" w:space="0" w:color="666666" w:themeColor="text1" w:themeTint="99"/>
            </w:tcBorders>
            <w:hideMark/>
          </w:tcPr>
          <w:p w14:paraId="36101C79" w14:textId="77777777" w:rsidR="00A32066" w:rsidRPr="00A32066" w:rsidRDefault="00A32066" w:rsidP="00A32066">
            <w:r w:rsidRPr="00A32066">
              <w:t>395.0</w:t>
            </w:r>
          </w:p>
        </w:tc>
        <w:tc>
          <w:tcPr>
            <w:tcW w:w="0" w:type="auto"/>
            <w:tcBorders>
              <w:bottom w:val="single" w:sz="4" w:space="0" w:color="666666" w:themeColor="text1" w:themeTint="99"/>
            </w:tcBorders>
            <w:hideMark/>
          </w:tcPr>
          <w:p w14:paraId="232114B1" w14:textId="77777777" w:rsidR="00A32066" w:rsidRPr="00A32066" w:rsidRDefault="00A32066" w:rsidP="00A32066">
            <w:r w:rsidRPr="00A32066">
              <w:t>150012020</w:t>
            </w:r>
          </w:p>
        </w:tc>
      </w:tr>
    </w:tbl>
    <w:p w14:paraId="1F8F8A1F" w14:textId="2B211EA6" w:rsidR="0070346E" w:rsidRDefault="00A32066" w:rsidP="00A32066">
      <w:pPr>
        <w:spacing w:after="120"/>
      </w:pPr>
      <w:r w:rsidRPr="00A32066">
        <w:t>N.sites = number of sites; N.obs = number of observations; SD = standard deviation; min = minimum; p1, p5, p10, p25, p50, p90, p95, p98, p99 = 1st, 5th, 10th, 25th, 50th, 90th, 95th, 98th, 99th percentiles; max = maximum; max.site = AQS ID number for the monitoring site corresponding to the observation in the max column.</w:t>
      </w:r>
    </w:p>
    <w:p w14:paraId="3C491D3E" w14:textId="77777777" w:rsidR="00A32066" w:rsidRDefault="00A32066"/>
    <w:p w14:paraId="11B2F49D" w14:textId="60B28946" w:rsidR="00A32066" w:rsidRDefault="00A32066">
      <w:pPr>
        <w:sectPr w:rsidR="00A32066" w:rsidSect="0070346E">
          <w:pgSz w:w="15840" w:h="12240" w:orient="landscape"/>
          <w:pgMar w:top="720" w:right="720" w:bottom="720" w:left="720" w:header="720" w:footer="720" w:gutter="0"/>
          <w:cols w:space="720"/>
          <w:docGrid w:linePitch="360"/>
        </w:sectPr>
      </w:pPr>
    </w:p>
    <w:p w14:paraId="77634A8D" w14:textId="77777777" w:rsidR="00872B91" w:rsidRPr="00872B91" w:rsidRDefault="00872B91" w:rsidP="00872B91">
      <w:pPr>
        <w:spacing w:after="120"/>
      </w:pPr>
      <w:r w:rsidRPr="00872B91">
        <w:lastRenderedPageBreak/>
        <w:t>     Figure 5 below shows a map of the 1-hour SO</w:t>
      </w:r>
      <w:r w:rsidRPr="00872B91">
        <w:rPr>
          <w:vertAlign w:val="subscript"/>
        </w:rPr>
        <w:t>2</w:t>
      </w:r>
      <w:r w:rsidRPr="00872B91">
        <w:t> design values at U.S. ambient air monitoring sites based on data the 2019-2021 period. There were 15 sites with design values exceeding the NAAQS. The maximum design value was 376 ppb at a monitoring site near an industrial park in Missouri. The sites with design values exceeding the NAAQS in Hawaii are due to natural SO</w:t>
      </w:r>
      <w:r w:rsidRPr="00872B91">
        <w:rPr>
          <w:vertAlign w:val="subscript"/>
        </w:rPr>
        <w:t>2</w:t>
      </w:r>
      <w:r w:rsidRPr="00872B91">
        <w:t> emissions from recurring volcanic eruptions.</w:t>
      </w:r>
    </w:p>
    <w:p w14:paraId="372FE9BA" w14:textId="2756988C" w:rsidR="00872B91" w:rsidRDefault="00872B91" w:rsidP="00872B91">
      <w:pPr>
        <w:spacing w:after="120"/>
      </w:pPr>
      <w:r w:rsidRPr="00872B91">
        <w:rPr>
          <w:noProof/>
        </w:rPr>
        <w:drawing>
          <wp:inline distT="0" distB="0" distL="0" distR="0" wp14:anchorId="287DCB84" wp14:editId="3BCB5C3E">
            <wp:extent cx="6858000" cy="45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872B91">
        <w:t> </w:t>
      </w:r>
      <w:r w:rsidRPr="00872B91">
        <w:rPr>
          <w:b/>
          <w:bCs/>
        </w:rPr>
        <w:t>Figure 5:</w:t>
      </w:r>
      <w:r w:rsidRPr="00872B91">
        <w:t> SO</w:t>
      </w:r>
      <w:r w:rsidRPr="00872B91">
        <w:rPr>
          <w:vertAlign w:val="subscript"/>
        </w:rPr>
        <w:t>2</w:t>
      </w:r>
      <w:r w:rsidRPr="00872B91">
        <w:t> design values in ppb for the 2019-2021 period. </w:t>
      </w:r>
      <w:r w:rsidRPr="00872B91">
        <w:rPr>
          <w:b/>
          <w:bCs/>
        </w:rPr>
        <w:t>Source:</w:t>
      </w:r>
      <w:r w:rsidRPr="00872B91">
        <w:t> </w:t>
      </w:r>
      <w:hyperlink r:id="rId28" w:history="1">
        <w:r w:rsidRPr="00872B91">
          <w:rPr>
            <w:rStyle w:val="Hyperlink"/>
          </w:rPr>
          <w:t>AQS</w:t>
        </w:r>
      </w:hyperlink>
      <w:r w:rsidRPr="00872B91">
        <w:t>.</w:t>
      </w:r>
      <w:r>
        <w:br w:type="page"/>
      </w:r>
    </w:p>
    <w:p w14:paraId="44264AA1" w14:textId="77777777" w:rsidR="00872B91" w:rsidRPr="00872B91" w:rsidRDefault="00872B91" w:rsidP="00872B91">
      <w:pPr>
        <w:spacing w:after="120"/>
      </w:pPr>
      <w:r w:rsidRPr="00872B91">
        <w:lastRenderedPageBreak/>
        <w:t>     Figure 6 below shows a map of the site-level trends in the 1-hour SO</w:t>
      </w:r>
      <w:r w:rsidRPr="00872B91">
        <w:rPr>
          <w:vertAlign w:val="subscript"/>
        </w:rPr>
        <w:t>2</w:t>
      </w:r>
      <w:r w:rsidRPr="00872B91">
        <w:t> design values at U.S. monitoring sites having valid a design value in at least 15 of the 20 3-year periods from 2000 through 2021. The trends were computed using the Thiel-Sen estimator, and tests for significance (p-value &lt; 0.05) were computed using the Mann-Kendall test. From this figure it is apparent that SO</w:t>
      </w:r>
      <w:r w:rsidRPr="00872B91">
        <w:rPr>
          <w:vertAlign w:val="subscript"/>
        </w:rPr>
        <w:t>2</w:t>
      </w:r>
      <w:r w:rsidRPr="00872B91">
        <w:t> concentrations have been decreasing at nearly all sites in the U.S, and there were no sites with significant increasing trends.</w:t>
      </w:r>
    </w:p>
    <w:p w14:paraId="0C09D5F6" w14:textId="6E278990" w:rsidR="00872B91" w:rsidRDefault="00872B91" w:rsidP="00872B91">
      <w:pPr>
        <w:spacing w:after="120"/>
      </w:pPr>
      <w:r w:rsidRPr="00872B91">
        <w:rPr>
          <w:noProof/>
        </w:rPr>
        <w:drawing>
          <wp:inline distT="0" distB="0" distL="0" distR="0" wp14:anchorId="7CF561EA" wp14:editId="0DB19EA3">
            <wp:extent cx="68580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872B91">
        <w:t> </w:t>
      </w:r>
      <w:r w:rsidRPr="00872B91">
        <w:rPr>
          <w:b/>
          <w:bCs/>
        </w:rPr>
        <w:t>Figure 6:</w:t>
      </w:r>
      <w:r w:rsidRPr="00872B91">
        <w:t> Site-level trends in 1-hour SO</w:t>
      </w:r>
      <w:r w:rsidRPr="00872B91">
        <w:rPr>
          <w:vertAlign w:val="subscript"/>
        </w:rPr>
        <w:t>2</w:t>
      </w:r>
      <w:r w:rsidRPr="00872B91">
        <w:t> design values based on data from 2000 through 2021. </w:t>
      </w:r>
      <w:r w:rsidRPr="00872B91">
        <w:rPr>
          <w:b/>
          <w:bCs/>
        </w:rPr>
        <w:t>Source:</w:t>
      </w:r>
      <w:r w:rsidRPr="00872B91">
        <w:t> </w:t>
      </w:r>
      <w:hyperlink r:id="rId30" w:history="1">
        <w:r w:rsidRPr="00872B91">
          <w:rPr>
            <w:rStyle w:val="Hyperlink"/>
          </w:rPr>
          <w:t>AQS</w:t>
        </w:r>
      </w:hyperlink>
      <w:r w:rsidRPr="00872B91">
        <w:t>, trends computed using R statistical software.</w:t>
      </w:r>
      <w:r>
        <w:br w:type="page"/>
      </w:r>
    </w:p>
    <w:p w14:paraId="7061FF2D" w14:textId="77777777" w:rsidR="00872B91" w:rsidRPr="00872B91" w:rsidRDefault="00872B91" w:rsidP="00872B91">
      <w:pPr>
        <w:spacing w:after="120"/>
      </w:pPr>
      <w:r w:rsidRPr="00872B91">
        <w:lastRenderedPageBreak/>
        <w:t>     Figure 7 below shows the national trends in the 1-hour SO</w:t>
      </w:r>
      <w:r w:rsidRPr="00872B91">
        <w:rPr>
          <w:vertAlign w:val="subscript"/>
        </w:rPr>
        <w:t>2</w:t>
      </w:r>
      <w:r w:rsidRPr="00872B91">
        <w:t> design values based on the 175 sites shown in Figure 6. The national median of the design values has decreased by about 90% from 69 ppb in 2000 to 7 ppb in 2021.</w:t>
      </w:r>
    </w:p>
    <w:p w14:paraId="7A87661E" w14:textId="3A8B80BA" w:rsidR="00872B91" w:rsidRPr="00872B91" w:rsidRDefault="00872B91" w:rsidP="00872B91">
      <w:pPr>
        <w:spacing w:after="120"/>
      </w:pPr>
      <w:r w:rsidRPr="00872B91">
        <w:rPr>
          <w:noProof/>
        </w:rPr>
        <w:drawing>
          <wp:inline distT="0" distB="0" distL="0" distR="0" wp14:anchorId="6CBA3B7A" wp14:editId="467CBDD5">
            <wp:extent cx="68580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14:paraId="37658802" w14:textId="77A5CE0D" w:rsidR="00872B91" w:rsidRDefault="00872B91" w:rsidP="00872B91">
      <w:pPr>
        <w:spacing w:after="120"/>
      </w:pPr>
      <w:r w:rsidRPr="00872B91">
        <w:rPr>
          <w:b/>
          <w:bCs/>
        </w:rPr>
        <w:t>Figure 7:</w:t>
      </w:r>
      <w:r w:rsidRPr="00872B91">
        <w:t> National trends in SO</w:t>
      </w:r>
      <w:r w:rsidRPr="00872B91">
        <w:rPr>
          <w:vertAlign w:val="subscript"/>
        </w:rPr>
        <w:t>2</w:t>
      </w:r>
      <w:r w:rsidRPr="00872B91">
        <w:t> design values in ppb, 2000 to 2021. </w:t>
      </w:r>
      <w:r w:rsidRPr="00872B91">
        <w:rPr>
          <w:b/>
          <w:bCs/>
        </w:rPr>
        <w:t>Source:</w:t>
      </w:r>
      <w:r w:rsidRPr="00872B91">
        <w:t> </w:t>
      </w:r>
      <w:hyperlink r:id="rId32" w:history="1">
        <w:r w:rsidRPr="00872B91">
          <w:rPr>
            <w:rStyle w:val="Hyperlink"/>
          </w:rPr>
          <w:t>AQS</w:t>
        </w:r>
      </w:hyperlink>
      <w:r w:rsidRPr="00872B91">
        <w:t>.</w:t>
      </w:r>
      <w:r>
        <w:br w:type="page"/>
      </w:r>
    </w:p>
    <w:p w14:paraId="4D1F78FC" w14:textId="4A18A969" w:rsidR="00872B91" w:rsidRPr="00872B91" w:rsidRDefault="00872B91" w:rsidP="00872B91">
      <w:pPr>
        <w:spacing w:after="120"/>
      </w:pPr>
      <w:r w:rsidRPr="00872B91">
        <w:lastRenderedPageBreak/>
        <w:t>     Figure 8 below shows the national distribution of the annual 99th percentile MDA1 SO</w:t>
      </w:r>
      <w:r w:rsidRPr="00872B91">
        <w:rPr>
          <w:vertAlign w:val="subscript"/>
        </w:rPr>
        <w:t>2</w:t>
      </w:r>
      <w:r w:rsidRPr="00872B91">
        <w:t> concentrations reported in each year from 1980 to 2021.</w:t>
      </w:r>
      <w:hyperlink r:id="rId33" w:anchor="fn4" w:history="1">
        <w:r w:rsidR="004867EE" w:rsidRPr="004867EE">
          <w:rPr>
            <w:rStyle w:val="Hyperlink"/>
            <w:vertAlign w:val="superscript"/>
          </w:rPr>
          <w:t>4</w:t>
        </w:r>
      </w:hyperlink>
      <w:r w:rsidRPr="00872B91">
        <w:t> The red line shows the number of sites included in the boxplot for each year, and the high concentrations originating from the sites in Hawaii influenced by volcanic eruptions are marked with orange dots. The median annual 99th percentile MDA1 SO</w:t>
      </w:r>
      <w:r w:rsidRPr="00872B91">
        <w:rPr>
          <w:vertAlign w:val="subscript"/>
        </w:rPr>
        <w:t>2</w:t>
      </w:r>
      <w:r w:rsidRPr="00872B91">
        <w:t> concentration decreased by about 95 percent, from 130 ppb in 1980 to 6.7 ppb in 2021. While annual 99th percentile values as high as 2,000 ppb (2 ppm) were measured near some industrial sources in the 1980s, all of the 99th percentile concentration values above 500 ppb that have been reported since 2010 have come from sites in Hawaii that are influenced by volcanic eruptions. The SO</w:t>
      </w:r>
      <w:r w:rsidRPr="00872B91">
        <w:rPr>
          <w:vertAlign w:val="subscript"/>
        </w:rPr>
        <w:t>2</w:t>
      </w:r>
      <w:r w:rsidRPr="00872B91">
        <w:t> monitoring network grew quickly in the early 1980s, reaching a peak size of over 750 sites in 1984. Since then, the monitoring network has slowly decreased in size as many sites measuring low concentrations have been discontinued. There was a brief increase in the number of sites in 2017, as SO</w:t>
      </w:r>
      <w:r w:rsidRPr="00872B91">
        <w:rPr>
          <w:vertAlign w:val="subscript"/>
        </w:rPr>
        <w:t>2</w:t>
      </w:r>
      <w:r w:rsidRPr="00872B91">
        <w:t> monitors required through the DRR (see section 4 above for more information) came online. These additional sites were all located near major industrial sources of SO</w:t>
      </w:r>
      <w:r w:rsidRPr="00872B91">
        <w:rPr>
          <w:vertAlign w:val="subscript"/>
        </w:rPr>
        <w:t>2</w:t>
      </w:r>
      <w:r w:rsidRPr="00872B91">
        <w:t> and likely caused the slight increase in the median concentration observed in 2017.</w:t>
      </w:r>
    </w:p>
    <w:p w14:paraId="4B714798" w14:textId="7ABC284F" w:rsidR="00872B91" w:rsidRPr="00872B91" w:rsidRDefault="00872B91" w:rsidP="00872B91">
      <w:pPr>
        <w:spacing w:after="120"/>
      </w:pPr>
      <w:r w:rsidRPr="00872B91">
        <w:rPr>
          <w:noProof/>
        </w:rPr>
        <w:drawing>
          <wp:inline distT="0" distB="0" distL="0" distR="0" wp14:anchorId="3F889FB2" wp14:editId="61B613F0">
            <wp:extent cx="68580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872B91">
        <w:t> </w:t>
      </w:r>
      <w:r w:rsidRPr="00872B91">
        <w:rPr>
          <w:b/>
          <w:bCs/>
        </w:rPr>
        <w:t>Figure 8:</w:t>
      </w:r>
      <w:r w:rsidRPr="00872B91">
        <w:t> Distribution of annual 99th percentile MDA1 SO</w:t>
      </w:r>
      <w:r w:rsidRPr="00872B91">
        <w:rPr>
          <w:vertAlign w:val="subscript"/>
        </w:rPr>
        <w:t>2</w:t>
      </w:r>
      <w:r w:rsidRPr="00872B91">
        <w:t> concentrations measured at U.S. monitoring sites, 1980 to 2021. Boxes represent the median and interquartile range, whiskers extend to the 1st and 99th percentiles, and values outside this range are shown as circles.</w:t>
      </w:r>
      <w:hyperlink r:id="rId35" w:anchor="fn5" w:history="1">
        <w:r w:rsidR="004867EE" w:rsidRPr="004867EE">
          <w:rPr>
            <w:rStyle w:val="Hyperlink"/>
            <w:vertAlign w:val="superscript"/>
          </w:rPr>
          <w:t>5</w:t>
        </w:r>
      </w:hyperlink>
      <w:r w:rsidRPr="00872B91">
        <w:t xml:space="preserve"> The red line shows the number of SO</w:t>
      </w:r>
      <w:r w:rsidRPr="00872B91">
        <w:rPr>
          <w:vertAlign w:val="subscript"/>
        </w:rPr>
        <w:t>2</w:t>
      </w:r>
      <w:r w:rsidRPr="00872B91">
        <w:t> monitoring sites reporting data to EPA in each year. </w:t>
      </w:r>
      <w:r w:rsidRPr="00872B91">
        <w:rPr>
          <w:b/>
          <w:bCs/>
        </w:rPr>
        <w:t>Source:</w:t>
      </w:r>
      <w:r w:rsidRPr="00872B91">
        <w:t> </w:t>
      </w:r>
      <w:hyperlink r:id="rId36" w:history="1">
        <w:r w:rsidRPr="00872B91">
          <w:rPr>
            <w:rStyle w:val="Hyperlink"/>
          </w:rPr>
          <w:t>AQS</w:t>
        </w:r>
      </w:hyperlink>
      <w:r w:rsidRPr="00872B91">
        <w:t>.</w:t>
      </w:r>
    </w:p>
    <w:p w14:paraId="45928D96" w14:textId="224E822B" w:rsidR="00A32066" w:rsidRDefault="00A32066" w:rsidP="00743602">
      <w:pPr>
        <w:spacing w:after="120"/>
      </w:pPr>
    </w:p>
    <w:p w14:paraId="38E47AD2" w14:textId="3048A3E8" w:rsidR="00A32066" w:rsidRDefault="00A32066" w:rsidP="00743602">
      <w:pPr>
        <w:spacing w:after="120"/>
      </w:pPr>
    </w:p>
    <w:p w14:paraId="6DC4B80C" w14:textId="2ED58A1D" w:rsidR="00A32066" w:rsidRDefault="00A32066" w:rsidP="00743602">
      <w:pPr>
        <w:spacing w:after="120"/>
      </w:pPr>
    </w:p>
    <w:p w14:paraId="512047C9" w14:textId="5E6ECE46" w:rsidR="00A32066" w:rsidRDefault="00A32066" w:rsidP="00743602">
      <w:pPr>
        <w:spacing w:after="120"/>
      </w:pPr>
    </w:p>
    <w:p w14:paraId="5BEC2E9E" w14:textId="77777777" w:rsidR="00A32066" w:rsidRPr="00A32066" w:rsidRDefault="00A32066" w:rsidP="00743602">
      <w:pPr>
        <w:spacing w:after="120"/>
      </w:pPr>
    </w:p>
    <w:p w14:paraId="2BE2C713" w14:textId="77777777" w:rsidR="00A32066" w:rsidRPr="00872B91" w:rsidRDefault="00A32066" w:rsidP="00743602">
      <w:pPr>
        <w:spacing w:after="120"/>
        <w:rPr>
          <w:b/>
          <w:bCs/>
        </w:rPr>
      </w:pPr>
      <w:r w:rsidRPr="00872B91">
        <w:rPr>
          <w:b/>
          <w:bCs/>
        </w:rPr>
        <w:lastRenderedPageBreak/>
        <w:t>References</w:t>
      </w:r>
    </w:p>
    <w:p w14:paraId="35FBFDF8" w14:textId="77777777" w:rsidR="00A32066" w:rsidRPr="00A32066" w:rsidRDefault="00A32066" w:rsidP="00743602">
      <w:pPr>
        <w:spacing w:after="120"/>
      </w:pPr>
      <w:r w:rsidRPr="00A32066">
        <w:t>U.S. EPA. </w:t>
      </w:r>
      <w:hyperlink r:id="rId37" w:history="1">
        <w:r w:rsidRPr="00A32066">
          <w:rPr>
            <w:rStyle w:val="Hyperlink"/>
          </w:rPr>
          <w:t>Integrated Science Assessment for Sulfur Oxides - Health Criteria (Final Report, December 2017)</w:t>
        </w:r>
      </w:hyperlink>
      <w:r w:rsidRPr="00A32066">
        <w:t>. U.S. Environmental Protection Agency, Washington, DC, EPA/600/R-17/451, 2017.</w:t>
      </w:r>
    </w:p>
    <w:p w14:paraId="1F4AD34F" w14:textId="77777777" w:rsidR="00A32066" w:rsidRPr="00A32066" w:rsidRDefault="00A32066" w:rsidP="00743602">
      <w:pPr>
        <w:spacing w:after="120"/>
      </w:pPr>
      <w:r w:rsidRPr="00A32066">
        <w:t>U.S. EPA. </w:t>
      </w:r>
      <w:hyperlink r:id="rId38" w:history="1">
        <w:r w:rsidRPr="00A32066">
          <w:rPr>
            <w:rStyle w:val="Hyperlink"/>
          </w:rPr>
          <w:t>Policy Assessment for the Review of the Primary NAAQS for Sulfur Oxides (Final Report, May 2018)</w:t>
        </w:r>
      </w:hyperlink>
      <w:r w:rsidRPr="00A32066">
        <w:t>. U.S. Environmental Protection Agency, Research Triangle Park, NC, EPA-452/R-18-002, 2018.</w:t>
      </w:r>
    </w:p>
    <w:p w14:paraId="14994ABA" w14:textId="77777777" w:rsidR="00A32066" w:rsidRPr="00872B91" w:rsidRDefault="00A32066" w:rsidP="00743602">
      <w:pPr>
        <w:spacing w:after="120"/>
        <w:rPr>
          <w:b/>
          <w:bCs/>
        </w:rPr>
      </w:pPr>
      <w:r w:rsidRPr="00872B91">
        <w:rPr>
          <w:b/>
          <w:bCs/>
        </w:rPr>
        <w:t>Additional Resources</w:t>
      </w:r>
    </w:p>
    <w:p w14:paraId="57D490EB" w14:textId="77777777" w:rsidR="00A32066" w:rsidRPr="00A32066" w:rsidRDefault="00000000" w:rsidP="00743602">
      <w:pPr>
        <w:numPr>
          <w:ilvl w:val="0"/>
          <w:numId w:val="3"/>
        </w:numPr>
        <w:spacing w:after="120"/>
      </w:pPr>
      <w:hyperlink r:id="rId39" w:history="1">
        <w:r w:rsidR="00A32066" w:rsidRPr="00A32066">
          <w:rPr>
            <w:rStyle w:val="Hyperlink"/>
          </w:rPr>
          <w:t>Sulfur Dioxide (SO</w:t>
        </w:r>
        <w:r w:rsidR="00A32066" w:rsidRPr="00A32066">
          <w:rPr>
            <w:rStyle w:val="Hyperlink"/>
            <w:vertAlign w:val="subscript"/>
          </w:rPr>
          <w:t>2</w:t>
        </w:r>
        <w:r w:rsidR="00A32066" w:rsidRPr="00A32066">
          <w:rPr>
            <w:rStyle w:val="Hyperlink"/>
          </w:rPr>
          <w:t>) Pollution</w:t>
        </w:r>
      </w:hyperlink>
    </w:p>
    <w:p w14:paraId="10C86EED" w14:textId="77777777" w:rsidR="00A32066" w:rsidRPr="00A32066" w:rsidRDefault="00000000" w:rsidP="00743602">
      <w:pPr>
        <w:numPr>
          <w:ilvl w:val="0"/>
          <w:numId w:val="3"/>
        </w:numPr>
        <w:spacing w:after="120"/>
      </w:pPr>
      <w:hyperlink r:id="rId40" w:history="1">
        <w:r w:rsidR="00A32066" w:rsidRPr="00A32066">
          <w:rPr>
            <w:rStyle w:val="Hyperlink"/>
          </w:rPr>
          <w:t>Sulfur Dioxide (SO</w:t>
        </w:r>
        <w:r w:rsidR="00A32066" w:rsidRPr="00A32066">
          <w:rPr>
            <w:rStyle w:val="Hyperlink"/>
            <w:vertAlign w:val="subscript"/>
          </w:rPr>
          <w:t>2</w:t>
        </w:r>
        <w:r w:rsidR="00A32066" w:rsidRPr="00A32066">
          <w:rPr>
            <w:rStyle w:val="Hyperlink"/>
          </w:rPr>
          <w:t>) Primary Air Quality Standards</w:t>
        </w:r>
      </w:hyperlink>
    </w:p>
    <w:p w14:paraId="74542E9F" w14:textId="77777777" w:rsidR="00A32066" w:rsidRPr="00A32066" w:rsidRDefault="00000000" w:rsidP="00743602">
      <w:pPr>
        <w:numPr>
          <w:ilvl w:val="0"/>
          <w:numId w:val="3"/>
        </w:numPr>
        <w:spacing w:after="120"/>
      </w:pPr>
      <w:hyperlink r:id="rId41" w:history="1">
        <w:r w:rsidR="00A32066" w:rsidRPr="00A32066">
          <w:rPr>
            <w:rStyle w:val="Hyperlink"/>
          </w:rPr>
          <w:t>National Emissions Inventory (NEI)</w:t>
        </w:r>
      </w:hyperlink>
    </w:p>
    <w:p w14:paraId="5C8D7043" w14:textId="77777777" w:rsidR="00A32066" w:rsidRPr="00A32066" w:rsidRDefault="00000000" w:rsidP="00743602">
      <w:pPr>
        <w:numPr>
          <w:ilvl w:val="0"/>
          <w:numId w:val="3"/>
        </w:numPr>
        <w:spacing w:after="120"/>
      </w:pPr>
      <w:hyperlink r:id="rId42" w:history="1">
        <w:r w:rsidR="00A32066" w:rsidRPr="00A32066">
          <w:rPr>
            <w:rStyle w:val="Hyperlink"/>
          </w:rPr>
          <w:t>Ambient Monitoring Technology Information Center (AMTIC)</w:t>
        </w:r>
      </w:hyperlink>
    </w:p>
    <w:p w14:paraId="3918A6C3" w14:textId="77777777" w:rsidR="00A32066" w:rsidRPr="00A32066" w:rsidRDefault="00000000" w:rsidP="00743602">
      <w:pPr>
        <w:numPr>
          <w:ilvl w:val="0"/>
          <w:numId w:val="3"/>
        </w:numPr>
        <w:spacing w:after="120"/>
      </w:pPr>
      <w:hyperlink r:id="rId43" w:history="1">
        <w:r w:rsidR="00A32066" w:rsidRPr="00A32066">
          <w:rPr>
            <w:rStyle w:val="Hyperlink"/>
          </w:rPr>
          <w:t>Air Quality Design Values</w:t>
        </w:r>
      </w:hyperlink>
    </w:p>
    <w:p w14:paraId="01C25A50" w14:textId="77777777" w:rsidR="00A32066" w:rsidRPr="00A32066" w:rsidRDefault="00000000" w:rsidP="00743602">
      <w:pPr>
        <w:numPr>
          <w:ilvl w:val="0"/>
          <w:numId w:val="3"/>
        </w:numPr>
        <w:spacing w:after="120"/>
      </w:pPr>
      <w:hyperlink r:id="rId44" w:history="1">
        <w:r w:rsidR="00A32066" w:rsidRPr="00A32066">
          <w:rPr>
            <w:rStyle w:val="Hyperlink"/>
          </w:rPr>
          <w:t>National Air Quality: Status and Trends of Key Air Pollutants</w:t>
        </w:r>
      </w:hyperlink>
    </w:p>
    <w:p w14:paraId="180F6FE1" w14:textId="77777777" w:rsidR="00A32066" w:rsidRPr="00A32066" w:rsidRDefault="00000000" w:rsidP="00743602">
      <w:pPr>
        <w:numPr>
          <w:ilvl w:val="0"/>
          <w:numId w:val="3"/>
        </w:numPr>
        <w:spacing w:after="120"/>
      </w:pPr>
      <w:hyperlink r:id="rId45" w:history="1">
        <w:r w:rsidR="00A32066" w:rsidRPr="00A32066">
          <w:rPr>
            <w:rStyle w:val="Hyperlink"/>
          </w:rPr>
          <w:t>Air Data: Air Quality Data Collected at Outdoor Monitors Across the U.S.</w:t>
        </w:r>
      </w:hyperlink>
    </w:p>
    <w:p w14:paraId="62D14BAE" w14:textId="0EC53F6A" w:rsidR="001B1897" w:rsidRDefault="001B1897" w:rsidP="00743602">
      <w:pPr>
        <w:spacing w:after="120"/>
      </w:pPr>
    </w:p>
    <w:p w14:paraId="401E7B15" w14:textId="322DBB61" w:rsidR="00A32066" w:rsidRPr="00872B91" w:rsidRDefault="00A32066" w:rsidP="00743602">
      <w:pPr>
        <w:spacing w:after="120"/>
        <w:rPr>
          <w:b/>
          <w:bCs/>
        </w:rPr>
      </w:pPr>
      <w:r w:rsidRPr="00872B91">
        <w:rPr>
          <w:b/>
          <w:bCs/>
        </w:rPr>
        <w:t>Footnotes:</w:t>
      </w:r>
    </w:p>
    <w:p w14:paraId="3234D67F" w14:textId="77777777" w:rsidR="004867EE" w:rsidRPr="004867EE" w:rsidRDefault="004867EE" w:rsidP="004867EE">
      <w:pPr>
        <w:numPr>
          <w:ilvl w:val="0"/>
          <w:numId w:val="4"/>
        </w:numPr>
        <w:spacing w:after="120"/>
      </w:pPr>
      <w:r w:rsidRPr="004867EE">
        <w:t>Data for Figure 2 come from the EPA’s </w:t>
      </w:r>
      <w:hyperlink r:id="rId46" w:history="1">
        <w:r w:rsidRPr="004867EE">
          <w:rPr>
            <w:rStyle w:val="Hyperlink"/>
          </w:rPr>
          <w:t>Air Pollutant Emissions Trends Data</w:t>
        </w:r>
      </w:hyperlink>
      <w:r w:rsidRPr="004867EE">
        <w:t>. Note that emissions for some sectors are interpolated between inventory years, and the emissions for some sectors are held constant beyond the most recent inventory year (for details, see the “Development of Data” table in the </w:t>
      </w:r>
      <w:hyperlink r:id="rId47" w:history="1">
        <w:r w:rsidRPr="004867EE">
          <w:rPr>
            <w:rStyle w:val="Hyperlink"/>
          </w:rPr>
          <w:t>national emissions trends data file</w:t>
        </w:r>
      </w:hyperlink>
      <w:r w:rsidRPr="004867EE">
        <w:t>. For the purposes of this document, wildfires are considered to be natural emissions and thus are not included in Figure 2.</w:t>
      </w:r>
      <w:hyperlink r:id="rId48" w:anchor="fnref1" w:history="1">
        <w:r w:rsidRPr="004867EE">
          <w:rPr>
            <w:rStyle w:val="Hyperlink"/>
            <w:rFonts w:ascii="Cambria Math" w:hAnsi="Cambria Math" w:cs="Cambria Math"/>
          </w:rPr>
          <w:t>↩</w:t>
        </w:r>
        <w:r w:rsidRPr="004867EE">
          <w:rPr>
            <w:rStyle w:val="Hyperlink"/>
          </w:rPr>
          <w:t>︎</w:t>
        </w:r>
      </w:hyperlink>
    </w:p>
    <w:p w14:paraId="3015A167" w14:textId="77777777" w:rsidR="004867EE" w:rsidRPr="004867EE" w:rsidRDefault="004867EE" w:rsidP="004867EE">
      <w:pPr>
        <w:numPr>
          <w:ilvl w:val="0"/>
          <w:numId w:val="4"/>
        </w:numPr>
        <w:spacing w:after="120"/>
      </w:pPr>
      <w:r w:rsidRPr="004867EE">
        <w:t>Quality assurance requirements for monitors used in evaluations of the NAAQS are provided in </w:t>
      </w:r>
      <w:hyperlink r:id="rId49" w:history="1">
        <w:r w:rsidRPr="004867EE">
          <w:rPr>
            <w:rStyle w:val="Hyperlink"/>
          </w:rPr>
          <w:t>Appendix A to 40 CFR Part 58</w:t>
        </w:r>
      </w:hyperlink>
      <w:r w:rsidRPr="004867EE">
        <w:t>. Annual summary reports of precision and bias can be obtained for each monitoring site at the EPA’s </w:t>
      </w:r>
      <w:hyperlink r:id="rId50" w:history="1">
        <w:r w:rsidRPr="004867EE">
          <w:rPr>
            <w:rStyle w:val="Hyperlink"/>
          </w:rPr>
          <w:t>Air Data website</w:t>
        </w:r>
      </w:hyperlink>
      <w:r w:rsidRPr="004867EE">
        <w:t>.</w:t>
      </w:r>
      <w:hyperlink r:id="rId51" w:anchor="fnref2" w:history="1">
        <w:r w:rsidRPr="004867EE">
          <w:rPr>
            <w:rStyle w:val="Hyperlink"/>
            <w:rFonts w:ascii="Cambria Math" w:hAnsi="Cambria Math" w:cs="Cambria Math"/>
          </w:rPr>
          <w:t>↩</w:t>
        </w:r>
        <w:r w:rsidRPr="004867EE">
          <w:rPr>
            <w:rStyle w:val="Hyperlink"/>
          </w:rPr>
          <w:t>︎</w:t>
        </w:r>
      </w:hyperlink>
    </w:p>
    <w:p w14:paraId="48DDA909" w14:textId="77777777" w:rsidR="004867EE" w:rsidRPr="004867EE" w:rsidRDefault="004867EE" w:rsidP="004867EE">
      <w:pPr>
        <w:numPr>
          <w:ilvl w:val="0"/>
          <w:numId w:val="4"/>
        </w:numPr>
        <w:spacing w:after="120"/>
      </w:pPr>
      <w:r w:rsidRPr="004867EE">
        <w:t>Negative concentration values may appear in AQS datasets down to the negative of the lower detection limit (LDL) to allow for normal instrument variability at very low concentrations. Data that exceed the negative of the LDL is typically indicative of a malfunction or another issue that affects the data defensibility.</w:t>
      </w:r>
      <w:hyperlink r:id="rId52" w:anchor="fnref3" w:history="1">
        <w:r w:rsidRPr="004867EE">
          <w:rPr>
            <w:rStyle w:val="Hyperlink"/>
            <w:rFonts w:ascii="Cambria Math" w:hAnsi="Cambria Math" w:cs="Cambria Math"/>
          </w:rPr>
          <w:t>↩</w:t>
        </w:r>
        <w:r w:rsidRPr="004867EE">
          <w:rPr>
            <w:rStyle w:val="Hyperlink"/>
          </w:rPr>
          <w:t>︎</w:t>
        </w:r>
      </w:hyperlink>
    </w:p>
    <w:p w14:paraId="7AAA9615" w14:textId="77777777" w:rsidR="004867EE" w:rsidRPr="004867EE" w:rsidRDefault="004867EE" w:rsidP="004867EE">
      <w:pPr>
        <w:numPr>
          <w:ilvl w:val="0"/>
          <w:numId w:val="4"/>
        </w:numPr>
        <w:spacing w:after="120"/>
      </w:pPr>
      <w:r w:rsidRPr="004867EE">
        <w:t>For this analysis, the annual 99th percentile MDA1 SO</w:t>
      </w:r>
      <w:r w:rsidRPr="004867EE">
        <w:rPr>
          <w:vertAlign w:val="subscript"/>
        </w:rPr>
        <w:t>2</w:t>
      </w:r>
      <w:r w:rsidRPr="004867EE">
        <w:t> concentrations were retrieved from AQS for all U.S. sites for years that had at least 75% annual data completeness.</w:t>
      </w:r>
      <w:hyperlink r:id="rId53" w:anchor="fnref4" w:history="1">
        <w:r w:rsidRPr="004867EE">
          <w:rPr>
            <w:rStyle w:val="Hyperlink"/>
            <w:rFonts w:ascii="Cambria Math" w:hAnsi="Cambria Math" w:cs="Cambria Math"/>
          </w:rPr>
          <w:t>↩</w:t>
        </w:r>
        <w:r w:rsidRPr="004867EE">
          <w:rPr>
            <w:rStyle w:val="Hyperlink"/>
          </w:rPr>
          <w:t>︎</w:t>
        </w:r>
      </w:hyperlink>
    </w:p>
    <w:p w14:paraId="1F7A3F59" w14:textId="32CDC16C" w:rsidR="00A32066" w:rsidRDefault="004867EE" w:rsidP="004867EE">
      <w:pPr>
        <w:numPr>
          <w:ilvl w:val="0"/>
          <w:numId w:val="4"/>
        </w:numPr>
        <w:spacing w:after="120"/>
      </w:pPr>
      <w:r w:rsidRPr="004867EE">
        <w:t>In Figure 8, orange circles are used to represent measurements from sites on the big island of Hawaii, while blue circles are used to represent measurements from all other sites.</w:t>
      </w:r>
      <w:hyperlink r:id="rId54" w:anchor="fnref5" w:history="1">
        <w:r w:rsidRPr="004867EE">
          <w:rPr>
            <w:rStyle w:val="Hyperlink"/>
            <w:rFonts w:ascii="Cambria Math" w:hAnsi="Cambria Math" w:cs="Cambria Math"/>
          </w:rPr>
          <w:t>↩</w:t>
        </w:r>
        <w:r w:rsidRPr="004867EE">
          <w:rPr>
            <w:rStyle w:val="Hyperlink"/>
          </w:rPr>
          <w:t>︎</w:t>
        </w:r>
      </w:hyperlink>
    </w:p>
    <w:sectPr w:rsidR="00A32066" w:rsidSect="00A320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32CA1" w14:textId="77777777" w:rsidR="00D14296" w:rsidRDefault="00D14296" w:rsidP="00872B91">
      <w:pPr>
        <w:spacing w:after="0" w:line="240" w:lineRule="auto"/>
      </w:pPr>
      <w:r>
        <w:separator/>
      </w:r>
    </w:p>
  </w:endnote>
  <w:endnote w:type="continuationSeparator" w:id="0">
    <w:p w14:paraId="13C93705" w14:textId="77777777" w:rsidR="00D14296" w:rsidRDefault="00D14296" w:rsidP="0087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40868"/>
      <w:docPartObj>
        <w:docPartGallery w:val="Page Numbers (Bottom of Page)"/>
        <w:docPartUnique/>
      </w:docPartObj>
    </w:sdtPr>
    <w:sdtEndPr>
      <w:rPr>
        <w:noProof/>
      </w:rPr>
    </w:sdtEndPr>
    <w:sdtContent>
      <w:p w14:paraId="78E8AF18" w14:textId="6B368260" w:rsidR="00872B91" w:rsidRDefault="00872B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DCDE6" w14:textId="77777777" w:rsidR="00D14296" w:rsidRDefault="00D14296" w:rsidP="00872B91">
      <w:pPr>
        <w:spacing w:after="0" w:line="240" w:lineRule="auto"/>
      </w:pPr>
      <w:r>
        <w:separator/>
      </w:r>
    </w:p>
  </w:footnote>
  <w:footnote w:type="continuationSeparator" w:id="0">
    <w:p w14:paraId="7329C636" w14:textId="77777777" w:rsidR="00D14296" w:rsidRDefault="00D14296" w:rsidP="00872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75C43"/>
    <w:multiLevelType w:val="multilevel"/>
    <w:tmpl w:val="A03C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A4739"/>
    <w:multiLevelType w:val="multilevel"/>
    <w:tmpl w:val="1284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F071F"/>
    <w:multiLevelType w:val="multilevel"/>
    <w:tmpl w:val="A8CC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A3118"/>
    <w:multiLevelType w:val="multilevel"/>
    <w:tmpl w:val="50EE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53DA4"/>
    <w:multiLevelType w:val="multilevel"/>
    <w:tmpl w:val="FF340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3072E"/>
    <w:multiLevelType w:val="multilevel"/>
    <w:tmpl w:val="5A58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881269">
    <w:abstractNumId w:val="2"/>
  </w:num>
  <w:num w:numId="2" w16cid:durableId="869218897">
    <w:abstractNumId w:val="1"/>
  </w:num>
  <w:num w:numId="3" w16cid:durableId="1534264968">
    <w:abstractNumId w:val="5"/>
  </w:num>
  <w:num w:numId="4" w16cid:durableId="891386617">
    <w:abstractNumId w:val="4"/>
  </w:num>
  <w:num w:numId="5" w16cid:durableId="1033726471">
    <w:abstractNumId w:val="0"/>
  </w:num>
  <w:num w:numId="6" w16cid:durableId="1881360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6E"/>
    <w:rsid w:val="001B1897"/>
    <w:rsid w:val="003C48F1"/>
    <w:rsid w:val="004867EE"/>
    <w:rsid w:val="00531B6C"/>
    <w:rsid w:val="00623B69"/>
    <w:rsid w:val="0070346E"/>
    <w:rsid w:val="00743602"/>
    <w:rsid w:val="00872B91"/>
    <w:rsid w:val="00986C62"/>
    <w:rsid w:val="009F5D81"/>
    <w:rsid w:val="00A32066"/>
    <w:rsid w:val="00D14296"/>
    <w:rsid w:val="00D820BA"/>
    <w:rsid w:val="00E4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8B93"/>
  <w15:chartTrackingRefBased/>
  <w15:docId w15:val="{E6829DB6-49A8-4F93-80A9-1EB21A2F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72B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46E"/>
    <w:rPr>
      <w:color w:val="0563C1" w:themeColor="hyperlink"/>
      <w:u w:val="single"/>
    </w:rPr>
  </w:style>
  <w:style w:type="character" w:styleId="UnresolvedMention">
    <w:name w:val="Unresolved Mention"/>
    <w:basedOn w:val="DefaultParagraphFont"/>
    <w:uiPriority w:val="99"/>
    <w:semiHidden/>
    <w:unhideWhenUsed/>
    <w:rsid w:val="0070346E"/>
    <w:rPr>
      <w:color w:val="605E5C"/>
      <w:shd w:val="clear" w:color="auto" w:fill="E1DFDD"/>
    </w:rPr>
  </w:style>
  <w:style w:type="table" w:styleId="PlainTable2">
    <w:name w:val="Plain Table 2"/>
    <w:basedOn w:val="TableNormal"/>
    <w:uiPriority w:val="42"/>
    <w:rsid w:val="007034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A3206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872B9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7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91"/>
  </w:style>
  <w:style w:type="paragraph" w:styleId="Footer">
    <w:name w:val="footer"/>
    <w:basedOn w:val="Normal"/>
    <w:link w:val="FooterChar"/>
    <w:uiPriority w:val="99"/>
    <w:unhideWhenUsed/>
    <w:rsid w:val="0087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5286">
      <w:bodyDiv w:val="1"/>
      <w:marLeft w:val="0"/>
      <w:marRight w:val="0"/>
      <w:marTop w:val="0"/>
      <w:marBottom w:val="0"/>
      <w:divBdr>
        <w:top w:val="none" w:sz="0" w:space="0" w:color="auto"/>
        <w:left w:val="none" w:sz="0" w:space="0" w:color="auto"/>
        <w:bottom w:val="none" w:sz="0" w:space="0" w:color="auto"/>
        <w:right w:val="none" w:sz="0" w:space="0" w:color="auto"/>
      </w:divBdr>
      <w:divsChild>
        <w:div w:id="1359310751">
          <w:marLeft w:val="0"/>
          <w:marRight w:val="0"/>
          <w:marTop w:val="0"/>
          <w:marBottom w:val="0"/>
          <w:divBdr>
            <w:top w:val="none" w:sz="0" w:space="0" w:color="auto"/>
            <w:left w:val="none" w:sz="0" w:space="0" w:color="auto"/>
            <w:bottom w:val="none" w:sz="0" w:space="0" w:color="auto"/>
            <w:right w:val="none" w:sz="0" w:space="0" w:color="auto"/>
          </w:divBdr>
        </w:div>
        <w:div w:id="1124812655">
          <w:marLeft w:val="0"/>
          <w:marRight w:val="0"/>
          <w:marTop w:val="0"/>
          <w:marBottom w:val="0"/>
          <w:divBdr>
            <w:top w:val="none" w:sz="0" w:space="0" w:color="auto"/>
            <w:left w:val="none" w:sz="0" w:space="0" w:color="auto"/>
            <w:bottom w:val="none" w:sz="0" w:space="0" w:color="auto"/>
            <w:right w:val="none" w:sz="0" w:space="0" w:color="auto"/>
          </w:divBdr>
          <w:divsChild>
            <w:div w:id="1662076421">
              <w:marLeft w:val="0"/>
              <w:marRight w:val="0"/>
              <w:marTop w:val="0"/>
              <w:marBottom w:val="0"/>
              <w:divBdr>
                <w:top w:val="none" w:sz="0" w:space="0" w:color="auto"/>
                <w:left w:val="none" w:sz="0" w:space="0" w:color="auto"/>
                <w:bottom w:val="none" w:sz="0" w:space="0" w:color="auto"/>
                <w:right w:val="none" w:sz="0" w:space="0" w:color="auto"/>
              </w:divBdr>
            </w:div>
            <w:div w:id="1174030932">
              <w:marLeft w:val="0"/>
              <w:marRight w:val="0"/>
              <w:marTop w:val="0"/>
              <w:marBottom w:val="0"/>
              <w:divBdr>
                <w:top w:val="none" w:sz="0" w:space="0" w:color="auto"/>
                <w:left w:val="none" w:sz="0" w:space="0" w:color="auto"/>
                <w:bottom w:val="none" w:sz="0" w:space="0" w:color="auto"/>
                <w:right w:val="none" w:sz="0" w:space="0" w:color="auto"/>
              </w:divBdr>
            </w:div>
            <w:div w:id="134686397">
              <w:marLeft w:val="0"/>
              <w:marRight w:val="0"/>
              <w:marTop w:val="0"/>
              <w:marBottom w:val="0"/>
              <w:divBdr>
                <w:top w:val="none" w:sz="0" w:space="0" w:color="auto"/>
                <w:left w:val="none" w:sz="0" w:space="0" w:color="auto"/>
                <w:bottom w:val="none" w:sz="0" w:space="0" w:color="auto"/>
                <w:right w:val="none" w:sz="0" w:space="0" w:color="auto"/>
              </w:divBdr>
            </w:div>
            <w:div w:id="703671441">
              <w:marLeft w:val="0"/>
              <w:marRight w:val="0"/>
              <w:marTop w:val="0"/>
              <w:marBottom w:val="0"/>
              <w:divBdr>
                <w:top w:val="none" w:sz="0" w:space="0" w:color="auto"/>
                <w:left w:val="none" w:sz="0" w:space="0" w:color="auto"/>
                <w:bottom w:val="none" w:sz="0" w:space="0" w:color="auto"/>
                <w:right w:val="none" w:sz="0" w:space="0" w:color="auto"/>
              </w:divBdr>
            </w:div>
          </w:divsChild>
        </w:div>
        <w:div w:id="92825616">
          <w:marLeft w:val="0"/>
          <w:marRight w:val="0"/>
          <w:marTop w:val="0"/>
          <w:marBottom w:val="0"/>
          <w:divBdr>
            <w:top w:val="none" w:sz="0" w:space="0" w:color="auto"/>
            <w:left w:val="none" w:sz="0" w:space="0" w:color="auto"/>
            <w:bottom w:val="none" w:sz="0" w:space="0" w:color="auto"/>
            <w:right w:val="none" w:sz="0" w:space="0" w:color="auto"/>
          </w:divBdr>
          <w:divsChild>
            <w:div w:id="380060431">
              <w:marLeft w:val="0"/>
              <w:marRight w:val="0"/>
              <w:marTop w:val="0"/>
              <w:marBottom w:val="0"/>
              <w:divBdr>
                <w:top w:val="none" w:sz="0" w:space="0" w:color="auto"/>
                <w:left w:val="none" w:sz="0" w:space="0" w:color="auto"/>
                <w:bottom w:val="none" w:sz="0" w:space="0" w:color="auto"/>
                <w:right w:val="none" w:sz="0" w:space="0" w:color="auto"/>
              </w:divBdr>
            </w:div>
            <w:div w:id="917327408">
              <w:marLeft w:val="0"/>
              <w:marRight w:val="0"/>
              <w:marTop w:val="0"/>
              <w:marBottom w:val="0"/>
              <w:divBdr>
                <w:top w:val="none" w:sz="0" w:space="0" w:color="auto"/>
                <w:left w:val="none" w:sz="0" w:space="0" w:color="auto"/>
                <w:bottom w:val="none" w:sz="0" w:space="0" w:color="auto"/>
                <w:right w:val="none" w:sz="0" w:space="0" w:color="auto"/>
              </w:divBdr>
            </w:div>
            <w:div w:id="727533681">
              <w:marLeft w:val="0"/>
              <w:marRight w:val="0"/>
              <w:marTop w:val="0"/>
              <w:marBottom w:val="0"/>
              <w:divBdr>
                <w:top w:val="none" w:sz="0" w:space="0" w:color="auto"/>
                <w:left w:val="none" w:sz="0" w:space="0" w:color="auto"/>
                <w:bottom w:val="none" w:sz="0" w:space="0" w:color="auto"/>
                <w:right w:val="none" w:sz="0" w:space="0" w:color="auto"/>
              </w:divBdr>
            </w:div>
            <w:div w:id="775906058">
              <w:marLeft w:val="0"/>
              <w:marRight w:val="0"/>
              <w:marTop w:val="0"/>
              <w:marBottom w:val="0"/>
              <w:divBdr>
                <w:top w:val="none" w:sz="0" w:space="0" w:color="auto"/>
                <w:left w:val="none" w:sz="0" w:space="0" w:color="auto"/>
                <w:bottom w:val="none" w:sz="0" w:space="0" w:color="auto"/>
                <w:right w:val="none" w:sz="0" w:space="0" w:color="auto"/>
              </w:divBdr>
            </w:div>
            <w:div w:id="654452892">
              <w:marLeft w:val="0"/>
              <w:marRight w:val="0"/>
              <w:marTop w:val="0"/>
              <w:marBottom w:val="0"/>
              <w:divBdr>
                <w:top w:val="none" w:sz="0" w:space="0" w:color="auto"/>
                <w:left w:val="none" w:sz="0" w:space="0" w:color="auto"/>
                <w:bottom w:val="none" w:sz="0" w:space="0" w:color="auto"/>
                <w:right w:val="none" w:sz="0" w:space="0" w:color="auto"/>
              </w:divBdr>
            </w:div>
          </w:divsChild>
        </w:div>
        <w:div w:id="366220190">
          <w:marLeft w:val="0"/>
          <w:marRight w:val="0"/>
          <w:marTop w:val="0"/>
          <w:marBottom w:val="0"/>
          <w:divBdr>
            <w:top w:val="none" w:sz="0" w:space="0" w:color="auto"/>
            <w:left w:val="none" w:sz="0" w:space="0" w:color="auto"/>
            <w:bottom w:val="none" w:sz="0" w:space="0" w:color="auto"/>
            <w:right w:val="none" w:sz="0" w:space="0" w:color="auto"/>
          </w:divBdr>
          <w:divsChild>
            <w:div w:id="1643924153">
              <w:marLeft w:val="0"/>
              <w:marRight w:val="0"/>
              <w:marTop w:val="0"/>
              <w:marBottom w:val="0"/>
              <w:divBdr>
                <w:top w:val="none" w:sz="0" w:space="0" w:color="auto"/>
                <w:left w:val="none" w:sz="0" w:space="0" w:color="auto"/>
                <w:bottom w:val="none" w:sz="0" w:space="0" w:color="auto"/>
                <w:right w:val="none" w:sz="0" w:space="0" w:color="auto"/>
              </w:divBdr>
            </w:div>
            <w:div w:id="744109647">
              <w:marLeft w:val="0"/>
              <w:marRight w:val="0"/>
              <w:marTop w:val="0"/>
              <w:marBottom w:val="0"/>
              <w:divBdr>
                <w:top w:val="none" w:sz="0" w:space="0" w:color="auto"/>
                <w:left w:val="none" w:sz="0" w:space="0" w:color="auto"/>
                <w:bottom w:val="none" w:sz="0" w:space="0" w:color="auto"/>
                <w:right w:val="none" w:sz="0" w:space="0" w:color="auto"/>
              </w:divBdr>
            </w:div>
            <w:div w:id="300891061">
              <w:marLeft w:val="0"/>
              <w:marRight w:val="0"/>
              <w:marTop w:val="0"/>
              <w:marBottom w:val="0"/>
              <w:divBdr>
                <w:top w:val="none" w:sz="0" w:space="0" w:color="auto"/>
                <w:left w:val="none" w:sz="0" w:space="0" w:color="auto"/>
                <w:bottom w:val="none" w:sz="0" w:space="0" w:color="auto"/>
                <w:right w:val="none" w:sz="0" w:space="0" w:color="auto"/>
              </w:divBdr>
            </w:div>
            <w:div w:id="597952943">
              <w:marLeft w:val="0"/>
              <w:marRight w:val="0"/>
              <w:marTop w:val="0"/>
              <w:marBottom w:val="0"/>
              <w:divBdr>
                <w:top w:val="none" w:sz="0" w:space="0" w:color="auto"/>
                <w:left w:val="none" w:sz="0" w:space="0" w:color="auto"/>
                <w:bottom w:val="none" w:sz="0" w:space="0" w:color="auto"/>
                <w:right w:val="none" w:sz="0" w:space="0" w:color="auto"/>
              </w:divBdr>
            </w:div>
            <w:div w:id="421141800">
              <w:marLeft w:val="0"/>
              <w:marRight w:val="0"/>
              <w:marTop w:val="0"/>
              <w:marBottom w:val="0"/>
              <w:divBdr>
                <w:top w:val="none" w:sz="0" w:space="0" w:color="auto"/>
                <w:left w:val="none" w:sz="0" w:space="0" w:color="auto"/>
                <w:bottom w:val="none" w:sz="0" w:space="0" w:color="auto"/>
                <w:right w:val="none" w:sz="0" w:space="0" w:color="auto"/>
              </w:divBdr>
            </w:div>
            <w:div w:id="372077554">
              <w:marLeft w:val="0"/>
              <w:marRight w:val="0"/>
              <w:marTop w:val="0"/>
              <w:marBottom w:val="0"/>
              <w:divBdr>
                <w:top w:val="none" w:sz="0" w:space="0" w:color="auto"/>
                <w:left w:val="none" w:sz="0" w:space="0" w:color="auto"/>
                <w:bottom w:val="none" w:sz="0" w:space="0" w:color="auto"/>
                <w:right w:val="none" w:sz="0" w:space="0" w:color="auto"/>
              </w:divBdr>
            </w:div>
            <w:div w:id="614142864">
              <w:marLeft w:val="0"/>
              <w:marRight w:val="0"/>
              <w:marTop w:val="0"/>
              <w:marBottom w:val="0"/>
              <w:divBdr>
                <w:top w:val="none" w:sz="0" w:space="0" w:color="auto"/>
                <w:left w:val="none" w:sz="0" w:space="0" w:color="auto"/>
                <w:bottom w:val="none" w:sz="0" w:space="0" w:color="auto"/>
                <w:right w:val="none" w:sz="0" w:space="0" w:color="auto"/>
              </w:divBdr>
            </w:div>
          </w:divsChild>
        </w:div>
        <w:div w:id="1251163661">
          <w:marLeft w:val="0"/>
          <w:marRight w:val="0"/>
          <w:marTop w:val="0"/>
          <w:marBottom w:val="0"/>
          <w:divBdr>
            <w:top w:val="none" w:sz="0" w:space="0" w:color="auto"/>
            <w:left w:val="none" w:sz="0" w:space="0" w:color="auto"/>
            <w:bottom w:val="none" w:sz="0" w:space="0" w:color="auto"/>
            <w:right w:val="none" w:sz="0" w:space="0" w:color="auto"/>
          </w:divBdr>
          <w:divsChild>
            <w:div w:id="387218759">
              <w:marLeft w:val="0"/>
              <w:marRight w:val="0"/>
              <w:marTop w:val="0"/>
              <w:marBottom w:val="0"/>
              <w:divBdr>
                <w:top w:val="none" w:sz="0" w:space="0" w:color="auto"/>
                <w:left w:val="none" w:sz="0" w:space="0" w:color="auto"/>
                <w:bottom w:val="none" w:sz="0" w:space="0" w:color="auto"/>
                <w:right w:val="none" w:sz="0" w:space="0" w:color="auto"/>
              </w:divBdr>
            </w:div>
            <w:div w:id="1063870351">
              <w:marLeft w:val="0"/>
              <w:marRight w:val="0"/>
              <w:marTop w:val="0"/>
              <w:marBottom w:val="0"/>
              <w:divBdr>
                <w:top w:val="none" w:sz="0" w:space="0" w:color="auto"/>
                <w:left w:val="none" w:sz="0" w:space="0" w:color="auto"/>
                <w:bottom w:val="none" w:sz="0" w:space="0" w:color="auto"/>
                <w:right w:val="none" w:sz="0" w:space="0" w:color="auto"/>
              </w:divBdr>
            </w:div>
            <w:div w:id="605235682">
              <w:marLeft w:val="0"/>
              <w:marRight w:val="0"/>
              <w:marTop w:val="0"/>
              <w:marBottom w:val="0"/>
              <w:divBdr>
                <w:top w:val="none" w:sz="0" w:space="0" w:color="auto"/>
                <w:left w:val="none" w:sz="0" w:space="0" w:color="auto"/>
                <w:bottom w:val="none" w:sz="0" w:space="0" w:color="auto"/>
                <w:right w:val="none" w:sz="0" w:space="0" w:color="auto"/>
              </w:divBdr>
            </w:div>
            <w:div w:id="1516649948">
              <w:marLeft w:val="0"/>
              <w:marRight w:val="0"/>
              <w:marTop w:val="0"/>
              <w:marBottom w:val="0"/>
              <w:divBdr>
                <w:top w:val="none" w:sz="0" w:space="0" w:color="auto"/>
                <w:left w:val="none" w:sz="0" w:space="0" w:color="auto"/>
                <w:bottom w:val="none" w:sz="0" w:space="0" w:color="auto"/>
                <w:right w:val="none" w:sz="0" w:space="0" w:color="auto"/>
              </w:divBdr>
            </w:div>
          </w:divsChild>
        </w:div>
        <w:div w:id="1973747805">
          <w:marLeft w:val="0"/>
          <w:marRight w:val="0"/>
          <w:marTop w:val="0"/>
          <w:marBottom w:val="0"/>
          <w:divBdr>
            <w:top w:val="none" w:sz="0" w:space="0" w:color="auto"/>
            <w:left w:val="none" w:sz="0" w:space="0" w:color="auto"/>
            <w:bottom w:val="none" w:sz="0" w:space="0" w:color="auto"/>
            <w:right w:val="none" w:sz="0" w:space="0" w:color="auto"/>
          </w:divBdr>
          <w:divsChild>
            <w:div w:id="251938117">
              <w:marLeft w:val="0"/>
              <w:marRight w:val="0"/>
              <w:marTop w:val="0"/>
              <w:marBottom w:val="0"/>
              <w:divBdr>
                <w:top w:val="none" w:sz="0" w:space="0" w:color="auto"/>
                <w:left w:val="none" w:sz="0" w:space="0" w:color="auto"/>
                <w:bottom w:val="none" w:sz="0" w:space="0" w:color="auto"/>
                <w:right w:val="none" w:sz="0" w:space="0" w:color="auto"/>
              </w:divBdr>
            </w:div>
            <w:div w:id="2142453358">
              <w:marLeft w:val="0"/>
              <w:marRight w:val="0"/>
              <w:marTop w:val="0"/>
              <w:marBottom w:val="0"/>
              <w:divBdr>
                <w:top w:val="none" w:sz="0" w:space="0" w:color="auto"/>
                <w:left w:val="none" w:sz="0" w:space="0" w:color="auto"/>
                <w:bottom w:val="none" w:sz="0" w:space="0" w:color="auto"/>
                <w:right w:val="none" w:sz="0" w:space="0" w:color="auto"/>
              </w:divBdr>
            </w:div>
            <w:div w:id="450251549">
              <w:marLeft w:val="0"/>
              <w:marRight w:val="0"/>
              <w:marTop w:val="0"/>
              <w:marBottom w:val="0"/>
              <w:divBdr>
                <w:top w:val="none" w:sz="0" w:space="0" w:color="auto"/>
                <w:left w:val="none" w:sz="0" w:space="0" w:color="auto"/>
                <w:bottom w:val="none" w:sz="0" w:space="0" w:color="auto"/>
                <w:right w:val="none" w:sz="0" w:space="0" w:color="auto"/>
              </w:divBdr>
            </w:div>
            <w:div w:id="6866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2038">
      <w:bodyDiv w:val="1"/>
      <w:marLeft w:val="0"/>
      <w:marRight w:val="0"/>
      <w:marTop w:val="0"/>
      <w:marBottom w:val="0"/>
      <w:divBdr>
        <w:top w:val="none" w:sz="0" w:space="0" w:color="auto"/>
        <w:left w:val="none" w:sz="0" w:space="0" w:color="auto"/>
        <w:bottom w:val="none" w:sz="0" w:space="0" w:color="auto"/>
        <w:right w:val="none" w:sz="0" w:space="0" w:color="auto"/>
      </w:divBdr>
      <w:divsChild>
        <w:div w:id="1499882620">
          <w:marLeft w:val="0"/>
          <w:marRight w:val="0"/>
          <w:marTop w:val="0"/>
          <w:marBottom w:val="0"/>
          <w:divBdr>
            <w:top w:val="none" w:sz="0" w:space="0" w:color="auto"/>
            <w:left w:val="none" w:sz="0" w:space="0" w:color="auto"/>
            <w:bottom w:val="none" w:sz="0" w:space="0" w:color="auto"/>
            <w:right w:val="none" w:sz="0" w:space="0" w:color="auto"/>
          </w:divBdr>
        </w:div>
        <w:div w:id="542519577">
          <w:marLeft w:val="0"/>
          <w:marRight w:val="0"/>
          <w:marTop w:val="0"/>
          <w:marBottom w:val="0"/>
          <w:divBdr>
            <w:top w:val="none" w:sz="0" w:space="0" w:color="auto"/>
            <w:left w:val="none" w:sz="0" w:space="0" w:color="auto"/>
            <w:bottom w:val="none" w:sz="0" w:space="0" w:color="auto"/>
            <w:right w:val="none" w:sz="0" w:space="0" w:color="auto"/>
          </w:divBdr>
          <w:divsChild>
            <w:div w:id="158806">
              <w:marLeft w:val="0"/>
              <w:marRight w:val="0"/>
              <w:marTop w:val="0"/>
              <w:marBottom w:val="0"/>
              <w:divBdr>
                <w:top w:val="none" w:sz="0" w:space="0" w:color="auto"/>
                <w:left w:val="none" w:sz="0" w:space="0" w:color="auto"/>
                <w:bottom w:val="none" w:sz="0" w:space="0" w:color="auto"/>
                <w:right w:val="none" w:sz="0" w:space="0" w:color="auto"/>
              </w:divBdr>
            </w:div>
            <w:div w:id="1396128195">
              <w:marLeft w:val="0"/>
              <w:marRight w:val="0"/>
              <w:marTop w:val="0"/>
              <w:marBottom w:val="0"/>
              <w:divBdr>
                <w:top w:val="none" w:sz="0" w:space="0" w:color="auto"/>
                <w:left w:val="none" w:sz="0" w:space="0" w:color="auto"/>
                <w:bottom w:val="none" w:sz="0" w:space="0" w:color="auto"/>
                <w:right w:val="none" w:sz="0" w:space="0" w:color="auto"/>
              </w:divBdr>
            </w:div>
            <w:div w:id="210193792">
              <w:marLeft w:val="0"/>
              <w:marRight w:val="0"/>
              <w:marTop w:val="0"/>
              <w:marBottom w:val="0"/>
              <w:divBdr>
                <w:top w:val="none" w:sz="0" w:space="0" w:color="auto"/>
                <w:left w:val="none" w:sz="0" w:space="0" w:color="auto"/>
                <w:bottom w:val="none" w:sz="0" w:space="0" w:color="auto"/>
                <w:right w:val="none" w:sz="0" w:space="0" w:color="auto"/>
              </w:divBdr>
            </w:div>
            <w:div w:id="1022049398">
              <w:marLeft w:val="0"/>
              <w:marRight w:val="0"/>
              <w:marTop w:val="0"/>
              <w:marBottom w:val="0"/>
              <w:divBdr>
                <w:top w:val="none" w:sz="0" w:space="0" w:color="auto"/>
                <w:left w:val="none" w:sz="0" w:space="0" w:color="auto"/>
                <w:bottom w:val="none" w:sz="0" w:space="0" w:color="auto"/>
                <w:right w:val="none" w:sz="0" w:space="0" w:color="auto"/>
              </w:divBdr>
            </w:div>
          </w:divsChild>
        </w:div>
        <w:div w:id="1986735274">
          <w:marLeft w:val="0"/>
          <w:marRight w:val="0"/>
          <w:marTop w:val="0"/>
          <w:marBottom w:val="0"/>
          <w:divBdr>
            <w:top w:val="none" w:sz="0" w:space="0" w:color="auto"/>
            <w:left w:val="none" w:sz="0" w:space="0" w:color="auto"/>
            <w:bottom w:val="none" w:sz="0" w:space="0" w:color="auto"/>
            <w:right w:val="none" w:sz="0" w:space="0" w:color="auto"/>
          </w:divBdr>
          <w:divsChild>
            <w:div w:id="278341173">
              <w:marLeft w:val="0"/>
              <w:marRight w:val="0"/>
              <w:marTop w:val="0"/>
              <w:marBottom w:val="0"/>
              <w:divBdr>
                <w:top w:val="none" w:sz="0" w:space="0" w:color="auto"/>
                <w:left w:val="none" w:sz="0" w:space="0" w:color="auto"/>
                <w:bottom w:val="none" w:sz="0" w:space="0" w:color="auto"/>
                <w:right w:val="none" w:sz="0" w:space="0" w:color="auto"/>
              </w:divBdr>
            </w:div>
            <w:div w:id="1369263490">
              <w:marLeft w:val="0"/>
              <w:marRight w:val="0"/>
              <w:marTop w:val="0"/>
              <w:marBottom w:val="0"/>
              <w:divBdr>
                <w:top w:val="none" w:sz="0" w:space="0" w:color="auto"/>
                <w:left w:val="none" w:sz="0" w:space="0" w:color="auto"/>
                <w:bottom w:val="none" w:sz="0" w:space="0" w:color="auto"/>
                <w:right w:val="none" w:sz="0" w:space="0" w:color="auto"/>
              </w:divBdr>
            </w:div>
            <w:div w:id="590314566">
              <w:marLeft w:val="0"/>
              <w:marRight w:val="0"/>
              <w:marTop w:val="0"/>
              <w:marBottom w:val="0"/>
              <w:divBdr>
                <w:top w:val="none" w:sz="0" w:space="0" w:color="auto"/>
                <w:left w:val="none" w:sz="0" w:space="0" w:color="auto"/>
                <w:bottom w:val="none" w:sz="0" w:space="0" w:color="auto"/>
                <w:right w:val="none" w:sz="0" w:space="0" w:color="auto"/>
              </w:divBdr>
            </w:div>
            <w:div w:id="1039546772">
              <w:marLeft w:val="0"/>
              <w:marRight w:val="0"/>
              <w:marTop w:val="0"/>
              <w:marBottom w:val="0"/>
              <w:divBdr>
                <w:top w:val="none" w:sz="0" w:space="0" w:color="auto"/>
                <w:left w:val="none" w:sz="0" w:space="0" w:color="auto"/>
                <w:bottom w:val="none" w:sz="0" w:space="0" w:color="auto"/>
                <w:right w:val="none" w:sz="0" w:space="0" w:color="auto"/>
              </w:divBdr>
            </w:div>
            <w:div w:id="1939218761">
              <w:marLeft w:val="0"/>
              <w:marRight w:val="0"/>
              <w:marTop w:val="0"/>
              <w:marBottom w:val="0"/>
              <w:divBdr>
                <w:top w:val="none" w:sz="0" w:space="0" w:color="auto"/>
                <w:left w:val="none" w:sz="0" w:space="0" w:color="auto"/>
                <w:bottom w:val="none" w:sz="0" w:space="0" w:color="auto"/>
                <w:right w:val="none" w:sz="0" w:space="0" w:color="auto"/>
              </w:divBdr>
            </w:div>
          </w:divsChild>
        </w:div>
        <w:div w:id="851653373">
          <w:marLeft w:val="0"/>
          <w:marRight w:val="0"/>
          <w:marTop w:val="0"/>
          <w:marBottom w:val="0"/>
          <w:divBdr>
            <w:top w:val="none" w:sz="0" w:space="0" w:color="auto"/>
            <w:left w:val="none" w:sz="0" w:space="0" w:color="auto"/>
            <w:bottom w:val="none" w:sz="0" w:space="0" w:color="auto"/>
            <w:right w:val="none" w:sz="0" w:space="0" w:color="auto"/>
          </w:divBdr>
          <w:divsChild>
            <w:div w:id="50422452">
              <w:marLeft w:val="0"/>
              <w:marRight w:val="0"/>
              <w:marTop w:val="0"/>
              <w:marBottom w:val="0"/>
              <w:divBdr>
                <w:top w:val="none" w:sz="0" w:space="0" w:color="auto"/>
                <w:left w:val="none" w:sz="0" w:space="0" w:color="auto"/>
                <w:bottom w:val="none" w:sz="0" w:space="0" w:color="auto"/>
                <w:right w:val="none" w:sz="0" w:space="0" w:color="auto"/>
              </w:divBdr>
            </w:div>
            <w:div w:id="661592456">
              <w:marLeft w:val="0"/>
              <w:marRight w:val="0"/>
              <w:marTop w:val="0"/>
              <w:marBottom w:val="0"/>
              <w:divBdr>
                <w:top w:val="none" w:sz="0" w:space="0" w:color="auto"/>
                <w:left w:val="none" w:sz="0" w:space="0" w:color="auto"/>
                <w:bottom w:val="none" w:sz="0" w:space="0" w:color="auto"/>
                <w:right w:val="none" w:sz="0" w:space="0" w:color="auto"/>
              </w:divBdr>
            </w:div>
            <w:div w:id="84882668">
              <w:marLeft w:val="0"/>
              <w:marRight w:val="0"/>
              <w:marTop w:val="0"/>
              <w:marBottom w:val="0"/>
              <w:divBdr>
                <w:top w:val="none" w:sz="0" w:space="0" w:color="auto"/>
                <w:left w:val="none" w:sz="0" w:space="0" w:color="auto"/>
                <w:bottom w:val="none" w:sz="0" w:space="0" w:color="auto"/>
                <w:right w:val="none" w:sz="0" w:space="0" w:color="auto"/>
              </w:divBdr>
            </w:div>
            <w:div w:id="1635865903">
              <w:marLeft w:val="0"/>
              <w:marRight w:val="0"/>
              <w:marTop w:val="0"/>
              <w:marBottom w:val="0"/>
              <w:divBdr>
                <w:top w:val="none" w:sz="0" w:space="0" w:color="auto"/>
                <w:left w:val="none" w:sz="0" w:space="0" w:color="auto"/>
                <w:bottom w:val="none" w:sz="0" w:space="0" w:color="auto"/>
                <w:right w:val="none" w:sz="0" w:space="0" w:color="auto"/>
              </w:divBdr>
            </w:div>
            <w:div w:id="231353769">
              <w:marLeft w:val="0"/>
              <w:marRight w:val="0"/>
              <w:marTop w:val="0"/>
              <w:marBottom w:val="0"/>
              <w:divBdr>
                <w:top w:val="none" w:sz="0" w:space="0" w:color="auto"/>
                <w:left w:val="none" w:sz="0" w:space="0" w:color="auto"/>
                <w:bottom w:val="none" w:sz="0" w:space="0" w:color="auto"/>
                <w:right w:val="none" w:sz="0" w:space="0" w:color="auto"/>
              </w:divBdr>
            </w:div>
            <w:div w:id="1378701445">
              <w:marLeft w:val="0"/>
              <w:marRight w:val="0"/>
              <w:marTop w:val="0"/>
              <w:marBottom w:val="0"/>
              <w:divBdr>
                <w:top w:val="none" w:sz="0" w:space="0" w:color="auto"/>
                <w:left w:val="none" w:sz="0" w:space="0" w:color="auto"/>
                <w:bottom w:val="none" w:sz="0" w:space="0" w:color="auto"/>
                <w:right w:val="none" w:sz="0" w:space="0" w:color="auto"/>
              </w:divBdr>
            </w:div>
            <w:div w:id="521281366">
              <w:marLeft w:val="0"/>
              <w:marRight w:val="0"/>
              <w:marTop w:val="0"/>
              <w:marBottom w:val="0"/>
              <w:divBdr>
                <w:top w:val="none" w:sz="0" w:space="0" w:color="auto"/>
                <w:left w:val="none" w:sz="0" w:space="0" w:color="auto"/>
                <w:bottom w:val="none" w:sz="0" w:space="0" w:color="auto"/>
                <w:right w:val="none" w:sz="0" w:space="0" w:color="auto"/>
              </w:divBdr>
            </w:div>
          </w:divsChild>
        </w:div>
        <w:div w:id="1020740331">
          <w:marLeft w:val="0"/>
          <w:marRight w:val="0"/>
          <w:marTop w:val="0"/>
          <w:marBottom w:val="0"/>
          <w:divBdr>
            <w:top w:val="none" w:sz="0" w:space="0" w:color="auto"/>
            <w:left w:val="none" w:sz="0" w:space="0" w:color="auto"/>
            <w:bottom w:val="none" w:sz="0" w:space="0" w:color="auto"/>
            <w:right w:val="none" w:sz="0" w:space="0" w:color="auto"/>
          </w:divBdr>
          <w:divsChild>
            <w:div w:id="981888356">
              <w:marLeft w:val="0"/>
              <w:marRight w:val="0"/>
              <w:marTop w:val="0"/>
              <w:marBottom w:val="0"/>
              <w:divBdr>
                <w:top w:val="none" w:sz="0" w:space="0" w:color="auto"/>
                <w:left w:val="none" w:sz="0" w:space="0" w:color="auto"/>
                <w:bottom w:val="none" w:sz="0" w:space="0" w:color="auto"/>
                <w:right w:val="none" w:sz="0" w:space="0" w:color="auto"/>
              </w:divBdr>
            </w:div>
            <w:div w:id="1344088419">
              <w:marLeft w:val="0"/>
              <w:marRight w:val="0"/>
              <w:marTop w:val="0"/>
              <w:marBottom w:val="0"/>
              <w:divBdr>
                <w:top w:val="none" w:sz="0" w:space="0" w:color="auto"/>
                <w:left w:val="none" w:sz="0" w:space="0" w:color="auto"/>
                <w:bottom w:val="none" w:sz="0" w:space="0" w:color="auto"/>
                <w:right w:val="none" w:sz="0" w:space="0" w:color="auto"/>
              </w:divBdr>
            </w:div>
            <w:div w:id="1315111048">
              <w:marLeft w:val="0"/>
              <w:marRight w:val="0"/>
              <w:marTop w:val="0"/>
              <w:marBottom w:val="0"/>
              <w:divBdr>
                <w:top w:val="none" w:sz="0" w:space="0" w:color="auto"/>
                <w:left w:val="none" w:sz="0" w:space="0" w:color="auto"/>
                <w:bottom w:val="none" w:sz="0" w:space="0" w:color="auto"/>
                <w:right w:val="none" w:sz="0" w:space="0" w:color="auto"/>
              </w:divBdr>
            </w:div>
            <w:div w:id="1778451007">
              <w:marLeft w:val="0"/>
              <w:marRight w:val="0"/>
              <w:marTop w:val="0"/>
              <w:marBottom w:val="0"/>
              <w:divBdr>
                <w:top w:val="none" w:sz="0" w:space="0" w:color="auto"/>
                <w:left w:val="none" w:sz="0" w:space="0" w:color="auto"/>
                <w:bottom w:val="none" w:sz="0" w:space="0" w:color="auto"/>
                <w:right w:val="none" w:sz="0" w:space="0" w:color="auto"/>
              </w:divBdr>
            </w:div>
          </w:divsChild>
        </w:div>
        <w:div w:id="1913074906">
          <w:marLeft w:val="0"/>
          <w:marRight w:val="0"/>
          <w:marTop w:val="0"/>
          <w:marBottom w:val="0"/>
          <w:divBdr>
            <w:top w:val="none" w:sz="0" w:space="0" w:color="auto"/>
            <w:left w:val="none" w:sz="0" w:space="0" w:color="auto"/>
            <w:bottom w:val="none" w:sz="0" w:space="0" w:color="auto"/>
            <w:right w:val="none" w:sz="0" w:space="0" w:color="auto"/>
          </w:divBdr>
          <w:divsChild>
            <w:div w:id="1183667366">
              <w:marLeft w:val="0"/>
              <w:marRight w:val="0"/>
              <w:marTop w:val="0"/>
              <w:marBottom w:val="0"/>
              <w:divBdr>
                <w:top w:val="none" w:sz="0" w:space="0" w:color="auto"/>
                <w:left w:val="none" w:sz="0" w:space="0" w:color="auto"/>
                <w:bottom w:val="none" w:sz="0" w:space="0" w:color="auto"/>
                <w:right w:val="none" w:sz="0" w:space="0" w:color="auto"/>
              </w:divBdr>
            </w:div>
            <w:div w:id="151600230">
              <w:marLeft w:val="0"/>
              <w:marRight w:val="0"/>
              <w:marTop w:val="0"/>
              <w:marBottom w:val="0"/>
              <w:divBdr>
                <w:top w:val="none" w:sz="0" w:space="0" w:color="auto"/>
                <w:left w:val="none" w:sz="0" w:space="0" w:color="auto"/>
                <w:bottom w:val="none" w:sz="0" w:space="0" w:color="auto"/>
                <w:right w:val="none" w:sz="0" w:space="0" w:color="auto"/>
              </w:divBdr>
            </w:div>
            <w:div w:id="538706006">
              <w:marLeft w:val="0"/>
              <w:marRight w:val="0"/>
              <w:marTop w:val="0"/>
              <w:marBottom w:val="0"/>
              <w:divBdr>
                <w:top w:val="none" w:sz="0" w:space="0" w:color="auto"/>
                <w:left w:val="none" w:sz="0" w:space="0" w:color="auto"/>
                <w:bottom w:val="none" w:sz="0" w:space="0" w:color="auto"/>
                <w:right w:val="none" w:sz="0" w:space="0" w:color="auto"/>
              </w:divBdr>
            </w:div>
            <w:div w:id="1847742843">
              <w:marLeft w:val="0"/>
              <w:marRight w:val="0"/>
              <w:marTop w:val="0"/>
              <w:marBottom w:val="0"/>
              <w:divBdr>
                <w:top w:val="none" w:sz="0" w:space="0" w:color="auto"/>
                <w:left w:val="none" w:sz="0" w:space="0" w:color="auto"/>
                <w:bottom w:val="none" w:sz="0" w:space="0" w:color="auto"/>
                <w:right w:val="none" w:sz="0" w:space="0" w:color="auto"/>
              </w:divBdr>
            </w:div>
          </w:divsChild>
        </w:div>
        <w:div w:id="773743196">
          <w:marLeft w:val="0"/>
          <w:marRight w:val="0"/>
          <w:marTop w:val="0"/>
          <w:marBottom w:val="0"/>
          <w:divBdr>
            <w:top w:val="none" w:sz="0" w:space="0" w:color="auto"/>
            <w:left w:val="none" w:sz="0" w:space="0" w:color="auto"/>
            <w:bottom w:val="none" w:sz="0" w:space="0" w:color="auto"/>
            <w:right w:val="none" w:sz="0" w:space="0" w:color="auto"/>
          </w:divBdr>
        </w:div>
      </w:divsChild>
    </w:div>
    <w:div w:id="196090536">
      <w:bodyDiv w:val="1"/>
      <w:marLeft w:val="0"/>
      <w:marRight w:val="0"/>
      <w:marTop w:val="0"/>
      <w:marBottom w:val="0"/>
      <w:divBdr>
        <w:top w:val="none" w:sz="0" w:space="0" w:color="auto"/>
        <w:left w:val="none" w:sz="0" w:space="0" w:color="auto"/>
        <w:bottom w:val="none" w:sz="0" w:space="0" w:color="auto"/>
        <w:right w:val="none" w:sz="0" w:space="0" w:color="auto"/>
      </w:divBdr>
      <w:divsChild>
        <w:div w:id="1452359948">
          <w:marLeft w:val="0"/>
          <w:marRight w:val="0"/>
          <w:marTop w:val="0"/>
          <w:marBottom w:val="0"/>
          <w:divBdr>
            <w:top w:val="none" w:sz="0" w:space="0" w:color="auto"/>
            <w:left w:val="none" w:sz="0" w:space="0" w:color="auto"/>
            <w:bottom w:val="none" w:sz="0" w:space="0" w:color="auto"/>
            <w:right w:val="none" w:sz="0" w:space="0" w:color="auto"/>
          </w:divBdr>
        </w:div>
      </w:divsChild>
    </w:div>
    <w:div w:id="220867462">
      <w:bodyDiv w:val="1"/>
      <w:marLeft w:val="0"/>
      <w:marRight w:val="0"/>
      <w:marTop w:val="0"/>
      <w:marBottom w:val="0"/>
      <w:divBdr>
        <w:top w:val="none" w:sz="0" w:space="0" w:color="auto"/>
        <w:left w:val="none" w:sz="0" w:space="0" w:color="auto"/>
        <w:bottom w:val="none" w:sz="0" w:space="0" w:color="auto"/>
        <w:right w:val="none" w:sz="0" w:space="0" w:color="auto"/>
      </w:divBdr>
      <w:divsChild>
        <w:div w:id="1644264611">
          <w:marLeft w:val="0"/>
          <w:marRight w:val="0"/>
          <w:marTop w:val="0"/>
          <w:marBottom w:val="0"/>
          <w:divBdr>
            <w:top w:val="none" w:sz="0" w:space="0" w:color="auto"/>
            <w:left w:val="none" w:sz="0" w:space="0" w:color="auto"/>
            <w:bottom w:val="none" w:sz="0" w:space="0" w:color="auto"/>
            <w:right w:val="none" w:sz="0" w:space="0" w:color="auto"/>
          </w:divBdr>
        </w:div>
        <w:div w:id="1131365269">
          <w:marLeft w:val="0"/>
          <w:marRight w:val="0"/>
          <w:marTop w:val="0"/>
          <w:marBottom w:val="0"/>
          <w:divBdr>
            <w:top w:val="none" w:sz="0" w:space="0" w:color="auto"/>
            <w:left w:val="none" w:sz="0" w:space="0" w:color="auto"/>
            <w:bottom w:val="none" w:sz="0" w:space="0" w:color="auto"/>
            <w:right w:val="none" w:sz="0" w:space="0" w:color="auto"/>
          </w:divBdr>
          <w:divsChild>
            <w:div w:id="885067538">
              <w:marLeft w:val="0"/>
              <w:marRight w:val="0"/>
              <w:marTop w:val="0"/>
              <w:marBottom w:val="0"/>
              <w:divBdr>
                <w:top w:val="none" w:sz="0" w:space="0" w:color="auto"/>
                <w:left w:val="none" w:sz="0" w:space="0" w:color="auto"/>
                <w:bottom w:val="none" w:sz="0" w:space="0" w:color="auto"/>
                <w:right w:val="none" w:sz="0" w:space="0" w:color="auto"/>
              </w:divBdr>
            </w:div>
            <w:div w:id="694044774">
              <w:marLeft w:val="0"/>
              <w:marRight w:val="0"/>
              <w:marTop w:val="0"/>
              <w:marBottom w:val="0"/>
              <w:divBdr>
                <w:top w:val="none" w:sz="0" w:space="0" w:color="auto"/>
                <w:left w:val="none" w:sz="0" w:space="0" w:color="auto"/>
                <w:bottom w:val="none" w:sz="0" w:space="0" w:color="auto"/>
                <w:right w:val="none" w:sz="0" w:space="0" w:color="auto"/>
              </w:divBdr>
            </w:div>
            <w:div w:id="216938238">
              <w:marLeft w:val="0"/>
              <w:marRight w:val="0"/>
              <w:marTop w:val="0"/>
              <w:marBottom w:val="0"/>
              <w:divBdr>
                <w:top w:val="none" w:sz="0" w:space="0" w:color="auto"/>
                <w:left w:val="none" w:sz="0" w:space="0" w:color="auto"/>
                <w:bottom w:val="none" w:sz="0" w:space="0" w:color="auto"/>
                <w:right w:val="none" w:sz="0" w:space="0" w:color="auto"/>
              </w:divBdr>
            </w:div>
            <w:div w:id="1124887144">
              <w:marLeft w:val="0"/>
              <w:marRight w:val="0"/>
              <w:marTop w:val="0"/>
              <w:marBottom w:val="0"/>
              <w:divBdr>
                <w:top w:val="none" w:sz="0" w:space="0" w:color="auto"/>
                <w:left w:val="none" w:sz="0" w:space="0" w:color="auto"/>
                <w:bottom w:val="none" w:sz="0" w:space="0" w:color="auto"/>
                <w:right w:val="none" w:sz="0" w:space="0" w:color="auto"/>
              </w:divBdr>
            </w:div>
          </w:divsChild>
        </w:div>
        <w:div w:id="668558175">
          <w:marLeft w:val="0"/>
          <w:marRight w:val="0"/>
          <w:marTop w:val="0"/>
          <w:marBottom w:val="0"/>
          <w:divBdr>
            <w:top w:val="none" w:sz="0" w:space="0" w:color="auto"/>
            <w:left w:val="none" w:sz="0" w:space="0" w:color="auto"/>
            <w:bottom w:val="none" w:sz="0" w:space="0" w:color="auto"/>
            <w:right w:val="none" w:sz="0" w:space="0" w:color="auto"/>
          </w:divBdr>
          <w:divsChild>
            <w:div w:id="1102650817">
              <w:marLeft w:val="0"/>
              <w:marRight w:val="0"/>
              <w:marTop w:val="0"/>
              <w:marBottom w:val="0"/>
              <w:divBdr>
                <w:top w:val="none" w:sz="0" w:space="0" w:color="auto"/>
                <w:left w:val="none" w:sz="0" w:space="0" w:color="auto"/>
                <w:bottom w:val="none" w:sz="0" w:space="0" w:color="auto"/>
                <w:right w:val="none" w:sz="0" w:space="0" w:color="auto"/>
              </w:divBdr>
            </w:div>
            <w:div w:id="11610829">
              <w:marLeft w:val="0"/>
              <w:marRight w:val="0"/>
              <w:marTop w:val="0"/>
              <w:marBottom w:val="0"/>
              <w:divBdr>
                <w:top w:val="none" w:sz="0" w:space="0" w:color="auto"/>
                <w:left w:val="none" w:sz="0" w:space="0" w:color="auto"/>
                <w:bottom w:val="none" w:sz="0" w:space="0" w:color="auto"/>
                <w:right w:val="none" w:sz="0" w:space="0" w:color="auto"/>
              </w:divBdr>
            </w:div>
            <w:div w:id="509219377">
              <w:marLeft w:val="0"/>
              <w:marRight w:val="0"/>
              <w:marTop w:val="0"/>
              <w:marBottom w:val="0"/>
              <w:divBdr>
                <w:top w:val="none" w:sz="0" w:space="0" w:color="auto"/>
                <w:left w:val="none" w:sz="0" w:space="0" w:color="auto"/>
                <w:bottom w:val="none" w:sz="0" w:space="0" w:color="auto"/>
                <w:right w:val="none" w:sz="0" w:space="0" w:color="auto"/>
              </w:divBdr>
            </w:div>
            <w:div w:id="20278759">
              <w:marLeft w:val="0"/>
              <w:marRight w:val="0"/>
              <w:marTop w:val="0"/>
              <w:marBottom w:val="0"/>
              <w:divBdr>
                <w:top w:val="none" w:sz="0" w:space="0" w:color="auto"/>
                <w:left w:val="none" w:sz="0" w:space="0" w:color="auto"/>
                <w:bottom w:val="none" w:sz="0" w:space="0" w:color="auto"/>
                <w:right w:val="none" w:sz="0" w:space="0" w:color="auto"/>
              </w:divBdr>
            </w:div>
            <w:div w:id="1927764602">
              <w:marLeft w:val="0"/>
              <w:marRight w:val="0"/>
              <w:marTop w:val="0"/>
              <w:marBottom w:val="0"/>
              <w:divBdr>
                <w:top w:val="none" w:sz="0" w:space="0" w:color="auto"/>
                <w:left w:val="none" w:sz="0" w:space="0" w:color="auto"/>
                <w:bottom w:val="none" w:sz="0" w:space="0" w:color="auto"/>
                <w:right w:val="none" w:sz="0" w:space="0" w:color="auto"/>
              </w:divBdr>
            </w:div>
          </w:divsChild>
        </w:div>
        <w:div w:id="1775829678">
          <w:marLeft w:val="0"/>
          <w:marRight w:val="0"/>
          <w:marTop w:val="0"/>
          <w:marBottom w:val="0"/>
          <w:divBdr>
            <w:top w:val="none" w:sz="0" w:space="0" w:color="auto"/>
            <w:left w:val="none" w:sz="0" w:space="0" w:color="auto"/>
            <w:bottom w:val="none" w:sz="0" w:space="0" w:color="auto"/>
            <w:right w:val="none" w:sz="0" w:space="0" w:color="auto"/>
          </w:divBdr>
          <w:divsChild>
            <w:div w:id="1513181922">
              <w:marLeft w:val="0"/>
              <w:marRight w:val="0"/>
              <w:marTop w:val="0"/>
              <w:marBottom w:val="0"/>
              <w:divBdr>
                <w:top w:val="none" w:sz="0" w:space="0" w:color="auto"/>
                <w:left w:val="none" w:sz="0" w:space="0" w:color="auto"/>
                <w:bottom w:val="none" w:sz="0" w:space="0" w:color="auto"/>
                <w:right w:val="none" w:sz="0" w:space="0" w:color="auto"/>
              </w:divBdr>
            </w:div>
            <w:div w:id="968169336">
              <w:marLeft w:val="0"/>
              <w:marRight w:val="0"/>
              <w:marTop w:val="0"/>
              <w:marBottom w:val="0"/>
              <w:divBdr>
                <w:top w:val="none" w:sz="0" w:space="0" w:color="auto"/>
                <w:left w:val="none" w:sz="0" w:space="0" w:color="auto"/>
                <w:bottom w:val="none" w:sz="0" w:space="0" w:color="auto"/>
                <w:right w:val="none" w:sz="0" w:space="0" w:color="auto"/>
              </w:divBdr>
            </w:div>
            <w:div w:id="1607350203">
              <w:marLeft w:val="0"/>
              <w:marRight w:val="0"/>
              <w:marTop w:val="0"/>
              <w:marBottom w:val="0"/>
              <w:divBdr>
                <w:top w:val="none" w:sz="0" w:space="0" w:color="auto"/>
                <w:left w:val="none" w:sz="0" w:space="0" w:color="auto"/>
                <w:bottom w:val="none" w:sz="0" w:space="0" w:color="auto"/>
                <w:right w:val="none" w:sz="0" w:space="0" w:color="auto"/>
              </w:divBdr>
            </w:div>
            <w:div w:id="203102284">
              <w:marLeft w:val="0"/>
              <w:marRight w:val="0"/>
              <w:marTop w:val="0"/>
              <w:marBottom w:val="0"/>
              <w:divBdr>
                <w:top w:val="none" w:sz="0" w:space="0" w:color="auto"/>
                <w:left w:val="none" w:sz="0" w:space="0" w:color="auto"/>
                <w:bottom w:val="none" w:sz="0" w:space="0" w:color="auto"/>
                <w:right w:val="none" w:sz="0" w:space="0" w:color="auto"/>
              </w:divBdr>
            </w:div>
            <w:div w:id="639918108">
              <w:marLeft w:val="0"/>
              <w:marRight w:val="0"/>
              <w:marTop w:val="0"/>
              <w:marBottom w:val="0"/>
              <w:divBdr>
                <w:top w:val="none" w:sz="0" w:space="0" w:color="auto"/>
                <w:left w:val="none" w:sz="0" w:space="0" w:color="auto"/>
                <w:bottom w:val="none" w:sz="0" w:space="0" w:color="auto"/>
                <w:right w:val="none" w:sz="0" w:space="0" w:color="auto"/>
              </w:divBdr>
            </w:div>
            <w:div w:id="1104959580">
              <w:marLeft w:val="0"/>
              <w:marRight w:val="0"/>
              <w:marTop w:val="0"/>
              <w:marBottom w:val="0"/>
              <w:divBdr>
                <w:top w:val="none" w:sz="0" w:space="0" w:color="auto"/>
                <w:left w:val="none" w:sz="0" w:space="0" w:color="auto"/>
                <w:bottom w:val="none" w:sz="0" w:space="0" w:color="auto"/>
                <w:right w:val="none" w:sz="0" w:space="0" w:color="auto"/>
              </w:divBdr>
            </w:div>
            <w:div w:id="1945573927">
              <w:marLeft w:val="0"/>
              <w:marRight w:val="0"/>
              <w:marTop w:val="0"/>
              <w:marBottom w:val="0"/>
              <w:divBdr>
                <w:top w:val="none" w:sz="0" w:space="0" w:color="auto"/>
                <w:left w:val="none" w:sz="0" w:space="0" w:color="auto"/>
                <w:bottom w:val="none" w:sz="0" w:space="0" w:color="auto"/>
                <w:right w:val="none" w:sz="0" w:space="0" w:color="auto"/>
              </w:divBdr>
            </w:div>
          </w:divsChild>
        </w:div>
        <w:div w:id="352078869">
          <w:marLeft w:val="0"/>
          <w:marRight w:val="0"/>
          <w:marTop w:val="0"/>
          <w:marBottom w:val="0"/>
          <w:divBdr>
            <w:top w:val="none" w:sz="0" w:space="0" w:color="auto"/>
            <w:left w:val="none" w:sz="0" w:space="0" w:color="auto"/>
            <w:bottom w:val="none" w:sz="0" w:space="0" w:color="auto"/>
            <w:right w:val="none" w:sz="0" w:space="0" w:color="auto"/>
          </w:divBdr>
          <w:divsChild>
            <w:div w:id="1123770134">
              <w:marLeft w:val="0"/>
              <w:marRight w:val="0"/>
              <w:marTop w:val="0"/>
              <w:marBottom w:val="0"/>
              <w:divBdr>
                <w:top w:val="none" w:sz="0" w:space="0" w:color="auto"/>
                <w:left w:val="none" w:sz="0" w:space="0" w:color="auto"/>
                <w:bottom w:val="none" w:sz="0" w:space="0" w:color="auto"/>
                <w:right w:val="none" w:sz="0" w:space="0" w:color="auto"/>
              </w:divBdr>
            </w:div>
            <w:div w:id="1614511679">
              <w:marLeft w:val="0"/>
              <w:marRight w:val="0"/>
              <w:marTop w:val="0"/>
              <w:marBottom w:val="0"/>
              <w:divBdr>
                <w:top w:val="none" w:sz="0" w:space="0" w:color="auto"/>
                <w:left w:val="none" w:sz="0" w:space="0" w:color="auto"/>
                <w:bottom w:val="none" w:sz="0" w:space="0" w:color="auto"/>
                <w:right w:val="none" w:sz="0" w:space="0" w:color="auto"/>
              </w:divBdr>
            </w:div>
            <w:div w:id="1998339220">
              <w:marLeft w:val="0"/>
              <w:marRight w:val="0"/>
              <w:marTop w:val="0"/>
              <w:marBottom w:val="0"/>
              <w:divBdr>
                <w:top w:val="none" w:sz="0" w:space="0" w:color="auto"/>
                <w:left w:val="none" w:sz="0" w:space="0" w:color="auto"/>
                <w:bottom w:val="none" w:sz="0" w:space="0" w:color="auto"/>
                <w:right w:val="none" w:sz="0" w:space="0" w:color="auto"/>
              </w:divBdr>
            </w:div>
            <w:div w:id="388456735">
              <w:marLeft w:val="0"/>
              <w:marRight w:val="0"/>
              <w:marTop w:val="0"/>
              <w:marBottom w:val="0"/>
              <w:divBdr>
                <w:top w:val="none" w:sz="0" w:space="0" w:color="auto"/>
                <w:left w:val="none" w:sz="0" w:space="0" w:color="auto"/>
                <w:bottom w:val="none" w:sz="0" w:space="0" w:color="auto"/>
                <w:right w:val="none" w:sz="0" w:space="0" w:color="auto"/>
              </w:divBdr>
            </w:div>
          </w:divsChild>
        </w:div>
        <w:div w:id="375396761">
          <w:marLeft w:val="0"/>
          <w:marRight w:val="0"/>
          <w:marTop w:val="0"/>
          <w:marBottom w:val="0"/>
          <w:divBdr>
            <w:top w:val="none" w:sz="0" w:space="0" w:color="auto"/>
            <w:left w:val="none" w:sz="0" w:space="0" w:color="auto"/>
            <w:bottom w:val="none" w:sz="0" w:space="0" w:color="auto"/>
            <w:right w:val="none" w:sz="0" w:space="0" w:color="auto"/>
          </w:divBdr>
          <w:divsChild>
            <w:div w:id="1532257816">
              <w:marLeft w:val="0"/>
              <w:marRight w:val="0"/>
              <w:marTop w:val="0"/>
              <w:marBottom w:val="0"/>
              <w:divBdr>
                <w:top w:val="none" w:sz="0" w:space="0" w:color="auto"/>
                <w:left w:val="none" w:sz="0" w:space="0" w:color="auto"/>
                <w:bottom w:val="none" w:sz="0" w:space="0" w:color="auto"/>
                <w:right w:val="none" w:sz="0" w:space="0" w:color="auto"/>
              </w:divBdr>
            </w:div>
            <w:div w:id="1501654154">
              <w:marLeft w:val="0"/>
              <w:marRight w:val="0"/>
              <w:marTop w:val="0"/>
              <w:marBottom w:val="0"/>
              <w:divBdr>
                <w:top w:val="none" w:sz="0" w:space="0" w:color="auto"/>
                <w:left w:val="none" w:sz="0" w:space="0" w:color="auto"/>
                <w:bottom w:val="none" w:sz="0" w:space="0" w:color="auto"/>
                <w:right w:val="none" w:sz="0" w:space="0" w:color="auto"/>
              </w:divBdr>
            </w:div>
            <w:div w:id="43599556">
              <w:marLeft w:val="0"/>
              <w:marRight w:val="0"/>
              <w:marTop w:val="0"/>
              <w:marBottom w:val="0"/>
              <w:divBdr>
                <w:top w:val="none" w:sz="0" w:space="0" w:color="auto"/>
                <w:left w:val="none" w:sz="0" w:space="0" w:color="auto"/>
                <w:bottom w:val="none" w:sz="0" w:space="0" w:color="auto"/>
                <w:right w:val="none" w:sz="0" w:space="0" w:color="auto"/>
              </w:divBdr>
            </w:div>
            <w:div w:id="17723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098">
      <w:bodyDiv w:val="1"/>
      <w:marLeft w:val="0"/>
      <w:marRight w:val="0"/>
      <w:marTop w:val="0"/>
      <w:marBottom w:val="0"/>
      <w:divBdr>
        <w:top w:val="none" w:sz="0" w:space="0" w:color="auto"/>
        <w:left w:val="none" w:sz="0" w:space="0" w:color="auto"/>
        <w:bottom w:val="none" w:sz="0" w:space="0" w:color="auto"/>
        <w:right w:val="none" w:sz="0" w:space="0" w:color="auto"/>
      </w:divBdr>
      <w:divsChild>
        <w:div w:id="1687248182">
          <w:marLeft w:val="0"/>
          <w:marRight w:val="0"/>
          <w:marTop w:val="0"/>
          <w:marBottom w:val="0"/>
          <w:divBdr>
            <w:top w:val="none" w:sz="0" w:space="0" w:color="auto"/>
            <w:left w:val="none" w:sz="0" w:space="0" w:color="auto"/>
            <w:bottom w:val="none" w:sz="0" w:space="0" w:color="auto"/>
            <w:right w:val="none" w:sz="0" w:space="0" w:color="auto"/>
          </w:divBdr>
          <w:divsChild>
            <w:div w:id="5400843">
              <w:marLeft w:val="0"/>
              <w:marRight w:val="0"/>
              <w:marTop w:val="0"/>
              <w:marBottom w:val="0"/>
              <w:divBdr>
                <w:top w:val="none" w:sz="0" w:space="0" w:color="auto"/>
                <w:left w:val="none" w:sz="0" w:space="0" w:color="auto"/>
                <w:bottom w:val="none" w:sz="0" w:space="0" w:color="auto"/>
                <w:right w:val="none" w:sz="0" w:space="0" w:color="auto"/>
              </w:divBdr>
            </w:div>
            <w:div w:id="48235510">
              <w:marLeft w:val="0"/>
              <w:marRight w:val="0"/>
              <w:marTop w:val="0"/>
              <w:marBottom w:val="0"/>
              <w:divBdr>
                <w:top w:val="none" w:sz="0" w:space="0" w:color="auto"/>
                <w:left w:val="none" w:sz="0" w:space="0" w:color="auto"/>
                <w:bottom w:val="none" w:sz="0" w:space="0" w:color="auto"/>
                <w:right w:val="none" w:sz="0" w:space="0" w:color="auto"/>
              </w:divBdr>
            </w:div>
            <w:div w:id="1920166078">
              <w:marLeft w:val="0"/>
              <w:marRight w:val="0"/>
              <w:marTop w:val="0"/>
              <w:marBottom w:val="0"/>
              <w:divBdr>
                <w:top w:val="none" w:sz="0" w:space="0" w:color="auto"/>
                <w:left w:val="none" w:sz="0" w:space="0" w:color="auto"/>
                <w:bottom w:val="none" w:sz="0" w:space="0" w:color="auto"/>
                <w:right w:val="none" w:sz="0" w:space="0" w:color="auto"/>
              </w:divBdr>
            </w:div>
            <w:div w:id="1794516260">
              <w:marLeft w:val="0"/>
              <w:marRight w:val="0"/>
              <w:marTop w:val="0"/>
              <w:marBottom w:val="0"/>
              <w:divBdr>
                <w:top w:val="none" w:sz="0" w:space="0" w:color="auto"/>
                <w:left w:val="none" w:sz="0" w:space="0" w:color="auto"/>
                <w:bottom w:val="none" w:sz="0" w:space="0" w:color="auto"/>
                <w:right w:val="none" w:sz="0" w:space="0" w:color="auto"/>
              </w:divBdr>
            </w:div>
          </w:divsChild>
        </w:div>
        <w:div w:id="311763697">
          <w:marLeft w:val="0"/>
          <w:marRight w:val="0"/>
          <w:marTop w:val="0"/>
          <w:marBottom w:val="0"/>
          <w:divBdr>
            <w:top w:val="none" w:sz="0" w:space="0" w:color="auto"/>
            <w:left w:val="none" w:sz="0" w:space="0" w:color="auto"/>
            <w:bottom w:val="none" w:sz="0" w:space="0" w:color="auto"/>
            <w:right w:val="none" w:sz="0" w:space="0" w:color="auto"/>
          </w:divBdr>
        </w:div>
        <w:div w:id="96416582">
          <w:marLeft w:val="0"/>
          <w:marRight w:val="0"/>
          <w:marTop w:val="0"/>
          <w:marBottom w:val="0"/>
          <w:divBdr>
            <w:top w:val="none" w:sz="0" w:space="0" w:color="auto"/>
            <w:left w:val="none" w:sz="0" w:space="0" w:color="auto"/>
            <w:bottom w:val="none" w:sz="0" w:space="0" w:color="auto"/>
            <w:right w:val="none" w:sz="0" w:space="0" w:color="auto"/>
          </w:divBdr>
        </w:div>
      </w:divsChild>
    </w:div>
    <w:div w:id="327098502">
      <w:bodyDiv w:val="1"/>
      <w:marLeft w:val="0"/>
      <w:marRight w:val="0"/>
      <w:marTop w:val="0"/>
      <w:marBottom w:val="0"/>
      <w:divBdr>
        <w:top w:val="none" w:sz="0" w:space="0" w:color="auto"/>
        <w:left w:val="none" w:sz="0" w:space="0" w:color="auto"/>
        <w:bottom w:val="none" w:sz="0" w:space="0" w:color="auto"/>
        <w:right w:val="none" w:sz="0" w:space="0" w:color="auto"/>
      </w:divBdr>
      <w:divsChild>
        <w:div w:id="1629430662">
          <w:marLeft w:val="0"/>
          <w:marRight w:val="0"/>
          <w:marTop w:val="0"/>
          <w:marBottom w:val="0"/>
          <w:divBdr>
            <w:top w:val="none" w:sz="0" w:space="0" w:color="auto"/>
            <w:left w:val="none" w:sz="0" w:space="0" w:color="auto"/>
            <w:bottom w:val="none" w:sz="0" w:space="0" w:color="auto"/>
            <w:right w:val="none" w:sz="0" w:space="0" w:color="auto"/>
          </w:divBdr>
        </w:div>
        <w:div w:id="2086681772">
          <w:marLeft w:val="0"/>
          <w:marRight w:val="0"/>
          <w:marTop w:val="0"/>
          <w:marBottom w:val="0"/>
          <w:divBdr>
            <w:top w:val="none" w:sz="0" w:space="0" w:color="auto"/>
            <w:left w:val="none" w:sz="0" w:space="0" w:color="auto"/>
            <w:bottom w:val="none" w:sz="0" w:space="0" w:color="auto"/>
            <w:right w:val="none" w:sz="0" w:space="0" w:color="auto"/>
          </w:divBdr>
          <w:divsChild>
            <w:div w:id="1863787552">
              <w:marLeft w:val="0"/>
              <w:marRight w:val="0"/>
              <w:marTop w:val="0"/>
              <w:marBottom w:val="0"/>
              <w:divBdr>
                <w:top w:val="none" w:sz="0" w:space="0" w:color="auto"/>
                <w:left w:val="none" w:sz="0" w:space="0" w:color="auto"/>
                <w:bottom w:val="none" w:sz="0" w:space="0" w:color="auto"/>
                <w:right w:val="none" w:sz="0" w:space="0" w:color="auto"/>
              </w:divBdr>
            </w:div>
            <w:div w:id="1936590747">
              <w:marLeft w:val="0"/>
              <w:marRight w:val="0"/>
              <w:marTop w:val="0"/>
              <w:marBottom w:val="0"/>
              <w:divBdr>
                <w:top w:val="none" w:sz="0" w:space="0" w:color="auto"/>
                <w:left w:val="none" w:sz="0" w:space="0" w:color="auto"/>
                <w:bottom w:val="none" w:sz="0" w:space="0" w:color="auto"/>
                <w:right w:val="none" w:sz="0" w:space="0" w:color="auto"/>
              </w:divBdr>
            </w:div>
            <w:div w:id="1592664420">
              <w:marLeft w:val="0"/>
              <w:marRight w:val="0"/>
              <w:marTop w:val="0"/>
              <w:marBottom w:val="0"/>
              <w:divBdr>
                <w:top w:val="none" w:sz="0" w:space="0" w:color="auto"/>
                <w:left w:val="none" w:sz="0" w:space="0" w:color="auto"/>
                <w:bottom w:val="none" w:sz="0" w:space="0" w:color="auto"/>
                <w:right w:val="none" w:sz="0" w:space="0" w:color="auto"/>
              </w:divBdr>
            </w:div>
            <w:div w:id="279534408">
              <w:marLeft w:val="0"/>
              <w:marRight w:val="0"/>
              <w:marTop w:val="0"/>
              <w:marBottom w:val="0"/>
              <w:divBdr>
                <w:top w:val="none" w:sz="0" w:space="0" w:color="auto"/>
                <w:left w:val="none" w:sz="0" w:space="0" w:color="auto"/>
                <w:bottom w:val="none" w:sz="0" w:space="0" w:color="auto"/>
                <w:right w:val="none" w:sz="0" w:space="0" w:color="auto"/>
              </w:divBdr>
            </w:div>
          </w:divsChild>
        </w:div>
        <w:div w:id="150559703">
          <w:marLeft w:val="0"/>
          <w:marRight w:val="0"/>
          <w:marTop w:val="0"/>
          <w:marBottom w:val="0"/>
          <w:divBdr>
            <w:top w:val="none" w:sz="0" w:space="0" w:color="auto"/>
            <w:left w:val="none" w:sz="0" w:space="0" w:color="auto"/>
            <w:bottom w:val="none" w:sz="0" w:space="0" w:color="auto"/>
            <w:right w:val="none" w:sz="0" w:space="0" w:color="auto"/>
          </w:divBdr>
          <w:divsChild>
            <w:div w:id="618221481">
              <w:marLeft w:val="0"/>
              <w:marRight w:val="0"/>
              <w:marTop w:val="0"/>
              <w:marBottom w:val="0"/>
              <w:divBdr>
                <w:top w:val="none" w:sz="0" w:space="0" w:color="auto"/>
                <w:left w:val="none" w:sz="0" w:space="0" w:color="auto"/>
                <w:bottom w:val="none" w:sz="0" w:space="0" w:color="auto"/>
                <w:right w:val="none" w:sz="0" w:space="0" w:color="auto"/>
              </w:divBdr>
            </w:div>
            <w:div w:id="546142233">
              <w:marLeft w:val="0"/>
              <w:marRight w:val="0"/>
              <w:marTop w:val="0"/>
              <w:marBottom w:val="0"/>
              <w:divBdr>
                <w:top w:val="none" w:sz="0" w:space="0" w:color="auto"/>
                <w:left w:val="none" w:sz="0" w:space="0" w:color="auto"/>
                <w:bottom w:val="none" w:sz="0" w:space="0" w:color="auto"/>
                <w:right w:val="none" w:sz="0" w:space="0" w:color="auto"/>
              </w:divBdr>
            </w:div>
            <w:div w:id="1587051">
              <w:marLeft w:val="0"/>
              <w:marRight w:val="0"/>
              <w:marTop w:val="0"/>
              <w:marBottom w:val="0"/>
              <w:divBdr>
                <w:top w:val="none" w:sz="0" w:space="0" w:color="auto"/>
                <w:left w:val="none" w:sz="0" w:space="0" w:color="auto"/>
                <w:bottom w:val="none" w:sz="0" w:space="0" w:color="auto"/>
                <w:right w:val="none" w:sz="0" w:space="0" w:color="auto"/>
              </w:divBdr>
            </w:div>
            <w:div w:id="674309547">
              <w:marLeft w:val="0"/>
              <w:marRight w:val="0"/>
              <w:marTop w:val="0"/>
              <w:marBottom w:val="0"/>
              <w:divBdr>
                <w:top w:val="none" w:sz="0" w:space="0" w:color="auto"/>
                <w:left w:val="none" w:sz="0" w:space="0" w:color="auto"/>
                <w:bottom w:val="none" w:sz="0" w:space="0" w:color="auto"/>
                <w:right w:val="none" w:sz="0" w:space="0" w:color="auto"/>
              </w:divBdr>
            </w:div>
            <w:div w:id="469443160">
              <w:marLeft w:val="0"/>
              <w:marRight w:val="0"/>
              <w:marTop w:val="0"/>
              <w:marBottom w:val="0"/>
              <w:divBdr>
                <w:top w:val="none" w:sz="0" w:space="0" w:color="auto"/>
                <w:left w:val="none" w:sz="0" w:space="0" w:color="auto"/>
                <w:bottom w:val="none" w:sz="0" w:space="0" w:color="auto"/>
                <w:right w:val="none" w:sz="0" w:space="0" w:color="auto"/>
              </w:divBdr>
            </w:div>
          </w:divsChild>
        </w:div>
        <w:div w:id="2025352666">
          <w:marLeft w:val="0"/>
          <w:marRight w:val="0"/>
          <w:marTop w:val="0"/>
          <w:marBottom w:val="0"/>
          <w:divBdr>
            <w:top w:val="none" w:sz="0" w:space="0" w:color="auto"/>
            <w:left w:val="none" w:sz="0" w:space="0" w:color="auto"/>
            <w:bottom w:val="none" w:sz="0" w:space="0" w:color="auto"/>
            <w:right w:val="none" w:sz="0" w:space="0" w:color="auto"/>
          </w:divBdr>
          <w:divsChild>
            <w:div w:id="1813669723">
              <w:marLeft w:val="0"/>
              <w:marRight w:val="0"/>
              <w:marTop w:val="0"/>
              <w:marBottom w:val="0"/>
              <w:divBdr>
                <w:top w:val="none" w:sz="0" w:space="0" w:color="auto"/>
                <w:left w:val="none" w:sz="0" w:space="0" w:color="auto"/>
                <w:bottom w:val="none" w:sz="0" w:space="0" w:color="auto"/>
                <w:right w:val="none" w:sz="0" w:space="0" w:color="auto"/>
              </w:divBdr>
            </w:div>
            <w:div w:id="963534722">
              <w:marLeft w:val="0"/>
              <w:marRight w:val="0"/>
              <w:marTop w:val="0"/>
              <w:marBottom w:val="0"/>
              <w:divBdr>
                <w:top w:val="none" w:sz="0" w:space="0" w:color="auto"/>
                <w:left w:val="none" w:sz="0" w:space="0" w:color="auto"/>
                <w:bottom w:val="none" w:sz="0" w:space="0" w:color="auto"/>
                <w:right w:val="none" w:sz="0" w:space="0" w:color="auto"/>
              </w:divBdr>
            </w:div>
            <w:div w:id="602498462">
              <w:marLeft w:val="0"/>
              <w:marRight w:val="0"/>
              <w:marTop w:val="0"/>
              <w:marBottom w:val="0"/>
              <w:divBdr>
                <w:top w:val="none" w:sz="0" w:space="0" w:color="auto"/>
                <w:left w:val="none" w:sz="0" w:space="0" w:color="auto"/>
                <w:bottom w:val="none" w:sz="0" w:space="0" w:color="auto"/>
                <w:right w:val="none" w:sz="0" w:space="0" w:color="auto"/>
              </w:divBdr>
            </w:div>
            <w:div w:id="2109957093">
              <w:marLeft w:val="0"/>
              <w:marRight w:val="0"/>
              <w:marTop w:val="0"/>
              <w:marBottom w:val="0"/>
              <w:divBdr>
                <w:top w:val="none" w:sz="0" w:space="0" w:color="auto"/>
                <w:left w:val="none" w:sz="0" w:space="0" w:color="auto"/>
                <w:bottom w:val="none" w:sz="0" w:space="0" w:color="auto"/>
                <w:right w:val="none" w:sz="0" w:space="0" w:color="auto"/>
              </w:divBdr>
            </w:div>
            <w:div w:id="2057001995">
              <w:marLeft w:val="0"/>
              <w:marRight w:val="0"/>
              <w:marTop w:val="0"/>
              <w:marBottom w:val="0"/>
              <w:divBdr>
                <w:top w:val="none" w:sz="0" w:space="0" w:color="auto"/>
                <w:left w:val="none" w:sz="0" w:space="0" w:color="auto"/>
                <w:bottom w:val="none" w:sz="0" w:space="0" w:color="auto"/>
                <w:right w:val="none" w:sz="0" w:space="0" w:color="auto"/>
              </w:divBdr>
            </w:div>
            <w:div w:id="797334228">
              <w:marLeft w:val="0"/>
              <w:marRight w:val="0"/>
              <w:marTop w:val="0"/>
              <w:marBottom w:val="0"/>
              <w:divBdr>
                <w:top w:val="none" w:sz="0" w:space="0" w:color="auto"/>
                <w:left w:val="none" w:sz="0" w:space="0" w:color="auto"/>
                <w:bottom w:val="none" w:sz="0" w:space="0" w:color="auto"/>
                <w:right w:val="none" w:sz="0" w:space="0" w:color="auto"/>
              </w:divBdr>
            </w:div>
            <w:div w:id="140733571">
              <w:marLeft w:val="0"/>
              <w:marRight w:val="0"/>
              <w:marTop w:val="0"/>
              <w:marBottom w:val="0"/>
              <w:divBdr>
                <w:top w:val="none" w:sz="0" w:space="0" w:color="auto"/>
                <w:left w:val="none" w:sz="0" w:space="0" w:color="auto"/>
                <w:bottom w:val="none" w:sz="0" w:space="0" w:color="auto"/>
                <w:right w:val="none" w:sz="0" w:space="0" w:color="auto"/>
              </w:divBdr>
            </w:div>
          </w:divsChild>
        </w:div>
        <w:div w:id="1374958189">
          <w:marLeft w:val="0"/>
          <w:marRight w:val="0"/>
          <w:marTop w:val="0"/>
          <w:marBottom w:val="0"/>
          <w:divBdr>
            <w:top w:val="none" w:sz="0" w:space="0" w:color="auto"/>
            <w:left w:val="none" w:sz="0" w:space="0" w:color="auto"/>
            <w:bottom w:val="none" w:sz="0" w:space="0" w:color="auto"/>
            <w:right w:val="none" w:sz="0" w:space="0" w:color="auto"/>
          </w:divBdr>
          <w:divsChild>
            <w:div w:id="1788084330">
              <w:marLeft w:val="0"/>
              <w:marRight w:val="0"/>
              <w:marTop w:val="0"/>
              <w:marBottom w:val="0"/>
              <w:divBdr>
                <w:top w:val="none" w:sz="0" w:space="0" w:color="auto"/>
                <w:left w:val="none" w:sz="0" w:space="0" w:color="auto"/>
                <w:bottom w:val="none" w:sz="0" w:space="0" w:color="auto"/>
                <w:right w:val="none" w:sz="0" w:space="0" w:color="auto"/>
              </w:divBdr>
            </w:div>
            <w:div w:id="1520466214">
              <w:marLeft w:val="0"/>
              <w:marRight w:val="0"/>
              <w:marTop w:val="0"/>
              <w:marBottom w:val="0"/>
              <w:divBdr>
                <w:top w:val="none" w:sz="0" w:space="0" w:color="auto"/>
                <w:left w:val="none" w:sz="0" w:space="0" w:color="auto"/>
                <w:bottom w:val="none" w:sz="0" w:space="0" w:color="auto"/>
                <w:right w:val="none" w:sz="0" w:space="0" w:color="auto"/>
              </w:divBdr>
            </w:div>
            <w:div w:id="1147090839">
              <w:marLeft w:val="0"/>
              <w:marRight w:val="0"/>
              <w:marTop w:val="0"/>
              <w:marBottom w:val="0"/>
              <w:divBdr>
                <w:top w:val="none" w:sz="0" w:space="0" w:color="auto"/>
                <w:left w:val="none" w:sz="0" w:space="0" w:color="auto"/>
                <w:bottom w:val="none" w:sz="0" w:space="0" w:color="auto"/>
                <w:right w:val="none" w:sz="0" w:space="0" w:color="auto"/>
              </w:divBdr>
            </w:div>
            <w:div w:id="899290502">
              <w:marLeft w:val="0"/>
              <w:marRight w:val="0"/>
              <w:marTop w:val="0"/>
              <w:marBottom w:val="0"/>
              <w:divBdr>
                <w:top w:val="none" w:sz="0" w:space="0" w:color="auto"/>
                <w:left w:val="none" w:sz="0" w:space="0" w:color="auto"/>
                <w:bottom w:val="none" w:sz="0" w:space="0" w:color="auto"/>
                <w:right w:val="none" w:sz="0" w:space="0" w:color="auto"/>
              </w:divBdr>
            </w:div>
          </w:divsChild>
        </w:div>
        <w:div w:id="2050639569">
          <w:marLeft w:val="0"/>
          <w:marRight w:val="0"/>
          <w:marTop w:val="0"/>
          <w:marBottom w:val="0"/>
          <w:divBdr>
            <w:top w:val="none" w:sz="0" w:space="0" w:color="auto"/>
            <w:left w:val="none" w:sz="0" w:space="0" w:color="auto"/>
            <w:bottom w:val="none" w:sz="0" w:space="0" w:color="auto"/>
            <w:right w:val="none" w:sz="0" w:space="0" w:color="auto"/>
          </w:divBdr>
          <w:divsChild>
            <w:div w:id="185489371">
              <w:marLeft w:val="0"/>
              <w:marRight w:val="0"/>
              <w:marTop w:val="0"/>
              <w:marBottom w:val="0"/>
              <w:divBdr>
                <w:top w:val="none" w:sz="0" w:space="0" w:color="auto"/>
                <w:left w:val="none" w:sz="0" w:space="0" w:color="auto"/>
                <w:bottom w:val="none" w:sz="0" w:space="0" w:color="auto"/>
                <w:right w:val="none" w:sz="0" w:space="0" w:color="auto"/>
              </w:divBdr>
            </w:div>
            <w:div w:id="294415247">
              <w:marLeft w:val="0"/>
              <w:marRight w:val="0"/>
              <w:marTop w:val="0"/>
              <w:marBottom w:val="0"/>
              <w:divBdr>
                <w:top w:val="none" w:sz="0" w:space="0" w:color="auto"/>
                <w:left w:val="none" w:sz="0" w:space="0" w:color="auto"/>
                <w:bottom w:val="none" w:sz="0" w:space="0" w:color="auto"/>
                <w:right w:val="none" w:sz="0" w:space="0" w:color="auto"/>
              </w:divBdr>
            </w:div>
            <w:div w:id="65153313">
              <w:marLeft w:val="0"/>
              <w:marRight w:val="0"/>
              <w:marTop w:val="0"/>
              <w:marBottom w:val="0"/>
              <w:divBdr>
                <w:top w:val="none" w:sz="0" w:space="0" w:color="auto"/>
                <w:left w:val="none" w:sz="0" w:space="0" w:color="auto"/>
                <w:bottom w:val="none" w:sz="0" w:space="0" w:color="auto"/>
                <w:right w:val="none" w:sz="0" w:space="0" w:color="auto"/>
              </w:divBdr>
            </w:div>
            <w:div w:id="1887597329">
              <w:marLeft w:val="0"/>
              <w:marRight w:val="0"/>
              <w:marTop w:val="0"/>
              <w:marBottom w:val="0"/>
              <w:divBdr>
                <w:top w:val="none" w:sz="0" w:space="0" w:color="auto"/>
                <w:left w:val="none" w:sz="0" w:space="0" w:color="auto"/>
                <w:bottom w:val="none" w:sz="0" w:space="0" w:color="auto"/>
                <w:right w:val="none" w:sz="0" w:space="0" w:color="auto"/>
              </w:divBdr>
            </w:div>
          </w:divsChild>
        </w:div>
        <w:div w:id="570577743">
          <w:marLeft w:val="0"/>
          <w:marRight w:val="0"/>
          <w:marTop w:val="0"/>
          <w:marBottom w:val="0"/>
          <w:divBdr>
            <w:top w:val="none" w:sz="0" w:space="0" w:color="auto"/>
            <w:left w:val="none" w:sz="0" w:space="0" w:color="auto"/>
            <w:bottom w:val="none" w:sz="0" w:space="0" w:color="auto"/>
            <w:right w:val="none" w:sz="0" w:space="0" w:color="auto"/>
          </w:divBdr>
          <w:divsChild>
            <w:div w:id="17030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58486">
      <w:bodyDiv w:val="1"/>
      <w:marLeft w:val="0"/>
      <w:marRight w:val="0"/>
      <w:marTop w:val="0"/>
      <w:marBottom w:val="0"/>
      <w:divBdr>
        <w:top w:val="none" w:sz="0" w:space="0" w:color="auto"/>
        <w:left w:val="none" w:sz="0" w:space="0" w:color="auto"/>
        <w:bottom w:val="none" w:sz="0" w:space="0" w:color="auto"/>
        <w:right w:val="none" w:sz="0" w:space="0" w:color="auto"/>
      </w:divBdr>
      <w:divsChild>
        <w:div w:id="811290069">
          <w:marLeft w:val="0"/>
          <w:marRight w:val="0"/>
          <w:marTop w:val="0"/>
          <w:marBottom w:val="0"/>
          <w:divBdr>
            <w:top w:val="none" w:sz="0" w:space="0" w:color="auto"/>
            <w:left w:val="none" w:sz="0" w:space="0" w:color="auto"/>
            <w:bottom w:val="none" w:sz="0" w:space="0" w:color="auto"/>
            <w:right w:val="none" w:sz="0" w:space="0" w:color="auto"/>
          </w:divBdr>
        </w:div>
        <w:div w:id="244992432">
          <w:marLeft w:val="0"/>
          <w:marRight w:val="0"/>
          <w:marTop w:val="0"/>
          <w:marBottom w:val="0"/>
          <w:divBdr>
            <w:top w:val="none" w:sz="0" w:space="0" w:color="auto"/>
            <w:left w:val="none" w:sz="0" w:space="0" w:color="auto"/>
            <w:bottom w:val="none" w:sz="0" w:space="0" w:color="auto"/>
            <w:right w:val="none" w:sz="0" w:space="0" w:color="auto"/>
          </w:divBdr>
        </w:div>
        <w:div w:id="167722175">
          <w:marLeft w:val="0"/>
          <w:marRight w:val="0"/>
          <w:marTop w:val="0"/>
          <w:marBottom w:val="0"/>
          <w:divBdr>
            <w:top w:val="none" w:sz="0" w:space="0" w:color="auto"/>
            <w:left w:val="none" w:sz="0" w:space="0" w:color="auto"/>
            <w:bottom w:val="none" w:sz="0" w:space="0" w:color="auto"/>
            <w:right w:val="none" w:sz="0" w:space="0" w:color="auto"/>
          </w:divBdr>
        </w:div>
        <w:div w:id="285351665">
          <w:marLeft w:val="0"/>
          <w:marRight w:val="0"/>
          <w:marTop w:val="0"/>
          <w:marBottom w:val="0"/>
          <w:divBdr>
            <w:top w:val="none" w:sz="0" w:space="0" w:color="auto"/>
            <w:left w:val="none" w:sz="0" w:space="0" w:color="auto"/>
            <w:bottom w:val="none" w:sz="0" w:space="0" w:color="auto"/>
            <w:right w:val="none" w:sz="0" w:space="0" w:color="auto"/>
          </w:divBdr>
        </w:div>
      </w:divsChild>
    </w:div>
    <w:div w:id="416907230">
      <w:bodyDiv w:val="1"/>
      <w:marLeft w:val="0"/>
      <w:marRight w:val="0"/>
      <w:marTop w:val="0"/>
      <w:marBottom w:val="0"/>
      <w:divBdr>
        <w:top w:val="none" w:sz="0" w:space="0" w:color="auto"/>
        <w:left w:val="none" w:sz="0" w:space="0" w:color="auto"/>
        <w:bottom w:val="none" w:sz="0" w:space="0" w:color="auto"/>
        <w:right w:val="none" w:sz="0" w:space="0" w:color="auto"/>
      </w:divBdr>
      <w:divsChild>
        <w:div w:id="2027052241">
          <w:marLeft w:val="0"/>
          <w:marRight w:val="0"/>
          <w:marTop w:val="0"/>
          <w:marBottom w:val="0"/>
          <w:divBdr>
            <w:top w:val="none" w:sz="0" w:space="0" w:color="auto"/>
            <w:left w:val="none" w:sz="0" w:space="0" w:color="auto"/>
            <w:bottom w:val="none" w:sz="0" w:space="0" w:color="auto"/>
            <w:right w:val="none" w:sz="0" w:space="0" w:color="auto"/>
          </w:divBdr>
          <w:divsChild>
            <w:div w:id="885992519">
              <w:marLeft w:val="0"/>
              <w:marRight w:val="0"/>
              <w:marTop w:val="0"/>
              <w:marBottom w:val="0"/>
              <w:divBdr>
                <w:top w:val="none" w:sz="0" w:space="0" w:color="auto"/>
                <w:left w:val="none" w:sz="0" w:space="0" w:color="auto"/>
                <w:bottom w:val="none" w:sz="0" w:space="0" w:color="auto"/>
                <w:right w:val="none" w:sz="0" w:space="0" w:color="auto"/>
              </w:divBdr>
            </w:div>
            <w:div w:id="955715741">
              <w:marLeft w:val="0"/>
              <w:marRight w:val="0"/>
              <w:marTop w:val="0"/>
              <w:marBottom w:val="0"/>
              <w:divBdr>
                <w:top w:val="none" w:sz="0" w:space="0" w:color="auto"/>
                <w:left w:val="none" w:sz="0" w:space="0" w:color="auto"/>
                <w:bottom w:val="none" w:sz="0" w:space="0" w:color="auto"/>
                <w:right w:val="none" w:sz="0" w:space="0" w:color="auto"/>
              </w:divBdr>
            </w:div>
            <w:div w:id="1611162714">
              <w:marLeft w:val="0"/>
              <w:marRight w:val="0"/>
              <w:marTop w:val="0"/>
              <w:marBottom w:val="0"/>
              <w:divBdr>
                <w:top w:val="none" w:sz="0" w:space="0" w:color="auto"/>
                <w:left w:val="none" w:sz="0" w:space="0" w:color="auto"/>
                <w:bottom w:val="none" w:sz="0" w:space="0" w:color="auto"/>
                <w:right w:val="none" w:sz="0" w:space="0" w:color="auto"/>
              </w:divBdr>
            </w:div>
          </w:divsChild>
        </w:div>
        <w:div w:id="869417659">
          <w:marLeft w:val="0"/>
          <w:marRight w:val="0"/>
          <w:marTop w:val="0"/>
          <w:marBottom w:val="0"/>
          <w:divBdr>
            <w:top w:val="none" w:sz="0" w:space="0" w:color="auto"/>
            <w:left w:val="none" w:sz="0" w:space="0" w:color="auto"/>
            <w:bottom w:val="none" w:sz="0" w:space="0" w:color="auto"/>
            <w:right w:val="none" w:sz="0" w:space="0" w:color="auto"/>
          </w:divBdr>
        </w:div>
      </w:divsChild>
    </w:div>
    <w:div w:id="469370912">
      <w:bodyDiv w:val="1"/>
      <w:marLeft w:val="0"/>
      <w:marRight w:val="0"/>
      <w:marTop w:val="0"/>
      <w:marBottom w:val="0"/>
      <w:divBdr>
        <w:top w:val="none" w:sz="0" w:space="0" w:color="auto"/>
        <w:left w:val="none" w:sz="0" w:space="0" w:color="auto"/>
        <w:bottom w:val="none" w:sz="0" w:space="0" w:color="auto"/>
        <w:right w:val="none" w:sz="0" w:space="0" w:color="auto"/>
      </w:divBdr>
    </w:div>
    <w:div w:id="519903608">
      <w:bodyDiv w:val="1"/>
      <w:marLeft w:val="0"/>
      <w:marRight w:val="0"/>
      <w:marTop w:val="0"/>
      <w:marBottom w:val="0"/>
      <w:divBdr>
        <w:top w:val="none" w:sz="0" w:space="0" w:color="auto"/>
        <w:left w:val="none" w:sz="0" w:space="0" w:color="auto"/>
        <w:bottom w:val="none" w:sz="0" w:space="0" w:color="auto"/>
        <w:right w:val="none" w:sz="0" w:space="0" w:color="auto"/>
      </w:divBdr>
    </w:div>
    <w:div w:id="564493516">
      <w:bodyDiv w:val="1"/>
      <w:marLeft w:val="0"/>
      <w:marRight w:val="0"/>
      <w:marTop w:val="0"/>
      <w:marBottom w:val="0"/>
      <w:divBdr>
        <w:top w:val="none" w:sz="0" w:space="0" w:color="auto"/>
        <w:left w:val="none" w:sz="0" w:space="0" w:color="auto"/>
        <w:bottom w:val="none" w:sz="0" w:space="0" w:color="auto"/>
        <w:right w:val="none" w:sz="0" w:space="0" w:color="auto"/>
      </w:divBdr>
      <w:divsChild>
        <w:div w:id="523592901">
          <w:marLeft w:val="0"/>
          <w:marRight w:val="0"/>
          <w:marTop w:val="0"/>
          <w:marBottom w:val="0"/>
          <w:divBdr>
            <w:top w:val="none" w:sz="0" w:space="0" w:color="auto"/>
            <w:left w:val="none" w:sz="0" w:space="0" w:color="auto"/>
            <w:bottom w:val="none" w:sz="0" w:space="0" w:color="auto"/>
            <w:right w:val="none" w:sz="0" w:space="0" w:color="auto"/>
          </w:divBdr>
          <w:divsChild>
            <w:div w:id="1889952693">
              <w:marLeft w:val="0"/>
              <w:marRight w:val="0"/>
              <w:marTop w:val="0"/>
              <w:marBottom w:val="0"/>
              <w:divBdr>
                <w:top w:val="none" w:sz="0" w:space="0" w:color="auto"/>
                <w:left w:val="none" w:sz="0" w:space="0" w:color="auto"/>
                <w:bottom w:val="none" w:sz="0" w:space="0" w:color="auto"/>
                <w:right w:val="none" w:sz="0" w:space="0" w:color="auto"/>
              </w:divBdr>
            </w:div>
            <w:div w:id="1229456883">
              <w:marLeft w:val="0"/>
              <w:marRight w:val="0"/>
              <w:marTop w:val="0"/>
              <w:marBottom w:val="0"/>
              <w:divBdr>
                <w:top w:val="none" w:sz="0" w:space="0" w:color="auto"/>
                <w:left w:val="none" w:sz="0" w:space="0" w:color="auto"/>
                <w:bottom w:val="none" w:sz="0" w:space="0" w:color="auto"/>
                <w:right w:val="none" w:sz="0" w:space="0" w:color="auto"/>
              </w:divBdr>
            </w:div>
            <w:div w:id="1212039543">
              <w:marLeft w:val="0"/>
              <w:marRight w:val="0"/>
              <w:marTop w:val="0"/>
              <w:marBottom w:val="0"/>
              <w:divBdr>
                <w:top w:val="none" w:sz="0" w:space="0" w:color="auto"/>
                <w:left w:val="none" w:sz="0" w:space="0" w:color="auto"/>
                <w:bottom w:val="none" w:sz="0" w:space="0" w:color="auto"/>
                <w:right w:val="none" w:sz="0" w:space="0" w:color="auto"/>
              </w:divBdr>
            </w:div>
          </w:divsChild>
        </w:div>
        <w:div w:id="1991597525">
          <w:marLeft w:val="0"/>
          <w:marRight w:val="0"/>
          <w:marTop w:val="0"/>
          <w:marBottom w:val="0"/>
          <w:divBdr>
            <w:top w:val="none" w:sz="0" w:space="0" w:color="auto"/>
            <w:left w:val="none" w:sz="0" w:space="0" w:color="auto"/>
            <w:bottom w:val="none" w:sz="0" w:space="0" w:color="auto"/>
            <w:right w:val="none" w:sz="0" w:space="0" w:color="auto"/>
          </w:divBdr>
        </w:div>
        <w:div w:id="1562908334">
          <w:marLeft w:val="0"/>
          <w:marRight w:val="0"/>
          <w:marTop w:val="0"/>
          <w:marBottom w:val="0"/>
          <w:divBdr>
            <w:top w:val="none" w:sz="0" w:space="0" w:color="auto"/>
            <w:left w:val="none" w:sz="0" w:space="0" w:color="auto"/>
            <w:bottom w:val="none" w:sz="0" w:space="0" w:color="auto"/>
            <w:right w:val="none" w:sz="0" w:space="0" w:color="auto"/>
          </w:divBdr>
        </w:div>
      </w:divsChild>
    </w:div>
    <w:div w:id="595795005">
      <w:bodyDiv w:val="1"/>
      <w:marLeft w:val="0"/>
      <w:marRight w:val="0"/>
      <w:marTop w:val="0"/>
      <w:marBottom w:val="0"/>
      <w:divBdr>
        <w:top w:val="none" w:sz="0" w:space="0" w:color="auto"/>
        <w:left w:val="none" w:sz="0" w:space="0" w:color="auto"/>
        <w:bottom w:val="none" w:sz="0" w:space="0" w:color="auto"/>
        <w:right w:val="none" w:sz="0" w:space="0" w:color="auto"/>
      </w:divBdr>
      <w:divsChild>
        <w:div w:id="313610589">
          <w:marLeft w:val="0"/>
          <w:marRight w:val="0"/>
          <w:marTop w:val="0"/>
          <w:marBottom w:val="0"/>
          <w:divBdr>
            <w:top w:val="none" w:sz="0" w:space="0" w:color="auto"/>
            <w:left w:val="none" w:sz="0" w:space="0" w:color="auto"/>
            <w:bottom w:val="none" w:sz="0" w:space="0" w:color="auto"/>
            <w:right w:val="none" w:sz="0" w:space="0" w:color="auto"/>
          </w:divBdr>
        </w:div>
        <w:div w:id="446126738">
          <w:marLeft w:val="0"/>
          <w:marRight w:val="0"/>
          <w:marTop w:val="0"/>
          <w:marBottom w:val="0"/>
          <w:divBdr>
            <w:top w:val="none" w:sz="0" w:space="0" w:color="auto"/>
            <w:left w:val="none" w:sz="0" w:space="0" w:color="auto"/>
            <w:bottom w:val="none" w:sz="0" w:space="0" w:color="auto"/>
            <w:right w:val="none" w:sz="0" w:space="0" w:color="auto"/>
          </w:divBdr>
          <w:divsChild>
            <w:div w:id="1785491454">
              <w:marLeft w:val="0"/>
              <w:marRight w:val="0"/>
              <w:marTop w:val="0"/>
              <w:marBottom w:val="0"/>
              <w:divBdr>
                <w:top w:val="none" w:sz="0" w:space="0" w:color="auto"/>
                <w:left w:val="none" w:sz="0" w:space="0" w:color="auto"/>
                <w:bottom w:val="none" w:sz="0" w:space="0" w:color="auto"/>
                <w:right w:val="none" w:sz="0" w:space="0" w:color="auto"/>
              </w:divBdr>
            </w:div>
            <w:div w:id="341470207">
              <w:marLeft w:val="0"/>
              <w:marRight w:val="0"/>
              <w:marTop w:val="0"/>
              <w:marBottom w:val="0"/>
              <w:divBdr>
                <w:top w:val="none" w:sz="0" w:space="0" w:color="auto"/>
                <w:left w:val="none" w:sz="0" w:space="0" w:color="auto"/>
                <w:bottom w:val="none" w:sz="0" w:space="0" w:color="auto"/>
                <w:right w:val="none" w:sz="0" w:space="0" w:color="auto"/>
              </w:divBdr>
            </w:div>
            <w:div w:id="974139794">
              <w:marLeft w:val="0"/>
              <w:marRight w:val="0"/>
              <w:marTop w:val="0"/>
              <w:marBottom w:val="0"/>
              <w:divBdr>
                <w:top w:val="none" w:sz="0" w:space="0" w:color="auto"/>
                <w:left w:val="none" w:sz="0" w:space="0" w:color="auto"/>
                <w:bottom w:val="none" w:sz="0" w:space="0" w:color="auto"/>
                <w:right w:val="none" w:sz="0" w:space="0" w:color="auto"/>
              </w:divBdr>
            </w:div>
            <w:div w:id="1366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846">
      <w:bodyDiv w:val="1"/>
      <w:marLeft w:val="0"/>
      <w:marRight w:val="0"/>
      <w:marTop w:val="0"/>
      <w:marBottom w:val="0"/>
      <w:divBdr>
        <w:top w:val="none" w:sz="0" w:space="0" w:color="auto"/>
        <w:left w:val="none" w:sz="0" w:space="0" w:color="auto"/>
        <w:bottom w:val="none" w:sz="0" w:space="0" w:color="auto"/>
        <w:right w:val="none" w:sz="0" w:space="0" w:color="auto"/>
      </w:divBdr>
      <w:divsChild>
        <w:div w:id="1012490273">
          <w:marLeft w:val="0"/>
          <w:marRight w:val="0"/>
          <w:marTop w:val="0"/>
          <w:marBottom w:val="0"/>
          <w:divBdr>
            <w:top w:val="none" w:sz="0" w:space="0" w:color="auto"/>
            <w:left w:val="none" w:sz="0" w:space="0" w:color="auto"/>
            <w:bottom w:val="none" w:sz="0" w:space="0" w:color="auto"/>
            <w:right w:val="none" w:sz="0" w:space="0" w:color="auto"/>
          </w:divBdr>
          <w:divsChild>
            <w:div w:id="1576435704">
              <w:marLeft w:val="0"/>
              <w:marRight w:val="0"/>
              <w:marTop w:val="0"/>
              <w:marBottom w:val="0"/>
              <w:divBdr>
                <w:top w:val="none" w:sz="0" w:space="0" w:color="auto"/>
                <w:left w:val="none" w:sz="0" w:space="0" w:color="auto"/>
                <w:bottom w:val="none" w:sz="0" w:space="0" w:color="auto"/>
                <w:right w:val="none" w:sz="0" w:space="0" w:color="auto"/>
              </w:divBdr>
            </w:div>
            <w:div w:id="1756441479">
              <w:marLeft w:val="0"/>
              <w:marRight w:val="0"/>
              <w:marTop w:val="0"/>
              <w:marBottom w:val="0"/>
              <w:divBdr>
                <w:top w:val="none" w:sz="0" w:space="0" w:color="auto"/>
                <w:left w:val="none" w:sz="0" w:space="0" w:color="auto"/>
                <w:bottom w:val="none" w:sz="0" w:space="0" w:color="auto"/>
                <w:right w:val="none" w:sz="0" w:space="0" w:color="auto"/>
              </w:divBdr>
            </w:div>
            <w:div w:id="2042854240">
              <w:marLeft w:val="0"/>
              <w:marRight w:val="0"/>
              <w:marTop w:val="0"/>
              <w:marBottom w:val="0"/>
              <w:divBdr>
                <w:top w:val="none" w:sz="0" w:space="0" w:color="auto"/>
                <w:left w:val="none" w:sz="0" w:space="0" w:color="auto"/>
                <w:bottom w:val="none" w:sz="0" w:space="0" w:color="auto"/>
                <w:right w:val="none" w:sz="0" w:space="0" w:color="auto"/>
              </w:divBdr>
            </w:div>
          </w:divsChild>
        </w:div>
        <w:div w:id="2058240829">
          <w:marLeft w:val="0"/>
          <w:marRight w:val="0"/>
          <w:marTop w:val="0"/>
          <w:marBottom w:val="0"/>
          <w:divBdr>
            <w:top w:val="none" w:sz="0" w:space="0" w:color="auto"/>
            <w:left w:val="none" w:sz="0" w:space="0" w:color="auto"/>
            <w:bottom w:val="none" w:sz="0" w:space="0" w:color="auto"/>
            <w:right w:val="none" w:sz="0" w:space="0" w:color="auto"/>
          </w:divBdr>
        </w:div>
      </w:divsChild>
    </w:div>
    <w:div w:id="791168687">
      <w:bodyDiv w:val="1"/>
      <w:marLeft w:val="0"/>
      <w:marRight w:val="0"/>
      <w:marTop w:val="0"/>
      <w:marBottom w:val="0"/>
      <w:divBdr>
        <w:top w:val="none" w:sz="0" w:space="0" w:color="auto"/>
        <w:left w:val="none" w:sz="0" w:space="0" w:color="auto"/>
        <w:bottom w:val="none" w:sz="0" w:space="0" w:color="auto"/>
        <w:right w:val="none" w:sz="0" w:space="0" w:color="auto"/>
      </w:divBdr>
    </w:div>
    <w:div w:id="926036799">
      <w:bodyDiv w:val="1"/>
      <w:marLeft w:val="0"/>
      <w:marRight w:val="0"/>
      <w:marTop w:val="0"/>
      <w:marBottom w:val="0"/>
      <w:divBdr>
        <w:top w:val="none" w:sz="0" w:space="0" w:color="auto"/>
        <w:left w:val="none" w:sz="0" w:space="0" w:color="auto"/>
        <w:bottom w:val="none" w:sz="0" w:space="0" w:color="auto"/>
        <w:right w:val="none" w:sz="0" w:space="0" w:color="auto"/>
      </w:divBdr>
      <w:divsChild>
        <w:div w:id="1133669454">
          <w:marLeft w:val="0"/>
          <w:marRight w:val="0"/>
          <w:marTop w:val="0"/>
          <w:marBottom w:val="0"/>
          <w:divBdr>
            <w:top w:val="none" w:sz="0" w:space="0" w:color="auto"/>
            <w:left w:val="none" w:sz="0" w:space="0" w:color="auto"/>
            <w:bottom w:val="none" w:sz="0" w:space="0" w:color="auto"/>
            <w:right w:val="none" w:sz="0" w:space="0" w:color="auto"/>
          </w:divBdr>
        </w:div>
      </w:divsChild>
    </w:div>
    <w:div w:id="1229269182">
      <w:bodyDiv w:val="1"/>
      <w:marLeft w:val="0"/>
      <w:marRight w:val="0"/>
      <w:marTop w:val="0"/>
      <w:marBottom w:val="0"/>
      <w:divBdr>
        <w:top w:val="none" w:sz="0" w:space="0" w:color="auto"/>
        <w:left w:val="none" w:sz="0" w:space="0" w:color="auto"/>
        <w:bottom w:val="none" w:sz="0" w:space="0" w:color="auto"/>
        <w:right w:val="none" w:sz="0" w:space="0" w:color="auto"/>
      </w:divBdr>
    </w:div>
    <w:div w:id="1331761369">
      <w:bodyDiv w:val="1"/>
      <w:marLeft w:val="0"/>
      <w:marRight w:val="0"/>
      <w:marTop w:val="0"/>
      <w:marBottom w:val="0"/>
      <w:divBdr>
        <w:top w:val="none" w:sz="0" w:space="0" w:color="auto"/>
        <w:left w:val="none" w:sz="0" w:space="0" w:color="auto"/>
        <w:bottom w:val="none" w:sz="0" w:space="0" w:color="auto"/>
        <w:right w:val="none" w:sz="0" w:space="0" w:color="auto"/>
      </w:divBdr>
      <w:divsChild>
        <w:div w:id="476608855">
          <w:marLeft w:val="0"/>
          <w:marRight w:val="0"/>
          <w:marTop w:val="0"/>
          <w:marBottom w:val="0"/>
          <w:divBdr>
            <w:top w:val="none" w:sz="0" w:space="0" w:color="auto"/>
            <w:left w:val="none" w:sz="0" w:space="0" w:color="auto"/>
            <w:bottom w:val="none" w:sz="0" w:space="0" w:color="auto"/>
            <w:right w:val="none" w:sz="0" w:space="0" w:color="auto"/>
          </w:divBdr>
        </w:div>
        <w:div w:id="1617953981">
          <w:marLeft w:val="0"/>
          <w:marRight w:val="0"/>
          <w:marTop w:val="0"/>
          <w:marBottom w:val="0"/>
          <w:divBdr>
            <w:top w:val="none" w:sz="0" w:space="0" w:color="auto"/>
            <w:left w:val="none" w:sz="0" w:space="0" w:color="auto"/>
            <w:bottom w:val="none" w:sz="0" w:space="0" w:color="auto"/>
            <w:right w:val="none" w:sz="0" w:space="0" w:color="auto"/>
          </w:divBdr>
          <w:divsChild>
            <w:div w:id="783115117">
              <w:marLeft w:val="0"/>
              <w:marRight w:val="0"/>
              <w:marTop w:val="0"/>
              <w:marBottom w:val="0"/>
              <w:divBdr>
                <w:top w:val="none" w:sz="0" w:space="0" w:color="auto"/>
                <w:left w:val="none" w:sz="0" w:space="0" w:color="auto"/>
                <w:bottom w:val="none" w:sz="0" w:space="0" w:color="auto"/>
                <w:right w:val="none" w:sz="0" w:space="0" w:color="auto"/>
              </w:divBdr>
            </w:div>
            <w:div w:id="1799371291">
              <w:marLeft w:val="0"/>
              <w:marRight w:val="0"/>
              <w:marTop w:val="0"/>
              <w:marBottom w:val="0"/>
              <w:divBdr>
                <w:top w:val="none" w:sz="0" w:space="0" w:color="auto"/>
                <w:left w:val="none" w:sz="0" w:space="0" w:color="auto"/>
                <w:bottom w:val="none" w:sz="0" w:space="0" w:color="auto"/>
                <w:right w:val="none" w:sz="0" w:space="0" w:color="auto"/>
              </w:divBdr>
            </w:div>
            <w:div w:id="1136877479">
              <w:marLeft w:val="0"/>
              <w:marRight w:val="0"/>
              <w:marTop w:val="0"/>
              <w:marBottom w:val="0"/>
              <w:divBdr>
                <w:top w:val="none" w:sz="0" w:space="0" w:color="auto"/>
                <w:left w:val="none" w:sz="0" w:space="0" w:color="auto"/>
                <w:bottom w:val="none" w:sz="0" w:space="0" w:color="auto"/>
                <w:right w:val="none" w:sz="0" w:space="0" w:color="auto"/>
              </w:divBdr>
            </w:div>
            <w:div w:id="9288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406">
      <w:bodyDiv w:val="1"/>
      <w:marLeft w:val="0"/>
      <w:marRight w:val="0"/>
      <w:marTop w:val="0"/>
      <w:marBottom w:val="0"/>
      <w:divBdr>
        <w:top w:val="none" w:sz="0" w:space="0" w:color="auto"/>
        <w:left w:val="none" w:sz="0" w:space="0" w:color="auto"/>
        <w:bottom w:val="none" w:sz="0" w:space="0" w:color="auto"/>
        <w:right w:val="none" w:sz="0" w:space="0" w:color="auto"/>
      </w:divBdr>
      <w:divsChild>
        <w:div w:id="295139635">
          <w:marLeft w:val="0"/>
          <w:marRight w:val="0"/>
          <w:marTop w:val="0"/>
          <w:marBottom w:val="0"/>
          <w:divBdr>
            <w:top w:val="none" w:sz="0" w:space="0" w:color="auto"/>
            <w:left w:val="none" w:sz="0" w:space="0" w:color="auto"/>
            <w:bottom w:val="none" w:sz="0" w:space="0" w:color="auto"/>
            <w:right w:val="none" w:sz="0" w:space="0" w:color="auto"/>
          </w:divBdr>
          <w:divsChild>
            <w:div w:id="1347751289">
              <w:marLeft w:val="0"/>
              <w:marRight w:val="0"/>
              <w:marTop w:val="0"/>
              <w:marBottom w:val="0"/>
              <w:divBdr>
                <w:top w:val="none" w:sz="0" w:space="0" w:color="auto"/>
                <w:left w:val="none" w:sz="0" w:space="0" w:color="auto"/>
                <w:bottom w:val="none" w:sz="0" w:space="0" w:color="auto"/>
                <w:right w:val="none" w:sz="0" w:space="0" w:color="auto"/>
              </w:divBdr>
            </w:div>
            <w:div w:id="1963657625">
              <w:marLeft w:val="0"/>
              <w:marRight w:val="0"/>
              <w:marTop w:val="0"/>
              <w:marBottom w:val="0"/>
              <w:divBdr>
                <w:top w:val="none" w:sz="0" w:space="0" w:color="auto"/>
                <w:left w:val="none" w:sz="0" w:space="0" w:color="auto"/>
                <w:bottom w:val="none" w:sz="0" w:space="0" w:color="auto"/>
                <w:right w:val="none" w:sz="0" w:space="0" w:color="auto"/>
              </w:divBdr>
            </w:div>
            <w:div w:id="716585795">
              <w:marLeft w:val="0"/>
              <w:marRight w:val="0"/>
              <w:marTop w:val="0"/>
              <w:marBottom w:val="0"/>
              <w:divBdr>
                <w:top w:val="none" w:sz="0" w:space="0" w:color="auto"/>
                <w:left w:val="none" w:sz="0" w:space="0" w:color="auto"/>
                <w:bottom w:val="none" w:sz="0" w:space="0" w:color="auto"/>
                <w:right w:val="none" w:sz="0" w:space="0" w:color="auto"/>
              </w:divBdr>
            </w:div>
          </w:divsChild>
        </w:div>
        <w:div w:id="990519188">
          <w:marLeft w:val="0"/>
          <w:marRight w:val="0"/>
          <w:marTop w:val="0"/>
          <w:marBottom w:val="0"/>
          <w:divBdr>
            <w:top w:val="none" w:sz="0" w:space="0" w:color="auto"/>
            <w:left w:val="none" w:sz="0" w:space="0" w:color="auto"/>
            <w:bottom w:val="none" w:sz="0" w:space="0" w:color="auto"/>
            <w:right w:val="none" w:sz="0" w:space="0" w:color="auto"/>
          </w:divBdr>
        </w:div>
        <w:div w:id="2079091001">
          <w:marLeft w:val="0"/>
          <w:marRight w:val="0"/>
          <w:marTop w:val="0"/>
          <w:marBottom w:val="0"/>
          <w:divBdr>
            <w:top w:val="none" w:sz="0" w:space="0" w:color="auto"/>
            <w:left w:val="none" w:sz="0" w:space="0" w:color="auto"/>
            <w:bottom w:val="none" w:sz="0" w:space="0" w:color="auto"/>
            <w:right w:val="none" w:sz="0" w:space="0" w:color="auto"/>
          </w:divBdr>
        </w:div>
      </w:divsChild>
    </w:div>
    <w:div w:id="1782794620">
      <w:bodyDiv w:val="1"/>
      <w:marLeft w:val="0"/>
      <w:marRight w:val="0"/>
      <w:marTop w:val="0"/>
      <w:marBottom w:val="0"/>
      <w:divBdr>
        <w:top w:val="none" w:sz="0" w:space="0" w:color="auto"/>
        <w:left w:val="none" w:sz="0" w:space="0" w:color="auto"/>
        <w:bottom w:val="none" w:sz="0" w:space="0" w:color="auto"/>
        <w:right w:val="none" w:sz="0" w:space="0" w:color="auto"/>
      </w:divBdr>
    </w:div>
    <w:div w:id="2021352915">
      <w:bodyDiv w:val="1"/>
      <w:marLeft w:val="0"/>
      <w:marRight w:val="0"/>
      <w:marTop w:val="0"/>
      <w:marBottom w:val="0"/>
      <w:divBdr>
        <w:top w:val="none" w:sz="0" w:space="0" w:color="auto"/>
        <w:left w:val="none" w:sz="0" w:space="0" w:color="auto"/>
        <w:bottom w:val="none" w:sz="0" w:space="0" w:color="auto"/>
        <w:right w:val="none" w:sz="0" w:space="0" w:color="auto"/>
      </w:divBdr>
    </w:div>
    <w:div w:id="2144612310">
      <w:bodyDiv w:val="1"/>
      <w:marLeft w:val="0"/>
      <w:marRight w:val="0"/>
      <w:marTop w:val="0"/>
      <w:marBottom w:val="0"/>
      <w:divBdr>
        <w:top w:val="none" w:sz="0" w:space="0" w:color="auto"/>
        <w:left w:val="none" w:sz="0" w:space="0" w:color="auto"/>
        <w:bottom w:val="none" w:sz="0" w:space="0" w:color="auto"/>
        <w:right w:val="none" w:sz="0" w:space="0" w:color="auto"/>
      </w:divBdr>
      <w:divsChild>
        <w:div w:id="1709643087">
          <w:marLeft w:val="0"/>
          <w:marRight w:val="0"/>
          <w:marTop w:val="0"/>
          <w:marBottom w:val="0"/>
          <w:divBdr>
            <w:top w:val="none" w:sz="0" w:space="0" w:color="auto"/>
            <w:left w:val="none" w:sz="0" w:space="0" w:color="auto"/>
            <w:bottom w:val="none" w:sz="0" w:space="0" w:color="auto"/>
            <w:right w:val="none" w:sz="0" w:space="0" w:color="auto"/>
          </w:divBdr>
          <w:divsChild>
            <w:div w:id="3015844">
              <w:marLeft w:val="0"/>
              <w:marRight w:val="0"/>
              <w:marTop w:val="0"/>
              <w:marBottom w:val="0"/>
              <w:divBdr>
                <w:top w:val="none" w:sz="0" w:space="0" w:color="auto"/>
                <w:left w:val="none" w:sz="0" w:space="0" w:color="auto"/>
                <w:bottom w:val="none" w:sz="0" w:space="0" w:color="auto"/>
                <w:right w:val="none" w:sz="0" w:space="0" w:color="auto"/>
              </w:divBdr>
            </w:div>
            <w:div w:id="174418850">
              <w:marLeft w:val="0"/>
              <w:marRight w:val="0"/>
              <w:marTop w:val="0"/>
              <w:marBottom w:val="0"/>
              <w:divBdr>
                <w:top w:val="none" w:sz="0" w:space="0" w:color="auto"/>
                <w:left w:val="none" w:sz="0" w:space="0" w:color="auto"/>
                <w:bottom w:val="none" w:sz="0" w:space="0" w:color="auto"/>
                <w:right w:val="none" w:sz="0" w:space="0" w:color="auto"/>
              </w:divBdr>
            </w:div>
            <w:div w:id="1545095137">
              <w:marLeft w:val="0"/>
              <w:marRight w:val="0"/>
              <w:marTop w:val="0"/>
              <w:marBottom w:val="0"/>
              <w:divBdr>
                <w:top w:val="none" w:sz="0" w:space="0" w:color="auto"/>
                <w:left w:val="none" w:sz="0" w:space="0" w:color="auto"/>
                <w:bottom w:val="none" w:sz="0" w:space="0" w:color="auto"/>
                <w:right w:val="none" w:sz="0" w:space="0" w:color="auto"/>
              </w:divBdr>
            </w:div>
            <w:div w:id="559294639">
              <w:marLeft w:val="0"/>
              <w:marRight w:val="0"/>
              <w:marTop w:val="0"/>
              <w:marBottom w:val="0"/>
              <w:divBdr>
                <w:top w:val="none" w:sz="0" w:space="0" w:color="auto"/>
                <w:left w:val="none" w:sz="0" w:space="0" w:color="auto"/>
                <w:bottom w:val="none" w:sz="0" w:space="0" w:color="auto"/>
                <w:right w:val="none" w:sz="0" w:space="0" w:color="auto"/>
              </w:divBdr>
            </w:div>
          </w:divsChild>
        </w:div>
        <w:div w:id="1073118260">
          <w:marLeft w:val="0"/>
          <w:marRight w:val="0"/>
          <w:marTop w:val="0"/>
          <w:marBottom w:val="0"/>
          <w:divBdr>
            <w:top w:val="none" w:sz="0" w:space="0" w:color="auto"/>
            <w:left w:val="none" w:sz="0" w:space="0" w:color="auto"/>
            <w:bottom w:val="none" w:sz="0" w:space="0" w:color="auto"/>
            <w:right w:val="none" w:sz="0" w:space="0" w:color="auto"/>
          </w:divBdr>
          <w:divsChild>
            <w:div w:id="346174392">
              <w:marLeft w:val="0"/>
              <w:marRight w:val="0"/>
              <w:marTop w:val="0"/>
              <w:marBottom w:val="0"/>
              <w:divBdr>
                <w:top w:val="none" w:sz="0" w:space="0" w:color="auto"/>
                <w:left w:val="none" w:sz="0" w:space="0" w:color="auto"/>
                <w:bottom w:val="none" w:sz="0" w:space="0" w:color="auto"/>
                <w:right w:val="none" w:sz="0" w:space="0" w:color="auto"/>
              </w:divBdr>
            </w:div>
            <w:div w:id="524759400">
              <w:marLeft w:val="0"/>
              <w:marRight w:val="0"/>
              <w:marTop w:val="0"/>
              <w:marBottom w:val="0"/>
              <w:divBdr>
                <w:top w:val="none" w:sz="0" w:space="0" w:color="auto"/>
                <w:left w:val="none" w:sz="0" w:space="0" w:color="auto"/>
                <w:bottom w:val="none" w:sz="0" w:space="0" w:color="auto"/>
                <w:right w:val="none" w:sz="0" w:space="0" w:color="auto"/>
              </w:divBdr>
            </w:div>
            <w:div w:id="128403366">
              <w:marLeft w:val="0"/>
              <w:marRight w:val="0"/>
              <w:marTop w:val="0"/>
              <w:marBottom w:val="0"/>
              <w:divBdr>
                <w:top w:val="none" w:sz="0" w:space="0" w:color="auto"/>
                <w:left w:val="none" w:sz="0" w:space="0" w:color="auto"/>
                <w:bottom w:val="none" w:sz="0" w:space="0" w:color="auto"/>
                <w:right w:val="none" w:sz="0" w:space="0" w:color="auto"/>
              </w:divBdr>
            </w:div>
            <w:div w:id="1260142959">
              <w:marLeft w:val="0"/>
              <w:marRight w:val="0"/>
              <w:marTop w:val="0"/>
              <w:marBottom w:val="0"/>
              <w:divBdr>
                <w:top w:val="none" w:sz="0" w:space="0" w:color="auto"/>
                <w:left w:val="none" w:sz="0" w:space="0" w:color="auto"/>
                <w:bottom w:val="none" w:sz="0" w:space="0" w:color="auto"/>
                <w:right w:val="none" w:sz="0" w:space="0" w:color="auto"/>
              </w:divBdr>
            </w:div>
            <w:div w:id="1714113910">
              <w:marLeft w:val="0"/>
              <w:marRight w:val="0"/>
              <w:marTop w:val="0"/>
              <w:marBottom w:val="0"/>
              <w:divBdr>
                <w:top w:val="none" w:sz="0" w:space="0" w:color="auto"/>
                <w:left w:val="none" w:sz="0" w:space="0" w:color="auto"/>
                <w:bottom w:val="none" w:sz="0" w:space="0" w:color="auto"/>
                <w:right w:val="none" w:sz="0" w:space="0" w:color="auto"/>
              </w:divBdr>
            </w:div>
          </w:divsChild>
        </w:div>
        <w:div w:id="812678563">
          <w:marLeft w:val="0"/>
          <w:marRight w:val="0"/>
          <w:marTop w:val="0"/>
          <w:marBottom w:val="0"/>
          <w:divBdr>
            <w:top w:val="none" w:sz="0" w:space="0" w:color="auto"/>
            <w:left w:val="none" w:sz="0" w:space="0" w:color="auto"/>
            <w:bottom w:val="none" w:sz="0" w:space="0" w:color="auto"/>
            <w:right w:val="none" w:sz="0" w:space="0" w:color="auto"/>
          </w:divBdr>
          <w:divsChild>
            <w:div w:id="305480127">
              <w:marLeft w:val="0"/>
              <w:marRight w:val="0"/>
              <w:marTop w:val="0"/>
              <w:marBottom w:val="0"/>
              <w:divBdr>
                <w:top w:val="none" w:sz="0" w:space="0" w:color="auto"/>
                <w:left w:val="none" w:sz="0" w:space="0" w:color="auto"/>
                <w:bottom w:val="none" w:sz="0" w:space="0" w:color="auto"/>
                <w:right w:val="none" w:sz="0" w:space="0" w:color="auto"/>
              </w:divBdr>
            </w:div>
            <w:div w:id="1345980411">
              <w:marLeft w:val="0"/>
              <w:marRight w:val="0"/>
              <w:marTop w:val="0"/>
              <w:marBottom w:val="0"/>
              <w:divBdr>
                <w:top w:val="none" w:sz="0" w:space="0" w:color="auto"/>
                <w:left w:val="none" w:sz="0" w:space="0" w:color="auto"/>
                <w:bottom w:val="none" w:sz="0" w:space="0" w:color="auto"/>
                <w:right w:val="none" w:sz="0" w:space="0" w:color="auto"/>
              </w:divBdr>
            </w:div>
            <w:div w:id="775293090">
              <w:marLeft w:val="0"/>
              <w:marRight w:val="0"/>
              <w:marTop w:val="0"/>
              <w:marBottom w:val="0"/>
              <w:divBdr>
                <w:top w:val="none" w:sz="0" w:space="0" w:color="auto"/>
                <w:left w:val="none" w:sz="0" w:space="0" w:color="auto"/>
                <w:bottom w:val="none" w:sz="0" w:space="0" w:color="auto"/>
                <w:right w:val="none" w:sz="0" w:space="0" w:color="auto"/>
              </w:divBdr>
            </w:div>
            <w:div w:id="1147546842">
              <w:marLeft w:val="0"/>
              <w:marRight w:val="0"/>
              <w:marTop w:val="0"/>
              <w:marBottom w:val="0"/>
              <w:divBdr>
                <w:top w:val="none" w:sz="0" w:space="0" w:color="auto"/>
                <w:left w:val="none" w:sz="0" w:space="0" w:color="auto"/>
                <w:bottom w:val="none" w:sz="0" w:space="0" w:color="auto"/>
                <w:right w:val="none" w:sz="0" w:space="0" w:color="auto"/>
              </w:divBdr>
            </w:div>
            <w:div w:id="938871058">
              <w:marLeft w:val="0"/>
              <w:marRight w:val="0"/>
              <w:marTop w:val="0"/>
              <w:marBottom w:val="0"/>
              <w:divBdr>
                <w:top w:val="none" w:sz="0" w:space="0" w:color="auto"/>
                <w:left w:val="none" w:sz="0" w:space="0" w:color="auto"/>
                <w:bottom w:val="none" w:sz="0" w:space="0" w:color="auto"/>
                <w:right w:val="none" w:sz="0" w:space="0" w:color="auto"/>
              </w:divBdr>
            </w:div>
            <w:div w:id="350105578">
              <w:marLeft w:val="0"/>
              <w:marRight w:val="0"/>
              <w:marTop w:val="0"/>
              <w:marBottom w:val="0"/>
              <w:divBdr>
                <w:top w:val="none" w:sz="0" w:space="0" w:color="auto"/>
                <w:left w:val="none" w:sz="0" w:space="0" w:color="auto"/>
                <w:bottom w:val="none" w:sz="0" w:space="0" w:color="auto"/>
                <w:right w:val="none" w:sz="0" w:space="0" w:color="auto"/>
              </w:divBdr>
            </w:div>
            <w:div w:id="693043973">
              <w:marLeft w:val="0"/>
              <w:marRight w:val="0"/>
              <w:marTop w:val="0"/>
              <w:marBottom w:val="0"/>
              <w:divBdr>
                <w:top w:val="none" w:sz="0" w:space="0" w:color="auto"/>
                <w:left w:val="none" w:sz="0" w:space="0" w:color="auto"/>
                <w:bottom w:val="none" w:sz="0" w:space="0" w:color="auto"/>
                <w:right w:val="none" w:sz="0" w:space="0" w:color="auto"/>
              </w:divBdr>
            </w:div>
            <w:div w:id="1484353658">
              <w:marLeft w:val="0"/>
              <w:marRight w:val="0"/>
              <w:marTop w:val="0"/>
              <w:marBottom w:val="0"/>
              <w:divBdr>
                <w:top w:val="none" w:sz="0" w:space="0" w:color="auto"/>
                <w:left w:val="none" w:sz="0" w:space="0" w:color="auto"/>
                <w:bottom w:val="none" w:sz="0" w:space="0" w:color="auto"/>
                <w:right w:val="none" w:sz="0" w:space="0" w:color="auto"/>
              </w:divBdr>
            </w:div>
          </w:divsChild>
        </w:div>
        <w:div w:id="2099592740">
          <w:marLeft w:val="0"/>
          <w:marRight w:val="0"/>
          <w:marTop w:val="0"/>
          <w:marBottom w:val="0"/>
          <w:divBdr>
            <w:top w:val="none" w:sz="0" w:space="0" w:color="auto"/>
            <w:left w:val="none" w:sz="0" w:space="0" w:color="auto"/>
            <w:bottom w:val="none" w:sz="0" w:space="0" w:color="auto"/>
            <w:right w:val="none" w:sz="0" w:space="0" w:color="auto"/>
          </w:divBdr>
          <w:divsChild>
            <w:div w:id="1962611380">
              <w:marLeft w:val="0"/>
              <w:marRight w:val="0"/>
              <w:marTop w:val="0"/>
              <w:marBottom w:val="0"/>
              <w:divBdr>
                <w:top w:val="none" w:sz="0" w:space="0" w:color="auto"/>
                <w:left w:val="none" w:sz="0" w:space="0" w:color="auto"/>
                <w:bottom w:val="none" w:sz="0" w:space="0" w:color="auto"/>
                <w:right w:val="none" w:sz="0" w:space="0" w:color="auto"/>
              </w:divBdr>
            </w:div>
            <w:div w:id="102892801">
              <w:marLeft w:val="0"/>
              <w:marRight w:val="0"/>
              <w:marTop w:val="0"/>
              <w:marBottom w:val="0"/>
              <w:divBdr>
                <w:top w:val="none" w:sz="0" w:space="0" w:color="auto"/>
                <w:left w:val="none" w:sz="0" w:space="0" w:color="auto"/>
                <w:bottom w:val="none" w:sz="0" w:space="0" w:color="auto"/>
                <w:right w:val="none" w:sz="0" w:space="0" w:color="auto"/>
              </w:divBdr>
            </w:div>
            <w:div w:id="231699715">
              <w:marLeft w:val="0"/>
              <w:marRight w:val="0"/>
              <w:marTop w:val="0"/>
              <w:marBottom w:val="0"/>
              <w:divBdr>
                <w:top w:val="none" w:sz="0" w:space="0" w:color="auto"/>
                <w:left w:val="none" w:sz="0" w:space="0" w:color="auto"/>
                <w:bottom w:val="none" w:sz="0" w:space="0" w:color="auto"/>
                <w:right w:val="none" w:sz="0" w:space="0" w:color="auto"/>
              </w:divBdr>
            </w:div>
            <w:div w:id="294138456">
              <w:marLeft w:val="0"/>
              <w:marRight w:val="0"/>
              <w:marTop w:val="0"/>
              <w:marBottom w:val="0"/>
              <w:divBdr>
                <w:top w:val="none" w:sz="0" w:space="0" w:color="auto"/>
                <w:left w:val="none" w:sz="0" w:space="0" w:color="auto"/>
                <w:bottom w:val="none" w:sz="0" w:space="0" w:color="auto"/>
                <w:right w:val="none" w:sz="0" w:space="0" w:color="auto"/>
              </w:divBdr>
            </w:div>
            <w:div w:id="1579823804">
              <w:marLeft w:val="0"/>
              <w:marRight w:val="0"/>
              <w:marTop w:val="0"/>
              <w:marBottom w:val="0"/>
              <w:divBdr>
                <w:top w:val="none" w:sz="0" w:space="0" w:color="auto"/>
                <w:left w:val="none" w:sz="0" w:space="0" w:color="auto"/>
                <w:bottom w:val="none" w:sz="0" w:space="0" w:color="auto"/>
                <w:right w:val="none" w:sz="0" w:space="0" w:color="auto"/>
              </w:divBdr>
            </w:div>
          </w:divsChild>
        </w:div>
        <w:div w:id="1597979581">
          <w:marLeft w:val="0"/>
          <w:marRight w:val="0"/>
          <w:marTop w:val="0"/>
          <w:marBottom w:val="0"/>
          <w:divBdr>
            <w:top w:val="none" w:sz="0" w:space="0" w:color="auto"/>
            <w:left w:val="none" w:sz="0" w:space="0" w:color="auto"/>
            <w:bottom w:val="none" w:sz="0" w:space="0" w:color="auto"/>
            <w:right w:val="none" w:sz="0" w:space="0" w:color="auto"/>
          </w:divBdr>
          <w:divsChild>
            <w:div w:id="349453232">
              <w:marLeft w:val="0"/>
              <w:marRight w:val="0"/>
              <w:marTop w:val="0"/>
              <w:marBottom w:val="0"/>
              <w:divBdr>
                <w:top w:val="none" w:sz="0" w:space="0" w:color="auto"/>
                <w:left w:val="none" w:sz="0" w:space="0" w:color="auto"/>
                <w:bottom w:val="none" w:sz="0" w:space="0" w:color="auto"/>
                <w:right w:val="none" w:sz="0" w:space="0" w:color="auto"/>
              </w:divBdr>
            </w:div>
            <w:div w:id="1539925788">
              <w:marLeft w:val="0"/>
              <w:marRight w:val="0"/>
              <w:marTop w:val="0"/>
              <w:marBottom w:val="0"/>
              <w:divBdr>
                <w:top w:val="none" w:sz="0" w:space="0" w:color="auto"/>
                <w:left w:val="none" w:sz="0" w:space="0" w:color="auto"/>
                <w:bottom w:val="none" w:sz="0" w:space="0" w:color="auto"/>
                <w:right w:val="none" w:sz="0" w:space="0" w:color="auto"/>
              </w:divBdr>
            </w:div>
            <w:div w:id="1413233777">
              <w:marLeft w:val="0"/>
              <w:marRight w:val="0"/>
              <w:marTop w:val="0"/>
              <w:marBottom w:val="0"/>
              <w:divBdr>
                <w:top w:val="none" w:sz="0" w:space="0" w:color="auto"/>
                <w:left w:val="none" w:sz="0" w:space="0" w:color="auto"/>
                <w:bottom w:val="none" w:sz="0" w:space="0" w:color="auto"/>
                <w:right w:val="none" w:sz="0" w:space="0" w:color="auto"/>
              </w:divBdr>
            </w:div>
            <w:div w:id="1173640257">
              <w:marLeft w:val="0"/>
              <w:marRight w:val="0"/>
              <w:marTop w:val="0"/>
              <w:marBottom w:val="0"/>
              <w:divBdr>
                <w:top w:val="none" w:sz="0" w:space="0" w:color="auto"/>
                <w:left w:val="none" w:sz="0" w:space="0" w:color="auto"/>
                <w:bottom w:val="none" w:sz="0" w:space="0" w:color="auto"/>
                <w:right w:val="none" w:sz="0" w:space="0" w:color="auto"/>
              </w:divBdr>
            </w:div>
          </w:divsChild>
        </w:div>
        <w:div w:id="527187192">
          <w:marLeft w:val="0"/>
          <w:marRight w:val="0"/>
          <w:marTop w:val="0"/>
          <w:marBottom w:val="0"/>
          <w:divBdr>
            <w:top w:val="none" w:sz="0" w:space="0" w:color="auto"/>
            <w:left w:val="none" w:sz="0" w:space="0" w:color="auto"/>
            <w:bottom w:val="none" w:sz="0" w:space="0" w:color="auto"/>
            <w:right w:val="none" w:sz="0" w:space="0" w:color="auto"/>
          </w:divBdr>
          <w:divsChild>
            <w:div w:id="13715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epa.gov/so2-pollution/final-data-requirements-rule-2010-1-hour-sulfur-dioxide-so2-primary-national-ambient" TargetMode="External"/><Relationship Id="rId26" Type="http://schemas.openxmlformats.org/officeDocument/2006/relationships/hyperlink" Target="https://www.epa.gov/aqs" TargetMode="External"/><Relationship Id="rId39" Type="http://schemas.openxmlformats.org/officeDocument/2006/relationships/hyperlink" Target="https://www.epa.gov/so2-pollution" TargetMode="External"/><Relationship Id="rId21" Type="http://schemas.openxmlformats.org/officeDocument/2006/relationships/hyperlink" Target="https://www.ecfr.gov/current/title-40/part-50/appendix-Appendix%20T%20to%20Part%2050" TargetMode="External"/><Relationship Id="rId34" Type="http://schemas.openxmlformats.org/officeDocument/2006/relationships/image" Target="media/image8.png"/><Relationship Id="rId42" Type="http://schemas.openxmlformats.org/officeDocument/2006/relationships/hyperlink" Target="https://www.epa.gov/amtic" TargetMode="External"/><Relationship Id="rId47" Type="http://schemas.openxmlformats.org/officeDocument/2006/relationships/hyperlink" Target="https://www.epa.gov/sites/default/files/2021-03/national_tier1_caps.xlsx" TargetMode="External"/><Relationship Id="rId50" Type="http://schemas.openxmlformats.org/officeDocument/2006/relationships/hyperlink" Target="https://www.epa.gov/outdoor-air-quality-data/single-point-precision-and-bias-report" TargetMode="External"/><Relationship Id="rId55" Type="http://schemas.openxmlformats.org/officeDocument/2006/relationships/fontTable" Target="fontTable.xml"/><Relationship Id="rId7" Type="http://schemas.openxmlformats.org/officeDocument/2006/relationships/hyperlink" Target="https://www.epa.gov/air-emissions-inventories"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image" Target="media/image2.png"/><Relationship Id="rId24" Type="http://schemas.openxmlformats.org/officeDocument/2006/relationships/hyperlink" Target="https://www.epa.gov/aqs" TargetMode="External"/><Relationship Id="rId32" Type="http://schemas.openxmlformats.org/officeDocument/2006/relationships/hyperlink" Target="https://www.epa.gov/aqs" TargetMode="External"/><Relationship Id="rId37" Type="http://schemas.openxmlformats.org/officeDocument/2006/relationships/hyperlink" Target="https://cfpub.epa.gov/ncea/isa/recordisplay.cfm?deid=338596" TargetMode="External"/><Relationship Id="rId40" Type="http://schemas.openxmlformats.org/officeDocument/2006/relationships/hyperlink" Target="https://www.epa.gov/naaqs/sulfur-dioxide-so2-primary-air-quality-standards" TargetMode="External"/><Relationship Id="rId45" Type="http://schemas.openxmlformats.org/officeDocument/2006/relationships/hyperlink" Target="https://www.epa.gov/outdoor-air-quality-data" TargetMode="External"/><Relationship Id="rId53" Type="http://schemas.openxmlformats.org/officeDocument/2006/relationships/hyperlink" Target="file:///C:\Users\bwells01\Documents\NAAQS_AQ\markdown\2021\SO2_2021.html" TargetMode="External"/><Relationship Id="rId5" Type="http://schemas.openxmlformats.org/officeDocument/2006/relationships/footnotes" Target="footnotes.xml"/><Relationship Id="rId10" Type="http://schemas.openxmlformats.org/officeDocument/2006/relationships/hyperlink" Target="file:///C:\Users\bwells01\Documents\NAAQS_AQ\markdown\2021\SO2_2021.html" TargetMode="External"/><Relationship Id="rId19" Type="http://schemas.openxmlformats.org/officeDocument/2006/relationships/hyperlink" Target="https://www.epa.gov/aqs" TargetMode="External"/><Relationship Id="rId31" Type="http://schemas.openxmlformats.org/officeDocument/2006/relationships/image" Target="media/image7.png"/><Relationship Id="rId44" Type="http://schemas.openxmlformats.org/officeDocument/2006/relationships/hyperlink" Target="https://www.epa.gov/air-trends" TargetMode="External"/><Relationship Id="rId52" Type="http://schemas.openxmlformats.org/officeDocument/2006/relationships/hyperlink" Target="file:///C:\Users\bwells01\Documents\NAAQS_AQ\markdown\2021\SO2_2021.html" TargetMode="External"/><Relationship Id="rId4" Type="http://schemas.openxmlformats.org/officeDocument/2006/relationships/webSettings" Target="webSettings.xml"/><Relationship Id="rId9" Type="http://schemas.openxmlformats.org/officeDocument/2006/relationships/hyperlink" Target="https://www.epa.gov/air-emissions-inventories/2017-national-emissions-inventory-nei-data" TargetMode="External"/><Relationship Id="rId14" Type="http://schemas.openxmlformats.org/officeDocument/2006/relationships/hyperlink" Target="https://www.epa.gov/air-emissions-inventories/2017-national-emissions-inventory-nei-data" TargetMode="External"/><Relationship Id="rId22" Type="http://schemas.openxmlformats.org/officeDocument/2006/relationships/footer" Target="footer1.xml"/><Relationship Id="rId27" Type="http://schemas.openxmlformats.org/officeDocument/2006/relationships/image" Target="media/image5.png"/><Relationship Id="rId30" Type="http://schemas.openxmlformats.org/officeDocument/2006/relationships/hyperlink" Target="https://www.epa.gov/aqs" TargetMode="External"/><Relationship Id="rId35" Type="http://schemas.openxmlformats.org/officeDocument/2006/relationships/hyperlink" Target="file:///C:\Users\bwells01\Documents\NAAQS_AQ\markdown\2021\SO2_2021.html" TargetMode="External"/><Relationship Id="rId43" Type="http://schemas.openxmlformats.org/officeDocument/2006/relationships/hyperlink" Target="https://www.epa.gov/air-trends/air-quality-design-values" TargetMode="External"/><Relationship Id="rId48" Type="http://schemas.openxmlformats.org/officeDocument/2006/relationships/hyperlink" Target="file:///C:\Users\bwells01\Documents\NAAQS_AQ\markdown\2021\SO2_2021.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file:///C:\Users\bwells01\Documents\NAAQS_AQ\markdown\2021\SO2_2021.html" TargetMode="External"/><Relationship Id="rId3" Type="http://schemas.openxmlformats.org/officeDocument/2006/relationships/settings" Target="settings.xml"/><Relationship Id="rId12" Type="http://schemas.openxmlformats.org/officeDocument/2006/relationships/hyperlink" Target="https://www.epa.gov/air-emissions-inventories/air-pollutant-emissions-trends-data" TargetMode="External"/><Relationship Id="rId17" Type="http://schemas.openxmlformats.org/officeDocument/2006/relationships/hyperlink" Target="https://www.epa.gov/aqs" TargetMode="External"/><Relationship Id="rId25" Type="http://schemas.openxmlformats.org/officeDocument/2006/relationships/hyperlink" Target="file:///C:\Users\bwells01\Documents\NAAQS_AQ\markdown\2021\SO2_2021.html" TargetMode="External"/><Relationship Id="rId33" Type="http://schemas.openxmlformats.org/officeDocument/2006/relationships/hyperlink" Target="file:///C:\Users\bwells01\Documents\NAAQS_AQ\markdown\2021\SO2_2021.html" TargetMode="External"/><Relationship Id="rId38" Type="http://schemas.openxmlformats.org/officeDocument/2006/relationships/hyperlink" Target="https://www.epa.gov/sites/default/files/2018-05/documents/primary_so2_naaqs_-_final_pa_-_may_2018.pdf" TargetMode="External"/><Relationship Id="rId46" Type="http://schemas.openxmlformats.org/officeDocument/2006/relationships/hyperlink" Target="https://www.epa.gov/air-emissions-inventories/air-pollutant-emissions-trends-data" TargetMode="External"/><Relationship Id="rId20" Type="http://schemas.openxmlformats.org/officeDocument/2006/relationships/hyperlink" Target="file:///C:\Users\bwells01\Documents\NAAQS_AQ\markdown\2021\SO2_2021.html" TargetMode="External"/><Relationship Id="rId41" Type="http://schemas.openxmlformats.org/officeDocument/2006/relationships/hyperlink" Target="https://www.epa.gov/air-emissions-inventories/national-emissions-inventory-nei" TargetMode="External"/><Relationship Id="rId54" Type="http://schemas.openxmlformats.org/officeDocument/2006/relationships/hyperlink" Target="file:///C:\Users\bwells01\Documents\NAAQS_AQ\markdown\2021\SO2_2021.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pa.gov/amtic/ncore-monitoring-network" TargetMode="External"/><Relationship Id="rId23" Type="http://schemas.openxmlformats.org/officeDocument/2006/relationships/hyperlink" Target="file:///C:\Users\bwells01\Documents\NAAQS_AQ\markdown\2021\SO2_2021.html" TargetMode="External"/><Relationship Id="rId28" Type="http://schemas.openxmlformats.org/officeDocument/2006/relationships/hyperlink" Target="https://www.epa.gov/aqs" TargetMode="External"/><Relationship Id="rId36" Type="http://schemas.openxmlformats.org/officeDocument/2006/relationships/hyperlink" Target="https://www.epa.gov/aqs" TargetMode="External"/><Relationship Id="rId49" Type="http://schemas.openxmlformats.org/officeDocument/2006/relationships/hyperlink" Target="https://www.ecfr.gov/current/title-40/part-58/appendix-Appendix%20A%20to%20Part%2058"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4882</Words>
  <Characters>27832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Benjamin</dc:creator>
  <cp:keywords/>
  <dc:description/>
  <cp:lastModifiedBy>Wells, Benjamin</cp:lastModifiedBy>
  <cp:revision>8</cp:revision>
  <dcterms:created xsi:type="dcterms:W3CDTF">2022-06-09T15:22:00Z</dcterms:created>
  <dcterms:modified xsi:type="dcterms:W3CDTF">2023-02-07T22:12:00Z</dcterms:modified>
</cp:coreProperties>
</file>