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CD9C" w14:textId="77777777" w:rsidR="00405474" w:rsidRDefault="00000000">
      <w:pPr>
        <w:pStyle w:val="Title"/>
      </w:pPr>
      <w:r>
        <w:t>Healthcare Experiences of Elderly LGBTQ+ Individuals in the US</w:t>
      </w:r>
    </w:p>
    <w:p w14:paraId="39EFE0FE" w14:textId="77777777" w:rsidR="00405474" w:rsidRDefault="00000000">
      <w:pPr>
        <w:pStyle w:val="Subtitle"/>
      </w:pPr>
      <w:r>
        <w:t>A Visual Analysis Using Medical Expenditure Panel Survey (MEPS) Data</w:t>
      </w:r>
    </w:p>
    <w:p w14:paraId="42974BE9" w14:textId="77777777" w:rsidR="00405474" w:rsidRDefault="00000000">
      <w:pPr>
        <w:pStyle w:val="Author"/>
      </w:pPr>
      <w:r>
        <w:t>C. Seth Lester, ASA, MAAA (</w:t>
      </w:r>
      <w:hyperlink r:id="rId7">
        <w:r>
          <w:rPr>
            <w:rStyle w:val="Hyperlink"/>
          </w:rPr>
          <w:t>Seth.Lester@milliman.com</w:t>
        </w:r>
      </w:hyperlink>
      <w:r>
        <w:t xml:space="preserve">) </w:t>
      </w:r>
    </w:p>
    <w:p w14:paraId="4148091A" w14:textId="77777777" w:rsidR="00405474" w:rsidRDefault="00000000">
      <w:pPr>
        <w:pStyle w:val="FirstParagraph"/>
      </w:pPr>
      <w:r>
        <w:rPr>
          <w:i/>
          <w:iCs/>
        </w:rPr>
        <w:t xml:space="preserve">The following paper is a submission in reply to the </w:t>
      </w:r>
      <w:hyperlink r:id="rId8">
        <w:r>
          <w:rPr>
            <w:rStyle w:val="Hyperlink"/>
            <w:i/>
            <w:iCs/>
          </w:rPr>
          <w:t>Society of Actuaries’ Call for Papers</w:t>
        </w:r>
      </w:hyperlink>
      <w:r>
        <w:rPr>
          <w:i/>
          <w:iCs/>
        </w:rPr>
        <w:t xml:space="preserve"> under the heading “</w:t>
      </w:r>
      <w:hyperlink r:id="rId9">
        <w:r>
          <w:rPr>
            <w:rStyle w:val="Hyperlink"/>
            <w:i/>
            <w:iCs/>
          </w:rPr>
          <w:t>Aging and Retirement Issues for LGBTQ+ People – Second Invitation</w:t>
        </w:r>
      </w:hyperlink>
      <w:r>
        <w:rPr>
          <w:i/>
          <w:iCs/>
        </w:rPr>
        <w:t>”.</w:t>
      </w:r>
    </w:p>
    <w:p w14:paraId="03921406" w14:textId="77777777" w:rsidR="00405474" w:rsidRDefault="00000000">
      <w:pPr>
        <w:pStyle w:val="Heading1"/>
      </w:pPr>
      <w:bookmarkStart w:id="0" w:name="background-and-purpose"/>
      <w:r>
        <w:t>Background and Purpose</w:t>
      </w:r>
    </w:p>
    <w:p w14:paraId="1616DB09" w14:textId="77777777" w:rsidR="00405474" w:rsidRDefault="00000000">
      <w:pPr>
        <w:pStyle w:val="FirstParagraph"/>
      </w:pPr>
      <w:r>
        <w:t>For some LGBTQ+-identifying subpopulations, the level of discrimination we face in society is rapidly decreasing; for others, such as transgender individuals, there are still impactful and endemic stigmas in play which act as a barrier to living full and rewarding lives. Barriers such as these have potentially inhibited the ability of many people who identify as LGBTQ+ from enjoying the same protections of our social safety net – such as healthcare and retirement security systems – that are enjoyed by non-LGBTQ+-identifying people.</w:t>
      </w:r>
    </w:p>
    <w:p w14:paraId="05DDAC3C" w14:textId="77777777" w:rsidR="00405474" w:rsidRDefault="00000000">
      <w:pPr>
        <w:pStyle w:val="BodyText"/>
      </w:pPr>
      <w:r>
        <w:t>It is difficult today for analysts to credibly estimate how retirement-related outcomes differ between LGBTQ+ and non-LGBTQ+ populations, or how to quantify the disparities of outcomes among intersectional subpopulations that exist today within LGBTQ+ communities. One key reason for this difficulty is the lack of available data that can help guide our policymaking apparatus towards better regulations and protections for members of our society who are more likely to be marginalized, stigmatized, or disadvantaged by systemic factors. This includes LGBTQ+ people, of course, but heavily intersects with people of color, women, religious minorities, immigrants, disabled individuals, and countless other populations of interest within the United States.</w:t>
      </w:r>
    </w:p>
    <w:p w14:paraId="2425239C" w14:textId="77777777" w:rsidR="00405474" w:rsidRDefault="00000000">
      <w:pPr>
        <w:pStyle w:val="BodyText"/>
      </w:pPr>
      <w:r>
        <w:t xml:space="preserve">In the healthcare space, there is ample energy surrounding the important work being done by organizations, both private and public, to better understand the impacts of what are known as Social Determinants of Health – “the conditions in the environments where people are born, live, learn, work, play, worship, and age that affect a wide range of health, functioning, and quality-of-life outcomes and risks” (as defined by the </w:t>
      </w:r>
      <w:hyperlink r:id="rId10">
        <w:r>
          <w:rPr>
            <w:rStyle w:val="Hyperlink"/>
          </w:rPr>
          <w:t>US Dept. of Health and Human Services</w:t>
        </w:r>
      </w:hyperlink>
      <w:r>
        <w:t>).</w:t>
      </w:r>
    </w:p>
    <w:p w14:paraId="3FD3D8C9" w14:textId="77777777" w:rsidR="00405474" w:rsidRDefault="00000000">
      <w:pPr>
        <w:pStyle w:val="BodyText"/>
      </w:pPr>
      <w:r>
        <w:t>Social Determinants of Health (SDoH) can provide strong causal evidence for how certain subpopulations of our society disproportionately experience poor health outcomes . Consequently, population health professionals and actuaries alike have an interest in better understanding the relationships between SDoH and access to quality healthcare that is both affordable and can be sustainably provided by the care delivery system.</w:t>
      </w:r>
    </w:p>
    <w:p w14:paraId="3D306AF1" w14:textId="77777777" w:rsidR="00405474" w:rsidRDefault="00000000">
      <w:pPr>
        <w:pStyle w:val="BodyText"/>
      </w:pPr>
      <w:r>
        <w:t>It is therefore reasonable to suspect that disparities in retirement-related outcomes between LGBTQ+ and non-LGBTQ+ populations are also highly dependent upon many of the same Social Determinants of Health (SDoH) factors that heavily influence healthcare outcomes, experiences, and costs.</w:t>
      </w:r>
    </w:p>
    <w:p w14:paraId="058363D0" w14:textId="77777777" w:rsidR="00405474" w:rsidRDefault="00000000">
      <w:pPr>
        <w:pStyle w:val="BodyText"/>
      </w:pPr>
      <w:r>
        <w:t xml:space="preserve">In order to investigate this idea, I set out to explore the publicly available </w:t>
      </w:r>
      <w:hyperlink r:id="rId11">
        <w:r>
          <w:rPr>
            <w:rStyle w:val="Hyperlink"/>
          </w:rPr>
          <w:t>Medical Expenditure Panel Survey</w:t>
        </w:r>
      </w:hyperlink>
      <w:r>
        <w:t xml:space="preserve"> (MEPS) public data files to determine if there are useful data available for distilling connections between retirement-related outcomes, many of which depend extensively on healthcare outcomes and lived socioeconomic experiences, which may be very different for LGBTQ+ individuals.</w:t>
      </w:r>
    </w:p>
    <w:p w14:paraId="1C98E840" w14:textId="77777777" w:rsidR="00405474" w:rsidRDefault="00000000">
      <w:pPr>
        <w:pStyle w:val="BodyText"/>
      </w:pPr>
      <w:r>
        <w:t xml:space="preserve">In order to investigate this idea, I set out to explore the publicly-available (MEPS) datasets to determine if there were useful data available for distilling connections between retirement-related outcomes, many of which depend </w:t>
      </w:r>
      <w:r>
        <w:lastRenderedPageBreak/>
        <w:t>extensively on healthcare outcomes, and the lived socioeconomic experiences often encountered by LGBTQ+ individuals.</w:t>
      </w:r>
    </w:p>
    <w:p w14:paraId="31128FE1" w14:textId="77777777" w:rsidR="00405474" w:rsidRDefault="00000000">
      <w:pPr>
        <w:pStyle w:val="Heading2"/>
      </w:pPr>
      <w:bookmarkStart w:id="1" w:name="about-meps"/>
      <w:r>
        <w:t>About MEPS</w:t>
      </w:r>
    </w:p>
    <w:p w14:paraId="30268028" w14:textId="77777777" w:rsidR="00405474" w:rsidRDefault="00000000">
      <w:pPr>
        <w:pStyle w:val="FirstParagraph"/>
      </w:pPr>
      <w:r>
        <w:t xml:space="preserve">MEPS has been administered since 1996, and according the </w:t>
      </w:r>
      <w:hyperlink r:id="rId12">
        <w:r>
          <w:rPr>
            <w:rStyle w:val="Hyperlink"/>
          </w:rPr>
          <w:t>Agency for Healthcare Research and Quality</w:t>
        </w:r>
      </w:hyperlink>
      <w:r>
        <w:t xml:space="preserve"> (AHRQ), which is the government agency at MEPS’s helm, MEPS is a collection of “data on the specific health services that Americans use, how frequently they use them, the cost of these services, and how they are paid for, as well as data on the cost, scope, and breadth of health insurance held by and available to U.S. workers” (</w:t>
      </w:r>
      <w:hyperlink r:id="rId13">
        <w:r>
          <w:rPr>
            <w:rStyle w:val="Hyperlink"/>
          </w:rPr>
          <w:t>Survey Background, MEPS Homepage</w:t>
        </w:r>
      </w:hyperlink>
      <w:r>
        <w:t>).</w:t>
      </w:r>
    </w:p>
    <w:p w14:paraId="500F5B11" w14:textId="77777777" w:rsidR="00405474" w:rsidRDefault="00000000">
      <w:pPr>
        <w:pStyle w:val="BodyText"/>
      </w:pPr>
      <w:r>
        <w:t xml:space="preserve">For those individuals seeking to learn more about how to conduct analyses using MEPS data, you can find code examples written in both SAS and R on the </w:t>
      </w:r>
      <w:hyperlink r:id="rId14">
        <w:r>
          <w:rPr>
            <w:rStyle w:val="Hyperlink"/>
          </w:rPr>
          <w:t>MEPS Github page</w:t>
        </w:r>
      </w:hyperlink>
      <w:r>
        <w:t>. Furthermore, the MEPS staff regularly conducts online training seminars.</w:t>
      </w:r>
    </w:p>
    <w:p w14:paraId="78258186" w14:textId="77777777" w:rsidR="00405474" w:rsidRDefault="00000000">
      <w:pPr>
        <w:pStyle w:val="BodyText"/>
      </w:pPr>
      <w:r>
        <w:t>As MEPS is a survey and therefore the data is either self-reported or imputed, there are some situations in which individuals using this data might want to perform additional quality checks. An example of quality checking could consist of checking the count of individuals with a non-null value for spouse ID (metadata not generated by the respondent) against the count of individuals who indicated in response to a survey question that they are married (data provided by the respondent).</w:t>
      </w:r>
    </w:p>
    <w:p w14:paraId="51E6F687" w14:textId="77777777" w:rsidR="00405474" w:rsidRDefault="00000000">
      <w:pPr>
        <w:pStyle w:val="BodyText"/>
      </w:pPr>
      <w:r>
        <w:t xml:space="preserve">Additionally, MEPS provides </w:t>
      </w:r>
      <w:hyperlink r:id="rId15">
        <w:r>
          <w:rPr>
            <w:rStyle w:val="Hyperlink"/>
          </w:rPr>
          <w:t>statistical precision guidelines</w:t>
        </w:r>
      </w:hyperlink>
      <w:r>
        <w:t xml:space="preserve"> about making inferences with the data, which include restrictions and guidance concerning minimum sample size and acceptable error rates. I discuss this guidance further in a subsequent section.</w:t>
      </w:r>
    </w:p>
    <w:p w14:paraId="248C74D5" w14:textId="77777777" w:rsidR="00405474" w:rsidRDefault="00000000">
      <w:pPr>
        <w:pStyle w:val="Heading2"/>
      </w:pPr>
      <w:bookmarkStart w:id="2" w:name="lgbtq-individuals-and-meps-data"/>
      <w:bookmarkEnd w:id="1"/>
      <w:r>
        <w:t>LGBTQ+ Individuals and MEPS Data</w:t>
      </w:r>
    </w:p>
    <w:p w14:paraId="3B6AD669" w14:textId="77777777" w:rsidR="00405474" w:rsidRDefault="00000000">
      <w:pPr>
        <w:pStyle w:val="FirstParagraph"/>
      </w:pPr>
      <w:r>
        <w:t>The MEPS questionnaire includes questions ranging from basic demography facts to employment status, food stamp usage, diagnoses of key chronic conditions, whether the respondent has a commercially or government-administered health-plan, what medications they filled, medical procedures they received, even down to the race or ethnicity of their providers.</w:t>
      </w:r>
    </w:p>
    <w:p w14:paraId="0CB05B7B" w14:textId="77777777" w:rsidR="00405474" w:rsidRDefault="00000000">
      <w:pPr>
        <w:pStyle w:val="BodyText"/>
      </w:pPr>
      <w:r>
        <w:t>However, one piece of information that is glaringly absent from the survey responses or imputed data is any mention of whether the respondent identifies as LGBTQ+.</w:t>
      </w:r>
    </w:p>
    <w:p w14:paraId="64B22F49" w14:textId="77777777" w:rsidR="00405474" w:rsidRDefault="00000000">
      <w:pPr>
        <w:pStyle w:val="BodyText"/>
      </w:pPr>
      <w:r>
        <w:t>However, since it is possible to use the survey metadata to identify respondents who are spouses of one another, and because MEPS provides the self-reported gender of each respondent within each family unit and household, this approach can be used to create a data set of all married respondents, and furthermore, a label indicating which married respondents are in same-gender marriages, which serves as a proxy indicator of LGBTQ+ identity for the purposes of this analysis.</w:t>
      </w:r>
    </w:p>
    <w:p w14:paraId="22CCE6CD" w14:textId="77777777" w:rsidR="00405474" w:rsidRDefault="00000000">
      <w:pPr>
        <w:pStyle w:val="BodyText"/>
      </w:pPr>
      <w:r>
        <w:t xml:space="preserve">The R code that performs this analysis and prepares this document is available on </w:t>
      </w:r>
      <w:hyperlink r:id="rId16">
        <w:r>
          <w:rPr>
            <w:rStyle w:val="Hyperlink"/>
          </w:rPr>
          <w:t>my personal Github site</w:t>
        </w:r>
      </w:hyperlink>
      <w:r>
        <w:t>.</w:t>
      </w:r>
    </w:p>
    <w:p w14:paraId="29BF13CD" w14:textId="77777777" w:rsidR="00405474" w:rsidRDefault="00000000">
      <w:pPr>
        <w:pStyle w:val="Heading1"/>
      </w:pPr>
      <w:bookmarkStart w:id="3" w:name="data-and-methodology"/>
      <w:bookmarkEnd w:id="0"/>
      <w:bookmarkEnd w:id="2"/>
      <w:r>
        <w:t>Data and Methodology</w:t>
      </w:r>
    </w:p>
    <w:p w14:paraId="22676455" w14:textId="77777777" w:rsidR="00405474" w:rsidRDefault="00000000">
      <w:pPr>
        <w:pStyle w:val="FirstParagraph"/>
      </w:pPr>
      <w:r>
        <w:t xml:space="preserve">Since the LGBTQ+-identifying population in the United States is a relatively small subset of the overall US population, MEPS data PUFs (Public Use Files) from surveys representative of years between 2014 and 2019 (see table below) have been pooled together to produce the data visualizations and tables within this essay. The purpose of pooling these PUFs is to create a final table that is sufficiently large to meet MEPS’ </w:t>
      </w:r>
      <w:hyperlink r:id="rId17">
        <w:r>
          <w:rPr>
            <w:rStyle w:val="Hyperlink"/>
          </w:rPr>
          <w:t>statistical precision guidelines</w:t>
        </w:r>
      </w:hyperlink>
      <w:r>
        <w:t xml:space="preserve"> for making inferences about population-level estimates of key statistics relevant to the healthcare experiences of individuals in the US who are (a) in same-gender marriages and (b) above the age of 65.</w:t>
      </w:r>
    </w:p>
    <w:p w14:paraId="7380E7F1" w14:textId="77777777" w:rsidR="00405474" w:rsidRDefault="00000000">
      <w:pPr>
        <w:pStyle w:val="BodyText"/>
      </w:pPr>
      <w:r>
        <w:t>All MEPS Full Year Consolidated data PUFs listed in the following table contain variables pertaining to survey administration, income, person-level conditions, health status, disability days, quality of care, employment, health insurance, and person-level medical care use and expenditures.</w:t>
      </w:r>
    </w:p>
    <w:tbl>
      <w:tblPr>
        <w:tblStyle w:val="Table"/>
        <w:tblW w:w="5000" w:type="pct"/>
        <w:tblLook w:val="0020" w:firstRow="1" w:lastRow="0" w:firstColumn="0" w:lastColumn="0" w:noHBand="0" w:noVBand="0"/>
      </w:tblPr>
      <w:tblGrid>
        <w:gridCol w:w="2740"/>
        <w:gridCol w:w="6836"/>
      </w:tblGrid>
      <w:tr w:rsidR="00405474" w14:paraId="6AB4D98F" w14:textId="77777777" w:rsidTr="00405474">
        <w:trPr>
          <w:cnfStyle w:val="100000000000" w:firstRow="1" w:lastRow="0" w:firstColumn="0" w:lastColumn="0" w:oddVBand="0" w:evenVBand="0" w:oddHBand="0" w:evenHBand="0" w:firstRowFirstColumn="0" w:firstRowLastColumn="0" w:lastRowFirstColumn="0" w:lastRowLastColumn="0"/>
          <w:tblHeader/>
        </w:trPr>
        <w:tc>
          <w:tcPr>
            <w:tcW w:w="0" w:type="auto"/>
          </w:tcPr>
          <w:p w14:paraId="334F0B4D" w14:textId="77777777" w:rsidR="00405474" w:rsidRDefault="00000000">
            <w:pPr>
              <w:pStyle w:val="Compact"/>
            </w:pPr>
            <w:r>
              <w:lastRenderedPageBreak/>
              <w:t>Data File</w:t>
            </w:r>
          </w:p>
        </w:tc>
        <w:tc>
          <w:tcPr>
            <w:tcW w:w="0" w:type="auto"/>
          </w:tcPr>
          <w:p w14:paraId="7A716176" w14:textId="77777777" w:rsidR="00405474" w:rsidRDefault="00000000">
            <w:pPr>
              <w:pStyle w:val="Compact"/>
            </w:pPr>
            <w:r>
              <w:t>Description</w:t>
            </w:r>
          </w:p>
        </w:tc>
      </w:tr>
      <w:tr w:rsidR="00405474" w14:paraId="005885DF" w14:textId="77777777">
        <w:tc>
          <w:tcPr>
            <w:tcW w:w="0" w:type="auto"/>
          </w:tcPr>
          <w:p w14:paraId="370B4028" w14:textId="77777777" w:rsidR="00405474" w:rsidRDefault="00000000">
            <w:pPr>
              <w:pStyle w:val="Compact"/>
            </w:pPr>
            <w:hyperlink r:id="rId18">
              <w:r>
                <w:rPr>
                  <w:rStyle w:val="Hyperlink"/>
                </w:rPr>
                <w:t>2019 Full Year Consolidated Data File</w:t>
              </w:r>
            </w:hyperlink>
          </w:p>
        </w:tc>
        <w:tc>
          <w:tcPr>
            <w:tcW w:w="0" w:type="auto"/>
          </w:tcPr>
          <w:p w14:paraId="45A90603" w14:textId="77777777" w:rsidR="00405474" w:rsidRDefault="00000000">
            <w:pPr>
              <w:pStyle w:val="Compact"/>
            </w:pPr>
            <w:r>
              <w:t>This file consists of MEPS survey data obtained in Rounds 3, 4, and 5 of Panel 23 and Rounds 1, 2, and 3 of Panel 24, the rounds for the MEPS panels covering calendar year 2019.</w:t>
            </w:r>
          </w:p>
        </w:tc>
      </w:tr>
      <w:tr w:rsidR="00405474" w14:paraId="53A15E3D" w14:textId="77777777">
        <w:tc>
          <w:tcPr>
            <w:tcW w:w="0" w:type="auto"/>
          </w:tcPr>
          <w:p w14:paraId="5F147B40" w14:textId="77777777" w:rsidR="00405474" w:rsidRDefault="00000000">
            <w:pPr>
              <w:pStyle w:val="Compact"/>
            </w:pPr>
            <w:hyperlink r:id="rId19">
              <w:r>
                <w:rPr>
                  <w:rStyle w:val="Hyperlink"/>
                </w:rPr>
                <w:t>2018 Full Year Consolidated Data File</w:t>
              </w:r>
            </w:hyperlink>
          </w:p>
        </w:tc>
        <w:tc>
          <w:tcPr>
            <w:tcW w:w="0" w:type="auto"/>
          </w:tcPr>
          <w:p w14:paraId="2FC92BC8" w14:textId="77777777" w:rsidR="00405474" w:rsidRDefault="00000000">
            <w:pPr>
              <w:pStyle w:val="Compact"/>
            </w:pPr>
            <w:r>
              <w:t>This file consists of MEPS survey data obtained in Rounds 3, 4, and 5 of Panel 22 and Rounds 1, 2, and 3 of Panel 23, the rounds for the MEPS panels covering calendar year 2018.</w:t>
            </w:r>
          </w:p>
        </w:tc>
      </w:tr>
      <w:tr w:rsidR="00405474" w14:paraId="491026F8" w14:textId="77777777">
        <w:tc>
          <w:tcPr>
            <w:tcW w:w="0" w:type="auto"/>
          </w:tcPr>
          <w:p w14:paraId="70A9280B" w14:textId="77777777" w:rsidR="00405474" w:rsidRDefault="00000000">
            <w:pPr>
              <w:pStyle w:val="Compact"/>
            </w:pPr>
            <w:hyperlink r:id="rId20">
              <w:r>
                <w:rPr>
                  <w:rStyle w:val="Hyperlink"/>
                </w:rPr>
                <w:t>2017 Full Year Consolidated Data File</w:t>
              </w:r>
            </w:hyperlink>
          </w:p>
        </w:tc>
        <w:tc>
          <w:tcPr>
            <w:tcW w:w="0" w:type="auto"/>
          </w:tcPr>
          <w:p w14:paraId="24721EB1" w14:textId="77777777" w:rsidR="00405474" w:rsidRDefault="00000000">
            <w:pPr>
              <w:pStyle w:val="Compact"/>
            </w:pPr>
            <w:r>
              <w:t>This file consists of MEPS survey data obtained in Rounds 3, 4, and 5 of Panel 21 and Rounds 1, 2, and 3 of Panel 22, the rounds for the MEPS panels covering calendar year 2017.</w:t>
            </w:r>
          </w:p>
        </w:tc>
      </w:tr>
      <w:tr w:rsidR="00405474" w14:paraId="1DF465F4" w14:textId="77777777">
        <w:tc>
          <w:tcPr>
            <w:tcW w:w="0" w:type="auto"/>
          </w:tcPr>
          <w:p w14:paraId="0BB3DA8E" w14:textId="77777777" w:rsidR="00405474" w:rsidRDefault="00000000">
            <w:pPr>
              <w:pStyle w:val="Compact"/>
            </w:pPr>
            <w:hyperlink r:id="rId21">
              <w:r>
                <w:rPr>
                  <w:rStyle w:val="Hyperlink"/>
                </w:rPr>
                <w:t>2016 Full Year Consolidated Data File</w:t>
              </w:r>
            </w:hyperlink>
          </w:p>
        </w:tc>
        <w:tc>
          <w:tcPr>
            <w:tcW w:w="0" w:type="auto"/>
          </w:tcPr>
          <w:p w14:paraId="0DD420A1" w14:textId="77777777" w:rsidR="00405474" w:rsidRDefault="00000000">
            <w:pPr>
              <w:pStyle w:val="Compact"/>
            </w:pPr>
            <w:r>
              <w:t>This file consists of MEPS survey data obtained in Rounds 3, 4, and 5 of Panel 20 and Rounds 1, 2, and 3 of Panel 21, the rounds for the MEPS panels covering calendar year 2016.</w:t>
            </w:r>
          </w:p>
        </w:tc>
      </w:tr>
      <w:tr w:rsidR="00405474" w14:paraId="2662E182" w14:textId="77777777">
        <w:tc>
          <w:tcPr>
            <w:tcW w:w="0" w:type="auto"/>
          </w:tcPr>
          <w:p w14:paraId="43F81496" w14:textId="77777777" w:rsidR="00405474" w:rsidRDefault="00000000">
            <w:pPr>
              <w:pStyle w:val="Compact"/>
            </w:pPr>
            <w:hyperlink r:id="rId22">
              <w:r>
                <w:rPr>
                  <w:rStyle w:val="Hyperlink"/>
                </w:rPr>
                <w:t>2015 Full Year Consolidated Data File</w:t>
              </w:r>
            </w:hyperlink>
          </w:p>
        </w:tc>
        <w:tc>
          <w:tcPr>
            <w:tcW w:w="0" w:type="auto"/>
          </w:tcPr>
          <w:p w14:paraId="1F3A9B41" w14:textId="77777777" w:rsidR="00405474" w:rsidRDefault="00000000">
            <w:pPr>
              <w:pStyle w:val="Compact"/>
            </w:pPr>
            <w:r>
              <w:t>This file consists of MEPS survey data obtained in Rounds 3, 4, and 5 of Panel 19 and Rounds 1, 2, and 3 of Panel 20, the rounds for the MEPS panels covering calendar year 2015.</w:t>
            </w:r>
          </w:p>
        </w:tc>
      </w:tr>
      <w:tr w:rsidR="00405474" w14:paraId="6215AE7B" w14:textId="77777777">
        <w:tc>
          <w:tcPr>
            <w:tcW w:w="0" w:type="auto"/>
          </w:tcPr>
          <w:p w14:paraId="3A720A59" w14:textId="77777777" w:rsidR="00405474" w:rsidRDefault="00000000">
            <w:pPr>
              <w:pStyle w:val="Compact"/>
            </w:pPr>
            <w:hyperlink r:id="rId23">
              <w:r>
                <w:rPr>
                  <w:rStyle w:val="Hyperlink"/>
                </w:rPr>
                <w:t>2014 Full Year Consolidated Data File</w:t>
              </w:r>
            </w:hyperlink>
          </w:p>
        </w:tc>
        <w:tc>
          <w:tcPr>
            <w:tcW w:w="0" w:type="auto"/>
          </w:tcPr>
          <w:p w14:paraId="4403D52B" w14:textId="77777777" w:rsidR="00405474" w:rsidRDefault="00000000">
            <w:pPr>
              <w:pStyle w:val="Compact"/>
            </w:pPr>
            <w:r>
              <w:t>This file consists of MEPS survey data obtained in Rounds 3, 4, and 5 of Panel 18 and Rounds 1, 2, and 3 of Panel 19, the rounds for the MEPS panels covering calendar year 2014.</w:t>
            </w:r>
          </w:p>
        </w:tc>
      </w:tr>
      <w:tr w:rsidR="00405474" w14:paraId="35A43F61" w14:textId="77777777">
        <w:tc>
          <w:tcPr>
            <w:tcW w:w="0" w:type="auto"/>
          </w:tcPr>
          <w:p w14:paraId="74D3990B" w14:textId="77777777" w:rsidR="00405474" w:rsidRDefault="00000000">
            <w:pPr>
              <w:pStyle w:val="Compact"/>
            </w:pPr>
            <w:hyperlink r:id="rId24">
              <w:r>
                <w:rPr>
                  <w:rStyle w:val="Hyperlink"/>
                </w:rPr>
                <w:t>MEPS 1996-2020 Pooled Linkage File for Common Variance Structure</w:t>
              </w:r>
            </w:hyperlink>
          </w:p>
        </w:tc>
        <w:tc>
          <w:tcPr>
            <w:tcW w:w="0" w:type="auto"/>
          </w:tcPr>
          <w:p w14:paraId="74A33E91" w14:textId="77777777" w:rsidR="00405474" w:rsidRDefault="00000000">
            <w:pPr>
              <w:pStyle w:val="Compact"/>
            </w:pPr>
            <w:r>
              <w:t>This HC-036 file contains the proper variance structure to use when making estimates from MEPS data that have been pooled over multiple years and where one or more years are from 1996-2001 or 2019-2020.</w:t>
            </w:r>
          </w:p>
        </w:tc>
      </w:tr>
    </w:tbl>
    <w:p w14:paraId="79204C12" w14:textId="77777777" w:rsidR="00405474" w:rsidRDefault="00000000">
      <w:pPr>
        <w:pStyle w:val="Heading2"/>
      </w:pPr>
      <w:bookmarkStart w:id="4" w:name="Xac6927d5387778ef680beb644262e224114f24c"/>
      <w:r>
        <w:t>Identifying Individuals in Same-Gender Marriages in the MEPS Public Use Files</w:t>
      </w:r>
    </w:p>
    <w:p w14:paraId="67133497" w14:textId="77777777" w:rsidR="00405474" w:rsidRDefault="00000000">
      <w:pPr>
        <w:pStyle w:val="FirstParagraph"/>
      </w:pPr>
      <w:r>
        <w:t>As specified earlier, there is no LGBTQ+ indicator in the MEPS survey questions that are administered to respondents. Therefore, in this essay, we will make the simplifying assumption that individuals in same-gender marriages are members of the US subpopulation identifying as LGBTQ+.</w:t>
      </w:r>
    </w:p>
    <w:p w14:paraId="66D56DFA" w14:textId="77777777" w:rsidR="00405474" w:rsidRDefault="00000000">
      <w:pPr>
        <w:pStyle w:val="BodyText"/>
      </w:pPr>
      <w:r>
        <w:t>Below is an image consisting of several examples of actual records in the 2019 MEPS Full Year Consolidated PUF to highlight how the data elements within MEPS PUFs are used to determine individuals who are in same-gender marriages.</w:t>
      </w:r>
    </w:p>
    <w:p w14:paraId="24E909F5" w14:textId="77777777" w:rsidR="00405474" w:rsidRDefault="00000000">
      <w:pPr>
        <w:pStyle w:val="CaptionedFigure"/>
      </w:pPr>
      <w:r>
        <w:rPr>
          <w:noProof/>
        </w:rPr>
        <w:drawing>
          <wp:inline distT="0" distB="0" distL="0" distR="0" wp14:anchorId="66D8FDE3" wp14:editId="2D90CB5A">
            <wp:extent cx="5943600" cy="2978995"/>
            <wp:effectExtent l="0" t="0" r="0" b="0"/>
            <wp:docPr id="41" name="Picture" descr="Fig. 1: Example Records in the 2019 MEPS PUFs"/>
            <wp:cNvGraphicFramePr/>
            <a:graphic xmlns:a="http://schemas.openxmlformats.org/drawingml/2006/main">
              <a:graphicData uri="http://schemas.openxmlformats.org/drawingml/2006/picture">
                <pic:pic xmlns:pic="http://schemas.openxmlformats.org/drawingml/2006/picture">
                  <pic:nvPicPr>
                    <pic:cNvPr id="42" name="Picture" descr="Example_Table.png"/>
                    <pic:cNvPicPr>
                      <a:picLocks noChangeAspect="1" noChangeArrowheads="1"/>
                    </pic:cNvPicPr>
                  </pic:nvPicPr>
                  <pic:blipFill>
                    <a:blip r:embed="rId25"/>
                    <a:stretch>
                      <a:fillRect/>
                    </a:stretch>
                  </pic:blipFill>
                  <pic:spPr bwMode="auto">
                    <a:xfrm>
                      <a:off x="0" y="0"/>
                      <a:ext cx="5943600" cy="2978995"/>
                    </a:xfrm>
                    <a:prstGeom prst="rect">
                      <a:avLst/>
                    </a:prstGeom>
                    <a:noFill/>
                    <a:ln w="9525">
                      <a:noFill/>
                      <a:headEnd/>
                      <a:tailEnd/>
                    </a:ln>
                  </pic:spPr>
                </pic:pic>
              </a:graphicData>
            </a:graphic>
          </wp:inline>
        </w:drawing>
      </w:r>
    </w:p>
    <w:p w14:paraId="1B2FB254" w14:textId="77777777" w:rsidR="00405474" w:rsidRDefault="00000000">
      <w:pPr>
        <w:pStyle w:val="ImageCaption"/>
      </w:pPr>
      <w:r>
        <w:t>Fig. 1: Example Records in the 2019 MEPS PUFs</w:t>
      </w:r>
    </w:p>
    <w:p w14:paraId="0FD90E72" w14:textId="77777777" w:rsidR="00405474" w:rsidRDefault="00000000">
      <w:pPr>
        <w:pStyle w:val="BodyText"/>
      </w:pPr>
      <w:r>
        <w:t>There are many shortcomings to this approach, as this approach will fail to identify certain individual respondents who may identify as LGBTQ+, such as:</w:t>
      </w:r>
    </w:p>
    <w:p w14:paraId="150BDB4C" w14:textId="77777777" w:rsidR="00405474" w:rsidRDefault="00000000">
      <w:pPr>
        <w:pStyle w:val="Compact"/>
        <w:numPr>
          <w:ilvl w:val="0"/>
          <w:numId w:val="16"/>
        </w:numPr>
      </w:pPr>
      <w:r>
        <w:t>Any male-identifying individual who is married to a female-identifying individual, in cases where at least one of the spouses identifies as LGBTQ+; and,</w:t>
      </w:r>
    </w:p>
    <w:p w14:paraId="02E8A8B6" w14:textId="77777777" w:rsidR="00405474" w:rsidRDefault="00000000">
      <w:pPr>
        <w:pStyle w:val="Compact"/>
        <w:numPr>
          <w:ilvl w:val="0"/>
          <w:numId w:val="16"/>
        </w:numPr>
      </w:pPr>
      <w:r>
        <w:t>All unmarried persons who identify as LGBQT+.</w:t>
      </w:r>
    </w:p>
    <w:p w14:paraId="329D0724" w14:textId="77777777" w:rsidR="00405474" w:rsidRDefault="00000000">
      <w:pPr>
        <w:pStyle w:val="FirstParagraph"/>
      </w:pPr>
      <w:r>
        <w:t>However, this approach will succeed in identifying the following individual respondents:</w:t>
      </w:r>
    </w:p>
    <w:p w14:paraId="4D27AC53" w14:textId="77777777" w:rsidR="00405474" w:rsidRDefault="00000000">
      <w:pPr>
        <w:pStyle w:val="Compact"/>
        <w:numPr>
          <w:ilvl w:val="0"/>
          <w:numId w:val="17"/>
        </w:numPr>
      </w:pPr>
      <w:r>
        <w:lastRenderedPageBreak/>
        <w:t>Any LGBTQ+-identifying individual married to a any other LGBTQ+-identifying individual, in cases where both spouses identify as the same binary gender.</w:t>
      </w:r>
    </w:p>
    <w:p w14:paraId="060AB822" w14:textId="77777777" w:rsidR="00405474" w:rsidRDefault="00000000">
      <w:pPr>
        <w:pStyle w:val="FirstParagraph"/>
      </w:pPr>
      <w:r>
        <w:t>While this approach does fail to identify large subgroups within the broader LGBQT+ population in the United States, we can still use this approach to determine if there are substantial differences in the underlying demography, patient experiences, or incurred expenses between some LGBQT+ subpopulations and otherwise-similar non-LGBQT+ subpopulations within the US.</w:t>
      </w:r>
    </w:p>
    <w:p w14:paraId="6446AADE" w14:textId="77777777" w:rsidR="00405474" w:rsidRDefault="00000000">
      <w:pPr>
        <w:pStyle w:val="BodyText"/>
      </w:pPr>
      <w:r>
        <w:t>In this essay, we will consider and even see some evidence supporting the possibility that marriage (or cohabitation, more generally) have a confounding influence on some of the population-level estimates of measurements of interest (e.g., annual healthcare expenditures, emergency room utilization, etc.). Therefore, most data visualizations and data tables in this essay will present findings comparing key population-level estimates between married individuals in same-gender marriages against married individuals not in same-gender marriages in order to control for the potential confounding effect of marriage or cohabitation.</w:t>
      </w:r>
    </w:p>
    <w:p w14:paraId="06160189" w14:textId="77777777" w:rsidR="00405474" w:rsidRDefault="00000000">
      <w:pPr>
        <w:pStyle w:val="Heading2"/>
      </w:pPr>
      <w:bookmarkStart w:id="5" w:name="Xd2444c69f30480f5eead39039aafe98e33d1baf"/>
      <w:bookmarkEnd w:id="4"/>
      <w:r>
        <w:t>MEPS Precision Guidelines for Population-Level Estimates</w:t>
      </w:r>
    </w:p>
    <w:p w14:paraId="1545940D" w14:textId="77777777" w:rsidR="00405474" w:rsidRDefault="00000000">
      <w:pPr>
        <w:pStyle w:val="FirstParagraph"/>
      </w:pPr>
      <w:r>
        <w:t>In most cases, the MEPS precision guidelines referenced earlier require that any mean, count, ratio, etc. of categorical indicators (such as race, gender, etc.) or numeric variables (such as “total healthcare expenditures”) computed for any subpopulation in the MEPS data adhere to two restrictions:</w:t>
      </w:r>
    </w:p>
    <w:p w14:paraId="294D81CD" w14:textId="77777777" w:rsidR="00405474" w:rsidRDefault="00000000">
      <w:pPr>
        <w:pStyle w:val="Compact"/>
        <w:numPr>
          <w:ilvl w:val="0"/>
          <w:numId w:val="18"/>
        </w:numPr>
      </w:pPr>
      <w:r>
        <w:t>The underlying sample data from which the estimates are derived should consist of at least 60 sampling units (in our case, individual respondents).</w:t>
      </w:r>
    </w:p>
    <w:p w14:paraId="1D796F77" w14:textId="77777777" w:rsidR="00405474" w:rsidRDefault="00000000">
      <w:pPr>
        <w:pStyle w:val="Compact"/>
        <w:numPr>
          <w:ilvl w:val="0"/>
          <w:numId w:val="18"/>
        </w:numPr>
      </w:pPr>
      <w:r>
        <w:t>The relative standard error (RSE) corresponding to any estimate of a statistic of interest, such as a mean, count, or ratio, must absolutely not exceed 0.5. If so, it should not be displayed. Furthermore, if the RSE of the corresponding population-level estimate exceeds 0.3, it must be called out in any charts or tables as potentially spurious. Relative standard error can be computed as</w:t>
      </w:r>
    </w:p>
    <w:p w14:paraId="56B5E17A" w14:textId="77777777" w:rsidR="00405474" w:rsidRDefault="00000000">
      <w:pPr>
        <w:pStyle w:val="Compact"/>
      </w:pPr>
      <m:oMathPara>
        <m:oMathParaPr>
          <m:jc m:val="center"/>
        </m:oMathParaPr>
        <m:oMath>
          <m:r>
            <w:rPr>
              <w:rFonts w:ascii="Cambria Math" w:hAnsi="Cambria Math"/>
            </w:rPr>
            <m:t>RSE</m:t>
          </m:r>
          <m:r>
            <m:rPr>
              <m:sty m:val="p"/>
            </m:rPr>
            <w:rPr>
              <w:rFonts w:ascii="Cambria Math" w:hAnsi="Cambria Math"/>
            </w:rPr>
            <m:t>=</m:t>
          </m:r>
          <m:f>
            <m:fPr>
              <m:ctrlPr>
                <w:rPr>
                  <w:rFonts w:ascii="Cambria Math" w:hAnsi="Cambria Math"/>
                </w:rPr>
              </m:ctrlPr>
            </m:fPr>
            <m:num>
              <m:r>
                <w:rPr>
                  <w:rFonts w:ascii="Cambria Math" w:hAnsi="Cambria Math"/>
                </w:rPr>
                <m:t>Std</m:t>
              </m:r>
              <m:r>
                <m:rPr>
                  <m:sty m:val="p"/>
                </m:rPr>
                <w:rPr>
                  <w:rFonts w:ascii="Cambria Math" w:hAnsi="Cambria Math"/>
                </w:rPr>
                <m:t>.</m:t>
              </m:r>
              <m:r>
                <w:rPr>
                  <w:rFonts w:ascii="Cambria Math" w:hAnsi="Cambria Math"/>
                </w:rPr>
                <m:t>Err</m:t>
              </m:r>
              <m:r>
                <m:rPr>
                  <m:sty m:val="p"/>
                </m:rPr>
                <w:rPr>
                  <w:rFonts w:ascii="Cambria Math" w:hAnsi="Cambria Math"/>
                </w:rPr>
                <m:t>.</m:t>
              </m:r>
            </m:num>
            <m:den>
              <m:r>
                <w:rPr>
                  <w:rFonts w:ascii="Cambria Math" w:hAnsi="Cambria Math"/>
                </w:rPr>
                <m:t>Estimate</m:t>
              </m:r>
            </m:den>
          </m:f>
        </m:oMath>
      </m:oMathPara>
    </w:p>
    <w:p w14:paraId="1A97D678" w14:textId="77777777" w:rsidR="00405474" w:rsidRDefault="00000000">
      <w:pPr>
        <w:pStyle w:val="Compact"/>
        <w:numPr>
          <w:ilvl w:val="0"/>
          <w:numId w:val="15"/>
        </w:numPr>
      </w:pPr>
      <w:r>
        <w:t>and is displayed as a percentage in data tables for all population-level estimates computed in this essay.</w:t>
      </w:r>
    </w:p>
    <w:tbl>
      <w:tblPr>
        <w:tblW w:w="0" w:type="pct"/>
        <w:jc w:val="center"/>
        <w:tblLook w:val="0420" w:firstRow="1" w:lastRow="0" w:firstColumn="0" w:lastColumn="0" w:noHBand="0" w:noVBand="1"/>
      </w:tblPr>
      <w:tblGrid>
        <w:gridCol w:w="1946"/>
        <w:gridCol w:w="662"/>
        <w:gridCol w:w="903"/>
        <w:gridCol w:w="533"/>
        <w:gridCol w:w="970"/>
        <w:gridCol w:w="871"/>
        <w:gridCol w:w="1083"/>
        <w:gridCol w:w="1118"/>
        <w:gridCol w:w="1290"/>
      </w:tblGrid>
      <w:tr w:rsidR="00405474" w14:paraId="2B830DC0" w14:textId="77777777">
        <w:trPr>
          <w:tblHeader/>
          <w:jc w:val="center"/>
        </w:trPr>
        <w:tc>
          <w:tcPr>
            <w:tcW w:w="0" w:type="auto"/>
            <w:gridSpan w:val="9"/>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0B889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Counts of Individuals in Sample Before Pooling Across Years By Survey Year, Marriage Classification, and Age Group</w:t>
            </w:r>
          </w:p>
        </w:tc>
      </w:tr>
      <w:tr w:rsidR="00405474" w14:paraId="10AF02A6"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B347E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D9675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5F58D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MEPS Survey Year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DF115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A8C7B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Pop-lvl.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0194A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B1080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8EA50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5EC4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671B10D4"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05485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B3ECC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8F14E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2121B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16DD0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2,733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2AC2F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2,733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87559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EAD74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8,091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5251D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100.00% †</w:t>
            </w:r>
          </w:p>
        </w:tc>
      </w:tr>
      <w:tr w:rsidR="00405474" w14:paraId="600D544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617FF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75FBB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4794E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27EC2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9C9C9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96,102,041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2F4A4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2,723,089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4088C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90,764,885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CD6E4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101,439,197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0D58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2.83% </w:t>
            </w:r>
          </w:p>
        </w:tc>
      </w:tr>
      <w:tr w:rsidR="00405474" w14:paraId="4DDF659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6802E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45796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4FDB9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A8AC1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8,892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DDE21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96,787,353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3764F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2,959,551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2A5FE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90,986,740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AE15E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102,587,967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8A475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3.06% </w:t>
            </w:r>
          </w:p>
        </w:tc>
      </w:tr>
      <w:tr w:rsidR="00405474" w14:paraId="5AB21BA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4A1AC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F2A0A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0A2EB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AFDD1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8,629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C2237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94,337,377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D81B3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2,902,250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9A19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88,649,071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D126A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100,025,683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C3D43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3.08% </w:t>
            </w:r>
          </w:p>
        </w:tc>
      </w:tr>
      <w:tr w:rsidR="00405474" w14:paraId="6134B1D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DA9F7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23957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2A6B0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5888C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839AE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92,659,230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DA3F4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2,119,318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BA327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88,505,442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2F483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96,813,018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F1396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2.29% </w:t>
            </w:r>
          </w:p>
        </w:tc>
      </w:tr>
      <w:tr w:rsidR="00405474" w14:paraId="657EAC0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9825A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E9649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C5B8E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54001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9346D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92,889,257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11AEE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2,756,832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70877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87,485,964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0B10D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98,292,549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91769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2.97% </w:t>
            </w:r>
          </w:p>
        </w:tc>
      </w:tr>
      <w:tr w:rsidR="00405474" w14:paraId="789E93B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9BA04D"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61968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D933E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A903D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7,165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05A15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91,319,125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0BED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3,006,026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AD132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85,427,423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C58E2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97,210,826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EC0C3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3.29% </w:t>
            </w:r>
          </w:p>
        </w:tc>
      </w:tr>
      <w:tr w:rsidR="00405474" w14:paraId="4BE7FEA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94E01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65B6A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1E39C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9C72B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1,814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E8EED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24,030,932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2024F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1,240,582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38118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21,599,435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04EEB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26,462,429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469C5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5.16% </w:t>
            </w:r>
          </w:p>
        </w:tc>
      </w:tr>
      <w:tr w:rsidR="00405474" w14:paraId="21E99DA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2253F2"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FB329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D1D11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4EEBD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1,995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BB8A4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25,698,911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B5801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1,125,244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00D82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23,493,474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709D5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27,904,348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51F32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4.38% </w:t>
            </w:r>
          </w:p>
        </w:tc>
      </w:tr>
      <w:tr w:rsidR="00405474" w14:paraId="75BB405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52910D"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9350B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8CC17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E6E09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433CC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26,394,055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7F670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1,195,495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A11F8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24,050,928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42AA8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28,737,181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93B6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4.53% </w:t>
            </w:r>
          </w:p>
        </w:tc>
      </w:tr>
      <w:tr w:rsidR="00405474" w14:paraId="2301F79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9F9C2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376FA6"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C2EC1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E86F2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FCC62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26,795,556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4A3BE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1,028,101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E9022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24,780,514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0582D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28,810,598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78592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3.84% </w:t>
            </w:r>
          </w:p>
        </w:tc>
      </w:tr>
      <w:tr w:rsidR="00405474" w14:paraId="6839E14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84AA2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7FB65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83E9B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AA332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7A1E6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27,673,346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EE876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975,474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CD56A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25,761,451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82359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29,585,240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4E8B1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3.52% </w:t>
            </w:r>
          </w:p>
        </w:tc>
      </w:tr>
      <w:tr w:rsidR="00405474" w14:paraId="3F1DA32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83E29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98A27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9E2A8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D2D28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E2D86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27,438,639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941DE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1,022,391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4C6C9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25,434,789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EE4A0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29,442,489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9B97D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3.73% </w:t>
            </w:r>
          </w:p>
        </w:tc>
      </w:tr>
      <w:tr w:rsidR="00405474" w14:paraId="03E2E55B"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09972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F816D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9143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D72F9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4A50A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497,417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0526D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143,493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AF7F2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216,176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AD3F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778,658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70A12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28.85% </w:t>
            </w:r>
          </w:p>
        </w:tc>
      </w:tr>
      <w:tr w:rsidR="00405474" w14:paraId="6B75B39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85908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0654E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F4BF5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5C819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E508D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701,225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90679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144,287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E3A7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418,427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90A16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984,024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8D515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20.58% </w:t>
            </w:r>
          </w:p>
        </w:tc>
      </w:tr>
      <w:tr w:rsidR="00405474" w14:paraId="499195D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78A5E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81E30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EFD91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6814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F1224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982,877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BDDD4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161,561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DEEFE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666,223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A6EAB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1,299,532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87D2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16.44% </w:t>
            </w:r>
          </w:p>
        </w:tc>
      </w:tr>
      <w:tr w:rsidR="00405474" w14:paraId="42F1984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2E022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15F3C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35F02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4A363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0E00F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1,166,348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4703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181,834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50D4B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809,959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FC8F3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1,522,736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0F606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15.59% </w:t>
            </w:r>
          </w:p>
        </w:tc>
      </w:tr>
      <w:tr w:rsidR="00405474" w14:paraId="46FFF4E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6B74E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70494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B7618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25A89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C0E72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932,480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70505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162,362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C61BB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614,256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22826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1,250,703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F2003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17.41% </w:t>
            </w:r>
          </w:p>
        </w:tc>
      </w:tr>
      <w:tr w:rsidR="00405474" w14:paraId="6EDF69F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644752"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10EE1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8B491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7EE12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8F5B3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1,125,354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AA847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196,043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A8103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741,117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82CFB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1,509,590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669E9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17.42% </w:t>
            </w:r>
          </w:p>
        </w:tc>
      </w:tr>
      <w:tr w:rsidR="00405474" w14:paraId="453528B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F0F16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6A2A7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EC624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836DC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181EC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80,463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62635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58,499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898AF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-34,194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A4424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195,120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905C6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72.70% †</w:t>
            </w:r>
          </w:p>
        </w:tc>
      </w:tr>
      <w:tr w:rsidR="00405474" w14:paraId="0C064C4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66E94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0F9CC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FF997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B0975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AAEEB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220,017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9419C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91,331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AE9FF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41,013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3BC66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399,022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37716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41.51% *</w:t>
            </w:r>
          </w:p>
        </w:tc>
      </w:tr>
      <w:tr w:rsidR="00405474" w14:paraId="5C4BA43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A9A4D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25FD3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70CFE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E5648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4D85B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167,152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0EFFE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81,976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7B9BF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1BB10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327,822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63CA1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49.04% *</w:t>
            </w:r>
          </w:p>
        </w:tc>
      </w:tr>
      <w:tr w:rsidR="00405474" w14:paraId="1313EF8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E710F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81D44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B982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DA139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2E236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103,145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1206C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62,693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9BF07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-19,731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65DB9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226,021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A5936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60.78% †</w:t>
            </w:r>
          </w:p>
        </w:tc>
      </w:tr>
      <w:tr w:rsidR="00405474" w14:paraId="16E06D3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D9724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01CBE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F8737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71D97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B0B0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163,299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700B8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70,304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76D22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25,505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69A83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301,094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66413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43.05% *</w:t>
            </w:r>
          </w:p>
        </w:tc>
      </w:tr>
      <w:tr w:rsidR="00405474" w14:paraId="24ACB94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C9A99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7C204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EF51D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24276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07B8D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166,481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4BBD1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56,654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A20E3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55,441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0865A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277,522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30229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34.03% *</w:t>
            </w:r>
          </w:p>
        </w:tc>
      </w:tr>
      <w:tr w:rsidR="00405474" w14:paraId="025FDC8A"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4D97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lastRenderedPageBreak/>
              <w:t>Unmarried Individuals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C9B6C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7621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EFF53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8,634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9FA81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68,371,394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000AB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2,233,108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A6F2B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63,994,582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B9CB6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72,748,206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BC99A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3.27% </w:t>
            </w:r>
          </w:p>
        </w:tc>
      </w:tr>
      <w:tr w:rsidR="00405474" w14:paraId="463A2DD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9C3C3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BF495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6DC8B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BA68E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8,599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573DF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68,513,378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F0CA4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2,288,072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8BE8D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64,028,839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6F858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72,997,917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62393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3.34% </w:t>
            </w:r>
          </w:p>
        </w:tc>
      </w:tr>
      <w:tr w:rsidR="00405474" w14:paraId="15D3B94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FDDE7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4D102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72024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CE7AF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8,195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513F4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68,268,664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F4B0D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2,129,868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3167E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64,094,199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6CA29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72,443,129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A5B31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3.12% </w:t>
            </w:r>
          </w:p>
        </w:tc>
      </w:tr>
      <w:tr w:rsidR="00405474" w14:paraId="3F8A2AC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78407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4E2DB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3C6B2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E8388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7,311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CE2A3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67,897,667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36C4F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1,725,171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2F260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64,516,394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D29C6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71,278,941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C70EA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2.54% </w:t>
            </w:r>
          </w:p>
        </w:tc>
      </w:tr>
      <w:tr w:rsidR="00405474" w14:paraId="11B3CAA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9910A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1FCAA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AD49A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F0146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6,690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4B100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67,987,396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B3A6C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2,115,773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11007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63,840,557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4BEAF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72,134,235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80CFE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3.11% </w:t>
            </w:r>
          </w:p>
        </w:tc>
      </w:tr>
      <w:tr w:rsidR="00405474" w14:paraId="1C5CFAE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7208F6"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CEAA3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6512E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937C6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5,906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18CD7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67,791,411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8E473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2,423,037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4EB05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63,042,345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CEFB3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72,540,476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87C35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3.57% </w:t>
            </w:r>
          </w:p>
        </w:tc>
      </w:tr>
      <w:tr w:rsidR="00405474" w14:paraId="44124DE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1343A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16D9D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B0298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3710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10,722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8543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94,976,938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82529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2,510,822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A71F4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90,055,816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68D2D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99,898,059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6E7F3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2.64% </w:t>
            </w:r>
          </w:p>
        </w:tc>
      </w:tr>
      <w:tr w:rsidR="00405474" w14:paraId="63D2638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4334E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50DB7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00D08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4DAD6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10,783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013B4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94,417,804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4AFE5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2,193,317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0CEFC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90,118,982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5795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98,716,627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1925F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2.32% </w:t>
            </w:r>
          </w:p>
        </w:tc>
      </w:tr>
      <w:tr w:rsidR="00405474" w14:paraId="5353747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41E48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E7D8E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788D3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CEC13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D717F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95,123,760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BF7FC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2,053,220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94CFD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91,099,523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F6B5A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99,147,996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A3071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2.16% </w:t>
            </w:r>
          </w:p>
        </w:tc>
      </w:tr>
      <w:tr w:rsidR="00405474" w14:paraId="5409F54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A6D54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51413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40945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874C5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9,231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882F5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98,134,737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8D347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1,876,166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235A0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94,457,519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40B3D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101,811,956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4083B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1.91% </w:t>
            </w:r>
          </w:p>
        </w:tc>
      </w:tr>
      <w:tr w:rsidR="00405474" w14:paraId="72E6B07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143B1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2B394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40DF1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BB32B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8,373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95B3F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97,405,253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2676A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2,265,942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A3D60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92,964,088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56A07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101,846,417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562C1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2.33% </w:t>
            </w:r>
          </w:p>
        </w:tc>
      </w:tr>
      <w:tr w:rsidR="00405474" w14:paraId="073C217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0DC3D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1DEE1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438E9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C142F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7,936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31F17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98,620,261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093AD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2,955,216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24524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92,828,144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7562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104,412,379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5A74B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3.00% </w:t>
            </w:r>
          </w:p>
        </w:tc>
      </w:tr>
      <w:tr w:rsidR="00405474" w14:paraId="3AA4633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DD9B3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99636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87440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48AF2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75693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22,461,619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52B70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805,793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44630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20,882,294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97FB6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24,040,944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9581E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3.59% </w:t>
            </w:r>
          </w:p>
        </w:tc>
      </w:tr>
      <w:tr w:rsidR="00405474" w14:paraId="2C6E48C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7E091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2FC3B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7365A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10417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AB4A3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22,157,603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4BFD3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789,809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3E3F3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20,609,605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0CBE3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23,705,601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EACA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3.56% </w:t>
            </w:r>
          </w:p>
        </w:tc>
      </w:tr>
      <w:tr w:rsidR="00405474" w14:paraId="28C9D9A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EA024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65784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C39DD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8A685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2,316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D0BBE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23,179,175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C5438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778,785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BCEEF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21,652,784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270C9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24,705,566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1A8E1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3.36% </w:t>
            </w:r>
          </w:p>
        </w:tc>
      </w:tr>
      <w:tr w:rsidR="00405474" w14:paraId="508F1A9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AFCF9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BB60E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80FBE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4C5DB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B3903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24,088,160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B169C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772,400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3497B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22,574,283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AC404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25,602,036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2BFCD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3.21% </w:t>
            </w:r>
          </w:p>
        </w:tc>
      </w:tr>
      <w:tr w:rsidR="00405474" w14:paraId="118B4D5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FC214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961F8D"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452DE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FDD96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8ABF0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24,779,543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D0461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779,929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1EB21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23,250,910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A1B60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26,308,176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D0F67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3.15% </w:t>
            </w:r>
          </w:p>
        </w:tc>
      </w:tr>
      <w:tr w:rsidR="00405474" w14:paraId="342C706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22682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029BCD"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1FD61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645F2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A2791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24,709,246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0C23B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888,509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C43FA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22,967,800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CB182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26,450,692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6B51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3.60% </w:t>
            </w:r>
          </w:p>
        </w:tc>
      </w:tr>
      <w:tr w:rsidR="00405474" w14:paraId="6FBDE0CB" w14:textId="77777777">
        <w:trPr>
          <w:jc w:val="center"/>
        </w:trPr>
        <w:tc>
          <w:tcPr>
            <w:tcW w:w="0" w:type="auto"/>
            <w:gridSpan w:val="9"/>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E0A24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6265C0A2" w14:textId="77777777" w:rsidR="00405474" w:rsidRDefault="00000000">
      <w:pPr>
        <w:pStyle w:val="CaptionedFigure"/>
      </w:pPr>
      <w:r>
        <w:rPr>
          <w:noProof/>
        </w:rPr>
        <w:drawing>
          <wp:inline distT="0" distB="0" distL="0" distR="0" wp14:anchorId="26D60607" wp14:editId="7BB1F535">
            <wp:extent cx="5943600" cy="3677243"/>
            <wp:effectExtent l="0" t="0" r="0" b="0"/>
            <wp:docPr id="45" name="Picture" descr="Fig. 2: Counts of Individuals in Sample Before Pooling Across Years"/>
            <wp:cNvGraphicFramePr/>
            <a:graphic xmlns:a="http://schemas.openxmlformats.org/drawingml/2006/main">
              <a:graphicData uri="http://schemas.openxmlformats.org/drawingml/2006/picture">
                <pic:pic xmlns:pic="http://schemas.openxmlformats.org/drawingml/2006/picture">
                  <pic:nvPicPr>
                    <pic:cNvPr id="46" name="Picture" descr="healthcare_exp_elderly_lgbtq_with_meps_files/figure-docx/count_individ_in_sample_unwt_nopool_plot-1.png"/>
                    <pic:cNvPicPr>
                      <a:picLocks noChangeAspect="1" noChangeArrowheads="1"/>
                    </pic:cNvPicPr>
                  </pic:nvPicPr>
                  <pic:blipFill>
                    <a:blip r:embed="rId26"/>
                    <a:stretch>
                      <a:fillRect/>
                    </a:stretch>
                  </pic:blipFill>
                  <pic:spPr bwMode="auto">
                    <a:xfrm>
                      <a:off x="0" y="0"/>
                      <a:ext cx="5943600" cy="3677243"/>
                    </a:xfrm>
                    <a:prstGeom prst="rect">
                      <a:avLst/>
                    </a:prstGeom>
                    <a:noFill/>
                    <a:ln w="9525">
                      <a:noFill/>
                      <a:headEnd/>
                      <a:tailEnd/>
                    </a:ln>
                  </pic:spPr>
                </pic:pic>
              </a:graphicData>
            </a:graphic>
          </wp:inline>
        </w:drawing>
      </w:r>
    </w:p>
    <w:p w14:paraId="749BEE79" w14:textId="77777777" w:rsidR="00405474" w:rsidRDefault="00000000">
      <w:pPr>
        <w:pStyle w:val="ImageCaption"/>
      </w:pPr>
      <w:r>
        <w:t>Fig. 2: Counts of Individuals in Sample Before Pooling Across Years</w:t>
      </w:r>
    </w:p>
    <w:p w14:paraId="1D18A02E" w14:textId="77777777" w:rsidR="00405474" w:rsidRDefault="00000000">
      <w:pPr>
        <w:pStyle w:val="BodyText"/>
      </w:pPr>
      <w:r>
        <w:t>In the data visualization above, the minimum sample threshold required by the MEPS precision standards guidelines is denoted by a dashed red line.</w:t>
      </w:r>
    </w:p>
    <w:p w14:paraId="54C5C0E1" w14:textId="77777777" w:rsidR="00405474" w:rsidRDefault="00000000">
      <w:pPr>
        <w:pStyle w:val="BodyText"/>
      </w:pPr>
      <w:r>
        <w:lastRenderedPageBreak/>
        <w:t>Additionally, there should also be some concern about the statistical validity of population-level estimates that are computed by applying weights to very small cross-sectional subsets of the MEPS respondent data, especially when the subpopulation of interest (in our case, LGBTQ+ individuals over age 65) was sampled across demographic strata (e.g., race, gender, etc.) that have little to do with the demographic subset we are attempting to study in this essay.</w:t>
      </w:r>
    </w:p>
    <w:p w14:paraId="41854C1C" w14:textId="77777777" w:rsidR="00405474" w:rsidRDefault="00000000">
      <w:pPr>
        <w:pStyle w:val="BodyText"/>
      </w:pPr>
      <w:r>
        <w:t>As a validation exercise, we will compute population-level estimates of total counts of individuals in same-gender marriages below, and then compare these results to estimates of total counts of individuals in same-gender marriages drawn from survey data not related to MEPS. In the following table, we can see the computed population-level estimates for the total number of married individuals within the United States, broken out by MEPS survey year.</w:t>
      </w:r>
    </w:p>
    <w:p w14:paraId="31C595E1" w14:textId="77777777" w:rsidR="00405474" w:rsidRDefault="00000000">
      <w:pPr>
        <w:pStyle w:val="CaptionedFigure"/>
      </w:pPr>
      <w:r>
        <w:rPr>
          <w:noProof/>
        </w:rPr>
        <w:drawing>
          <wp:inline distT="0" distB="0" distL="0" distR="0" wp14:anchorId="7518FB12" wp14:editId="5A64D574">
            <wp:extent cx="5943600" cy="3677243"/>
            <wp:effectExtent l="0" t="0" r="0" b="0"/>
            <wp:docPr id="48" name="Picture" descr="Fig. 3: Population-level Estimates Before Pooling Across Years"/>
            <wp:cNvGraphicFramePr/>
            <a:graphic xmlns:a="http://schemas.openxmlformats.org/drawingml/2006/main">
              <a:graphicData uri="http://schemas.openxmlformats.org/drawingml/2006/picture">
                <pic:pic xmlns:pic="http://schemas.openxmlformats.org/drawingml/2006/picture">
                  <pic:nvPicPr>
                    <pic:cNvPr id="49" name="Picture" descr="healthcare_exp_elderly_lgbtq_with_meps_files/figure-docx/count_individ_in_sample_wt_nopool-1.png"/>
                    <pic:cNvPicPr>
                      <a:picLocks noChangeAspect="1" noChangeArrowheads="1"/>
                    </pic:cNvPicPr>
                  </pic:nvPicPr>
                  <pic:blipFill>
                    <a:blip r:embed="rId27"/>
                    <a:stretch>
                      <a:fillRect/>
                    </a:stretch>
                  </pic:blipFill>
                  <pic:spPr bwMode="auto">
                    <a:xfrm>
                      <a:off x="0" y="0"/>
                      <a:ext cx="5943600" cy="3677243"/>
                    </a:xfrm>
                    <a:prstGeom prst="rect">
                      <a:avLst/>
                    </a:prstGeom>
                    <a:noFill/>
                    <a:ln w="9525">
                      <a:noFill/>
                      <a:headEnd/>
                      <a:tailEnd/>
                    </a:ln>
                  </pic:spPr>
                </pic:pic>
              </a:graphicData>
            </a:graphic>
          </wp:inline>
        </w:drawing>
      </w:r>
    </w:p>
    <w:p w14:paraId="0413AC10" w14:textId="77777777" w:rsidR="00405474" w:rsidRDefault="00000000">
      <w:pPr>
        <w:pStyle w:val="ImageCaption"/>
      </w:pPr>
      <w:r>
        <w:t>Fig. 3: Population-level Estimates Before Pooling Across Years</w:t>
      </w:r>
    </w:p>
    <w:p w14:paraId="01BC94B1" w14:textId="77777777" w:rsidR="00405474" w:rsidRDefault="00000000">
      <w:pPr>
        <w:pStyle w:val="Heading2"/>
      </w:pPr>
      <w:bookmarkStart w:id="6" w:name="X232d19f9e28ea74f28318171549707c38312273"/>
      <w:bookmarkEnd w:id="5"/>
      <w:r>
        <w:t>Evaluating Visualizations of Population-level Estimates</w:t>
      </w:r>
    </w:p>
    <w:p w14:paraId="3AA10A97" w14:textId="77777777" w:rsidR="00405474" w:rsidRDefault="00000000">
      <w:pPr>
        <w:pStyle w:val="FirstParagraph"/>
      </w:pPr>
      <w:r>
        <w:t>Please note that each of the solid bars in the data visualizations within this essay extend upwards from the x-axis to the survey-weighted estimate of the statistic of interest for the entire US population (generally an estimate of the mean, unless otherwise specified). The error bars accompanying each solid bar represent the upper and lower bounds of the 95% confidence interval around the corresponding population-level estimate.</w:t>
      </w:r>
    </w:p>
    <w:p w14:paraId="4F2016DA" w14:textId="77777777" w:rsidR="00405474" w:rsidRDefault="00000000">
      <w:pPr>
        <w:pStyle w:val="BodyText"/>
      </w:pPr>
      <w:r>
        <w:t xml:space="preserve">In lay terms, you can imagine each solid bar as representing the “true” population measure, but because this chart is presenting an </w:t>
      </w:r>
      <w:r>
        <w:rPr>
          <w:i/>
          <w:iCs/>
        </w:rPr>
        <w:t>estimate</w:t>
      </w:r>
      <w:r>
        <w:t xml:space="preserve"> of the “true” population measure based on survey data, you should interpret the bar to be “fuzzy” in length but still “almost certainly” (95%) contained within the boundaries of the error bars. In other words, we are confident at a 95% level that the “true” population-level measure of interest, if we were able to survey the entire US population, falls somewhere in between the two extreme points of the associated error bar.</w:t>
      </w:r>
    </w:p>
    <w:p w14:paraId="1D198B6E" w14:textId="77777777" w:rsidR="00405474" w:rsidRDefault="00000000">
      <w:pPr>
        <w:pStyle w:val="Heading2"/>
      </w:pPr>
      <w:bookmarkStart w:id="7" w:name="validating-population-level-estimates"/>
      <w:bookmarkEnd w:id="6"/>
      <w:r>
        <w:t>Validating Population-level Estimates</w:t>
      </w:r>
    </w:p>
    <w:p w14:paraId="7806B374" w14:textId="77777777" w:rsidR="00405474" w:rsidRDefault="00000000">
      <w:pPr>
        <w:pStyle w:val="FirstParagraph"/>
      </w:pPr>
      <w:r>
        <w:t xml:space="preserve">As you inspect the data visualizations in this essay, please refer to the accompanying data table that precedes the visualizations for additional information about the estimates or their variability and statistical validity. Throughout the </w:t>
      </w:r>
      <w:r>
        <w:lastRenderedPageBreak/>
        <w:t>course of this essay, I will take every opportunity to cross-reference population-level estimates derived from MEPS data against available 3rd-party data sources in order to provide some level of external validation.</w:t>
      </w:r>
    </w:p>
    <w:p w14:paraId="341F67B2" w14:textId="77777777" w:rsidR="00405474" w:rsidRDefault="00000000">
      <w:pPr>
        <w:pStyle w:val="BodyText"/>
      </w:pPr>
      <w:r>
        <w:t xml:space="preserve">Let us take for example the data from 2016, which represents the US population one year after the landmark Supreme Court decision in </w:t>
      </w:r>
      <w:r>
        <w:rPr>
          <w:i/>
          <w:iCs/>
        </w:rPr>
        <w:t>Obergefell v. Hodges</w:t>
      </w:r>
      <w:r>
        <w:t xml:space="preserve"> that effectively legalized same-gender marriages across the US. Same-gender marriages were already legal in several, but not all, US geographies at the time. In the visualization and accompanying data table above, we see that the population-level estimate of the number of individuals ages 18 - 64 in same-gender marriages in the US is centered at 982,877 with a 95% confidence interval spanning from 666,223 to 1,299,532. The corresponding estimate for individuals in same-gender marriages ages 65 and up is 167,152, and is marked as potentially spurious due to a high RSE (relative standard error), largely as a result of small sample cardinality for this particular subpopulation.</w:t>
      </w:r>
    </w:p>
    <w:p w14:paraId="33D9E990" w14:textId="77777777" w:rsidR="00405474" w:rsidRDefault="00000000">
      <w:pPr>
        <w:pStyle w:val="BodyText"/>
      </w:pPr>
      <w:r>
        <w:t xml:space="preserve">One external source we can use to externally validate this estimate is the </w:t>
      </w:r>
      <w:hyperlink r:id="rId28">
        <w:r>
          <w:rPr>
            <w:rStyle w:val="Hyperlink"/>
          </w:rPr>
          <w:t>American Community Survey</w:t>
        </w:r>
      </w:hyperlink>
      <w:r>
        <w:t xml:space="preserve"> for the same year (2016), which places an </w:t>
      </w:r>
      <w:hyperlink r:id="rId29">
        <w:r>
          <w:rPr>
            <w:rStyle w:val="Hyperlink"/>
          </w:rPr>
          <w:t>estimated count of individuals living in “Same-Sex Married Couple Households”</w:t>
        </w:r>
      </w:hyperlink>
      <w:r>
        <w:t xml:space="preserve"> (p. 22) at around 1,000,000 individuals, with slightly more female individuals comprising this total than males.</w:t>
      </w:r>
    </w:p>
    <w:p w14:paraId="49E2013E" w14:textId="77777777" w:rsidR="00405474" w:rsidRDefault="00000000">
      <w:pPr>
        <w:pStyle w:val="BodyText"/>
      </w:pPr>
      <w:r>
        <w:t xml:space="preserve">Also note that, for each year of MEPS data, the 95% confidence interval around the population-level estimates of the total number married individuals </w:t>
      </w:r>
      <w:r>
        <w:rPr>
          <w:i/>
          <w:iCs/>
        </w:rPr>
        <w:t>not</w:t>
      </w:r>
      <w:r>
        <w:t xml:space="preserve"> in same-gender marriages is far smaller than it is for the estimate of the count of individuals in same-gender marriages, due to the fact that the latter subpopulation is sampled far less frequently in the underlying data than the former. In fact, in some years, the representative sample is so small for same-gender married individuals over age 65 that the computed lower bound of the 95% confidence interval extends into negative territory, which is nonsensical. Avoiding this kind of nonsensical presentation of statistical variability around an estimate derived from MEPS data is the primary reasoning given by MEPS for imposing the RSE restriction in their statistical precision guidelines.</w:t>
      </w:r>
    </w:p>
    <w:p w14:paraId="7E568FBF" w14:textId="77777777" w:rsidR="00405474" w:rsidRDefault="00000000">
      <w:pPr>
        <w:pStyle w:val="BodyText"/>
      </w:pPr>
      <w:r>
        <w:t>Displaying nonsensical error bars on the following visualization is done for explanatory purposes only. Going forward, subsequent data visualizations in this essay will be constructed by suppressing any and all subgroups in which the standard error of the population-level estimate exceeds the 50% RSE threshold specified in the MEPS statistical precision guidelines (denoted in accompanying data tables by the symbol “†”).</w:t>
      </w:r>
    </w:p>
    <w:tbl>
      <w:tblPr>
        <w:tblW w:w="0" w:type="pct"/>
        <w:jc w:val="center"/>
        <w:tblLook w:val="0420" w:firstRow="1" w:lastRow="0" w:firstColumn="0" w:lastColumn="0" w:noHBand="0" w:noVBand="1"/>
      </w:tblPr>
      <w:tblGrid>
        <w:gridCol w:w="2293"/>
        <w:gridCol w:w="712"/>
        <w:gridCol w:w="533"/>
        <w:gridCol w:w="1035"/>
        <w:gridCol w:w="927"/>
        <w:gridCol w:w="1189"/>
        <w:gridCol w:w="1185"/>
        <w:gridCol w:w="1502"/>
      </w:tblGrid>
      <w:tr w:rsidR="00405474" w14:paraId="6F74330C"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D585A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'Counts of Individuals in Sample After Pooling Across Years By Marriage Classification and Age Group'</w:t>
            </w:r>
          </w:p>
        </w:tc>
      </w:tr>
      <w:tr w:rsidR="00405474" w14:paraId="5AFA1251"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D7511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4EB16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F8924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10DAA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Pop-lvl.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A1143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91F3E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47926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C95CC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68E0248B"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9D923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FEBA7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45594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7FBD8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96ED1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12474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46147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8AE0D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100.00% †</w:t>
            </w:r>
          </w:p>
        </w:tc>
      </w:tr>
      <w:tr w:rsidR="00405474" w14:paraId="325790B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E6C82D"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9A64D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1AE3D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48,893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A4A71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94,015,730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AB2FB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2,042,224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51695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90,013,045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426EB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98,018,416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9D587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2.17% </w:t>
            </w:r>
          </w:p>
        </w:tc>
      </w:tr>
      <w:tr w:rsidR="00405474" w14:paraId="062381D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5895C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75C09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6A328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13,562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213E6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26,338,573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64F68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720,851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53567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24,925,731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27F10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27,751,415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55D04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2.74% </w:t>
            </w:r>
          </w:p>
        </w:tc>
      </w:tr>
      <w:tr w:rsidR="00405474" w14:paraId="1726BDAA"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3802D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D2031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CD756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1DC76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900,950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77DC9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90,969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555CD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722,655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D7D73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1,079,245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67048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10.10% </w:t>
            </w:r>
          </w:p>
        </w:tc>
      </w:tr>
      <w:tr w:rsidR="00405474" w14:paraId="2793311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46E2D2"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7877B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968B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76EC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150,093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6B8F8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39,229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6EACB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73,206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E51E4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226,980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C696C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26.14% </w:t>
            </w:r>
          </w:p>
        </w:tc>
      </w:tr>
      <w:tr w:rsidR="00405474" w14:paraId="63CD5F7D"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CF7FF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6E336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B6C12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45,335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1B9FC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68,138,319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CD3CC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1,548,979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A193E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65,102,376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B4F20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71,174,261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B66F0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2.27% </w:t>
            </w:r>
          </w:p>
        </w:tc>
      </w:tr>
      <w:tr w:rsidR="00405474" w14:paraId="59D1D30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D52E5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601AC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EFDCD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57,362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F920A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96,446,459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6708C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1,717,047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C981A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93,081,109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7FD40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99,811,809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F72EF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1.78% </w:t>
            </w:r>
          </w:p>
        </w:tc>
      </w:tr>
      <w:tr w:rsidR="00405474" w14:paraId="2414798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99CC2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3A8DE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62893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14,225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36186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23,562,558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5428E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540,214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B2D45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22,503,758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88784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jc w:val="right"/>
            </w:pPr>
            <w:r>
              <w:rPr>
                <w:rFonts w:ascii="Arial" w:eastAsia="Arial" w:hAnsi="Arial" w:cs="Arial"/>
                <w:color w:val="333333"/>
                <w:sz w:val="13"/>
                <w:szCs w:val="13"/>
              </w:rPr>
              <w:t>24,621,357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7A121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2.29% </w:t>
            </w:r>
          </w:p>
        </w:tc>
      </w:tr>
      <w:tr w:rsidR="00405474" w14:paraId="7B63F961"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0864DD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4562EFC1" w14:textId="77777777" w:rsidR="00405474" w:rsidRDefault="00000000" w:rsidP="008519F6">
      <w:pPr>
        <w:pStyle w:val="CaptionedFigure"/>
        <w:jc w:val="center"/>
      </w:pPr>
      <w:r>
        <w:rPr>
          <w:noProof/>
        </w:rPr>
        <w:lastRenderedPageBreak/>
        <w:drawing>
          <wp:inline distT="0" distB="0" distL="0" distR="0" wp14:anchorId="695D9CFA" wp14:editId="123A0C70">
            <wp:extent cx="3101600" cy="5013178"/>
            <wp:effectExtent l="0" t="0" r="0" b="0"/>
            <wp:docPr id="55" name="Picture" descr="Fig. 4: Counts of Individuals in Sample After Pooling Across Years"/>
            <wp:cNvGraphicFramePr/>
            <a:graphic xmlns:a="http://schemas.openxmlformats.org/drawingml/2006/main">
              <a:graphicData uri="http://schemas.openxmlformats.org/drawingml/2006/picture">
                <pic:pic xmlns:pic="http://schemas.openxmlformats.org/drawingml/2006/picture">
                  <pic:nvPicPr>
                    <pic:cNvPr id="56" name="Picture" descr="healthcare_exp_elderly_lgbtq_with_meps_files/figure-docx/count_individ_in_sample_unwt_pool_plot-1.png"/>
                    <pic:cNvPicPr>
                      <a:picLocks noChangeAspect="1" noChangeArrowheads="1"/>
                    </pic:cNvPicPr>
                  </pic:nvPicPr>
                  <pic:blipFill>
                    <a:blip r:embed="rId30"/>
                    <a:stretch>
                      <a:fillRect/>
                    </a:stretch>
                  </pic:blipFill>
                  <pic:spPr bwMode="auto">
                    <a:xfrm>
                      <a:off x="0" y="0"/>
                      <a:ext cx="3101600" cy="5013178"/>
                    </a:xfrm>
                    <a:prstGeom prst="rect">
                      <a:avLst/>
                    </a:prstGeom>
                    <a:noFill/>
                    <a:ln w="9525">
                      <a:noFill/>
                      <a:headEnd/>
                      <a:tailEnd/>
                    </a:ln>
                  </pic:spPr>
                </pic:pic>
              </a:graphicData>
            </a:graphic>
          </wp:inline>
        </w:drawing>
      </w:r>
    </w:p>
    <w:p w14:paraId="7F94A024" w14:textId="77777777" w:rsidR="00405474" w:rsidRPr="008519F6" w:rsidRDefault="00000000" w:rsidP="008519F6">
      <w:pPr>
        <w:pStyle w:val="ImageCaption"/>
        <w:jc w:val="center"/>
        <w:rPr>
          <w:rFonts w:ascii="Arial" w:hAnsi="Arial" w:cs="Arial"/>
          <w:sz w:val="12"/>
          <w:szCs w:val="12"/>
        </w:rPr>
      </w:pPr>
      <w:r w:rsidRPr="008519F6">
        <w:rPr>
          <w:rFonts w:ascii="Arial" w:hAnsi="Arial" w:cs="Arial"/>
          <w:sz w:val="12"/>
          <w:szCs w:val="12"/>
        </w:rPr>
        <w:t>Fig. 4: Counts of Individuals in Sample After Pooling Across Years</w:t>
      </w:r>
    </w:p>
    <w:p w14:paraId="03D08DE7" w14:textId="77777777" w:rsidR="00405474" w:rsidRDefault="00000000">
      <w:pPr>
        <w:pStyle w:val="Heading2"/>
      </w:pPr>
      <w:bookmarkStart w:id="8" w:name="X15683355bba744973c906470ea6082317a22e25"/>
      <w:bookmarkEnd w:id="7"/>
      <w:r>
        <w:t>Population-level Estimates After Pooling MEPS Data Years</w:t>
      </w:r>
    </w:p>
    <w:p w14:paraId="72E07E1A" w14:textId="77777777" w:rsidR="00405474" w:rsidRDefault="00000000">
      <w:pPr>
        <w:pStyle w:val="FirstParagraph"/>
      </w:pPr>
      <w:r>
        <w:t>Since our aim is to compare the experiences or healthcare expenses between LGBQT+ subpopulations and non-LGBQT+ subpopulations with a focus on individuals age 65 and up, we will not be able to meet the basic MEPS precision guidelines described above without pooling across multiple years. This is due to the fact that any single-year MEPS file lacks the required number of respondents (</w:t>
      </w:r>
      <w:r>
        <w:rPr>
          <w:i/>
          <w:iCs/>
        </w:rPr>
        <w:t>n</w:t>
      </w:r>
      <w:r>
        <w:t xml:space="preserve"> &gt;= 60) who are age 65 and up and in same-gender marriages.</w:t>
      </w:r>
    </w:p>
    <w:p w14:paraId="2952AB93" w14:textId="77777777" w:rsidR="00405474" w:rsidRDefault="00000000">
      <w:pPr>
        <w:pStyle w:val="BodyText"/>
      </w:pPr>
      <w:r>
        <w:t xml:space="preserve">MEPS prescribes a methodology for pooling across multiple data years within </w:t>
      </w:r>
      <w:hyperlink r:id="rId31">
        <w:r>
          <w:rPr>
            <w:rStyle w:val="Hyperlink"/>
          </w:rPr>
          <w:t>the documentation for the Pooled Linkage PUF</w:t>
        </w:r>
      </w:hyperlink>
      <w:r>
        <w:t>. This PUF contains survey weights and variances at the sampling unit and demographic stratum level that enables pooling across multiple years.</w:t>
      </w:r>
    </w:p>
    <w:p w14:paraId="638CF141" w14:textId="77777777" w:rsidR="00405474" w:rsidRDefault="00000000">
      <w:pPr>
        <w:pStyle w:val="BodyText"/>
      </w:pPr>
      <w:r>
        <w:t>Once pooling from 2014 - 2019 is completed, we can see that both age groups in the same-gender marriage subpopulation meet the minimum sample size of 60 required by the MEPS statistical precision guidelines (</w:t>
      </w:r>
      <w:r>
        <w:rPr>
          <w:i/>
          <w:iCs/>
        </w:rPr>
        <w:t>n</w:t>
      </w:r>
      <w:r>
        <w:t xml:space="preserve"> = 435 for the 18 - 64 age band, </w:t>
      </w:r>
      <w:r>
        <w:rPr>
          <w:i/>
          <w:iCs/>
        </w:rPr>
        <w:t>n</w:t>
      </w:r>
      <w:r>
        <w:t xml:space="preserve"> = 62 for the over 65 age band). However, even with over 60 respondents, we are likely to encounter a good deal of variability around the estimates of measurements for the subpopulations of which these respondents are representative.</w:t>
      </w:r>
    </w:p>
    <w:p w14:paraId="31103610" w14:textId="77777777" w:rsidR="00405474" w:rsidRDefault="00000000" w:rsidP="008519F6">
      <w:pPr>
        <w:pStyle w:val="CaptionedFigure"/>
        <w:jc w:val="center"/>
      </w:pPr>
      <w:r>
        <w:rPr>
          <w:noProof/>
        </w:rPr>
        <w:lastRenderedPageBreak/>
        <w:drawing>
          <wp:inline distT="0" distB="0" distL="0" distR="0" wp14:anchorId="337F1CF3" wp14:editId="1868EC8A">
            <wp:extent cx="2801936" cy="4528824"/>
            <wp:effectExtent l="0" t="0" r="0" b="0"/>
            <wp:docPr id="60" name="Picture" descr="Fig. 5: Population-level Estimates After Pooling Across Years"/>
            <wp:cNvGraphicFramePr/>
            <a:graphic xmlns:a="http://schemas.openxmlformats.org/drawingml/2006/main">
              <a:graphicData uri="http://schemas.openxmlformats.org/drawingml/2006/picture">
                <pic:pic xmlns:pic="http://schemas.openxmlformats.org/drawingml/2006/picture">
                  <pic:nvPicPr>
                    <pic:cNvPr id="61" name="Picture" descr="healthcare_exp_elderly_lgbtq_with_meps_files/figure-docx/count_individ_in_sample_wt_pool-1.png"/>
                    <pic:cNvPicPr>
                      <a:picLocks noChangeAspect="1" noChangeArrowheads="1"/>
                    </pic:cNvPicPr>
                  </pic:nvPicPr>
                  <pic:blipFill>
                    <a:blip r:embed="rId32"/>
                    <a:stretch>
                      <a:fillRect/>
                    </a:stretch>
                  </pic:blipFill>
                  <pic:spPr bwMode="auto">
                    <a:xfrm>
                      <a:off x="0" y="0"/>
                      <a:ext cx="2808719" cy="4539787"/>
                    </a:xfrm>
                    <a:prstGeom prst="rect">
                      <a:avLst/>
                    </a:prstGeom>
                    <a:noFill/>
                    <a:ln w="9525">
                      <a:noFill/>
                      <a:headEnd/>
                      <a:tailEnd/>
                    </a:ln>
                  </pic:spPr>
                </pic:pic>
              </a:graphicData>
            </a:graphic>
          </wp:inline>
        </w:drawing>
      </w:r>
    </w:p>
    <w:p w14:paraId="55F6C96B" w14:textId="77777777" w:rsidR="00405474" w:rsidRPr="008519F6" w:rsidRDefault="00000000" w:rsidP="008519F6">
      <w:pPr>
        <w:pStyle w:val="ImageCaption"/>
        <w:jc w:val="center"/>
        <w:rPr>
          <w:rFonts w:ascii="Arial" w:hAnsi="Arial" w:cs="Arial"/>
          <w:sz w:val="12"/>
          <w:szCs w:val="12"/>
        </w:rPr>
      </w:pPr>
      <w:r w:rsidRPr="008519F6">
        <w:rPr>
          <w:rFonts w:ascii="Arial" w:hAnsi="Arial" w:cs="Arial"/>
          <w:sz w:val="12"/>
          <w:szCs w:val="12"/>
        </w:rPr>
        <w:t>Fig. 5: Population-level Estimates After Pooling Across Years</w:t>
      </w:r>
    </w:p>
    <w:p w14:paraId="779A0441" w14:textId="77777777" w:rsidR="00405474" w:rsidRDefault="00000000">
      <w:pPr>
        <w:pStyle w:val="Heading2"/>
      </w:pPr>
      <w:bookmarkStart w:id="9" w:name="X4899cfceac3c6b6a63619a76670437479366a6b"/>
      <w:bookmarkEnd w:id="8"/>
      <w:r>
        <w:t>External Validation of Estimates Computed Using Pooled MEPS Data</w:t>
      </w:r>
    </w:p>
    <w:p w14:paraId="6AA23183" w14:textId="77777777" w:rsidR="00405474" w:rsidRDefault="00000000">
      <w:pPr>
        <w:pStyle w:val="FirstParagraph"/>
      </w:pPr>
      <w:r>
        <w:t>When using the pooled 2014 - 2019 data to compute population-level estimates, we arrive at an estimate of 1,051,043 total individuals in same-gender marriages within the US, arrived at simply adding the estimated totals for each subgroup (900,950 for the “18 to 64” age band, plus 150,093 for the “65 and over” band).</w:t>
      </w:r>
    </w:p>
    <w:p w14:paraId="6B527130" w14:textId="77777777" w:rsidR="00405474" w:rsidRDefault="00000000">
      <w:pPr>
        <w:pStyle w:val="BodyText"/>
      </w:pPr>
      <w:r>
        <w:t xml:space="preserve">To determine the 95% confidence interval around this estimate, we can simply take the square root of the sum of squared confidence interval radii given for each subgroup’s estimate,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1.959964</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969</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1.959964</m:t>
                    </m:r>
                    <m:r>
                      <m:rPr>
                        <m:sty m:val="p"/>
                      </m:rPr>
                      <w:rPr>
                        <w:rFonts w:ascii="Cambria Math" w:hAnsi="Cambria Math"/>
                      </w:rPr>
                      <m:t>*</m:t>
                    </m:r>
                    <m:r>
                      <w:rPr>
                        <w:rFonts w:ascii="Cambria Math" w:hAnsi="Cambria Math"/>
                      </w:rPr>
                      <m:t>39</m:t>
                    </m:r>
                    <m:r>
                      <m:rPr>
                        <m:sty m:val="p"/>
                      </m:rPr>
                      <w:rPr>
                        <w:rFonts w:ascii="Cambria Math" w:hAnsi="Cambria Math"/>
                      </w:rPr>
                      <m:t>,</m:t>
                    </m:r>
                    <m:r>
                      <w:rPr>
                        <w:rFonts w:ascii="Cambria Math" w:hAnsi="Cambria Math"/>
                      </w:rPr>
                      <m:t>229</m:t>
                    </m:r>
                  </m:e>
                </m:d>
              </m:e>
              <m:sup>
                <m:r>
                  <w:rPr>
                    <w:rFonts w:ascii="Cambria Math" w:hAnsi="Cambria Math"/>
                  </w:rPr>
                  <m:t>2</m:t>
                </m:r>
              </m:sup>
            </m:sSup>
          </m:e>
        </m:rad>
      </m:oMath>
      <w:r>
        <w:t>, to arrive at a the 95% confidence interval radius for our combined estimate of the total number of same-gender marriages within the US. The 95% confidence interval around this estimate spans from 856,875 to 1,245,211.</w:t>
      </w:r>
    </w:p>
    <w:p w14:paraId="54CD2F47" w14:textId="77777777" w:rsidR="00405474" w:rsidRDefault="00000000">
      <w:pPr>
        <w:pStyle w:val="BodyText"/>
      </w:pPr>
      <w:r>
        <w:t xml:space="preserve">Once again, we can compare these estimates to the </w:t>
      </w:r>
      <w:hyperlink r:id="rId33">
        <w:r>
          <w:rPr>
            <w:rStyle w:val="Hyperlink"/>
          </w:rPr>
          <w:t>findings from the American Community Survey for 2019</w:t>
        </w:r>
      </w:hyperlink>
      <w:r>
        <w:t xml:space="preserve"> which reports the total estimated count of same-sex married individuals at 1,136,220 (two times the number of same-sex married couples </w:t>
      </w:r>
      <w:r>
        <w:rPr>
          <w:i/>
          <w:iCs/>
        </w:rPr>
        <w:t>households</w:t>
      </w:r>
      <w:r>
        <w:t xml:space="preserve"> reported in Table 1, on page 2), which falls relatively close to the center of the 95% confidence interval around our population-level estimate for the same statistic.</w:t>
      </w:r>
    </w:p>
    <w:tbl>
      <w:tblPr>
        <w:tblW w:w="0" w:type="pct"/>
        <w:jc w:val="center"/>
        <w:tblLook w:val="0420" w:firstRow="1" w:lastRow="0" w:firstColumn="0" w:lastColumn="0" w:noHBand="0" w:noVBand="1"/>
      </w:tblPr>
      <w:tblGrid>
        <w:gridCol w:w="2282"/>
        <w:gridCol w:w="710"/>
        <w:gridCol w:w="591"/>
        <w:gridCol w:w="1167"/>
        <w:gridCol w:w="920"/>
        <w:gridCol w:w="1107"/>
        <w:gridCol w:w="1103"/>
        <w:gridCol w:w="1496"/>
      </w:tblGrid>
      <w:tr w:rsidR="00405474" w14:paraId="1438C3CC"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9BA5E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'Estimated Proportions of Married Individuals Across Gender By Same-Gender Marriage Status and Age Group'</w:t>
            </w:r>
          </w:p>
        </w:tc>
      </w:tr>
      <w:tr w:rsidR="00405474" w14:paraId="032E713C"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BC2F0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64985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357DC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Gender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260C6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B6F3E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B8DEE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4D38C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8764A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5797D534"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BAAE3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BB30C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4B323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D30FD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14C35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95C41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90224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51.93%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8111E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0.21% </w:t>
            </w:r>
          </w:p>
        </w:tc>
      </w:tr>
      <w:tr w:rsidR="00405474" w14:paraId="674ECA2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DB1E6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295E0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0A31C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2562D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48.28%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4D6BA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27EF2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48.07%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0EDDA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48.50%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59F66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0.23% </w:t>
            </w:r>
          </w:p>
        </w:tc>
      </w:tr>
      <w:tr w:rsidR="00405474" w14:paraId="5A8BCF7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AEE462"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7C5AB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B20E6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DE738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45.12%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030F8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76C5A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44.50%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8A0A0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45.74%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B0D29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0.70% </w:t>
            </w:r>
          </w:p>
        </w:tc>
      </w:tr>
      <w:tr w:rsidR="00405474" w14:paraId="16367DF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A39FB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32F6E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36404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4CA7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54.88%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B5685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6FF3D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54.26%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EB830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0DCB2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0.58% </w:t>
            </w:r>
          </w:p>
        </w:tc>
      </w:tr>
      <w:tr w:rsidR="00405474" w14:paraId="33F98238"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8A4F0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lastRenderedPageBreak/>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05CC0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7018C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728E8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56.85%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D20EB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8BFF4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47.67%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CD8E2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66.04%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D43B7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8.24% </w:t>
            </w:r>
          </w:p>
        </w:tc>
      </w:tr>
      <w:tr w:rsidR="00405474" w14:paraId="7FC8C08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057736"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BB166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583C3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0A39E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43.15%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5B664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6F56B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33.96%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5F32E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52.33%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30A22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10.86% </w:t>
            </w:r>
          </w:p>
        </w:tc>
      </w:tr>
      <w:tr w:rsidR="00405474" w14:paraId="5C76A00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8DD9A6"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E3858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8760A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944FE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CAD55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685FA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19.01%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2B323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69.34%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32FF3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29.07% </w:t>
            </w:r>
          </w:p>
        </w:tc>
      </w:tr>
      <w:tr w:rsidR="00405474" w14:paraId="1C7C6F5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E5F05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42954D"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664DF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C9CFE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399C3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2AFF3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8E9A6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80.99%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C65A2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23.00% </w:t>
            </w:r>
          </w:p>
        </w:tc>
      </w:tr>
      <w:tr w:rsidR="00405474" w14:paraId="7E8F076D"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C938A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501CD99B" w14:textId="77777777" w:rsidR="00405474" w:rsidRDefault="00000000">
      <w:pPr>
        <w:pStyle w:val="BodyText"/>
      </w:pPr>
      <w:r>
        <w:rPr>
          <w:noProof/>
        </w:rPr>
        <w:drawing>
          <wp:inline distT="0" distB="0" distL="0" distR="0" wp14:anchorId="74CA749D" wp14:editId="2E56C76D">
            <wp:extent cx="5943600" cy="3677243"/>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ealthcare_exp_elderly_lgbtq_with_meps_files/figure-docx/marriage_class_and_gender-1.png"/>
                    <pic:cNvPicPr>
                      <a:picLocks noChangeAspect="1" noChangeArrowheads="1"/>
                    </pic:cNvPicPr>
                  </pic:nvPicPr>
                  <pic:blipFill>
                    <a:blip r:embed="rId34"/>
                    <a:stretch>
                      <a:fillRect/>
                    </a:stretch>
                  </pic:blipFill>
                  <pic:spPr bwMode="auto">
                    <a:xfrm>
                      <a:off x="0" y="0"/>
                      <a:ext cx="5943600" cy="3677243"/>
                    </a:xfrm>
                    <a:prstGeom prst="rect">
                      <a:avLst/>
                    </a:prstGeom>
                    <a:noFill/>
                    <a:ln w="9525">
                      <a:noFill/>
                      <a:headEnd/>
                      <a:tailEnd/>
                    </a:ln>
                  </pic:spPr>
                </pic:pic>
              </a:graphicData>
            </a:graphic>
          </wp:inline>
        </w:drawing>
      </w:r>
    </w:p>
    <w:tbl>
      <w:tblPr>
        <w:tblW w:w="0" w:type="pct"/>
        <w:jc w:val="center"/>
        <w:tblLook w:val="0420" w:firstRow="1" w:lastRow="0" w:firstColumn="0" w:lastColumn="0" w:noHBand="0" w:noVBand="1"/>
      </w:tblPr>
      <w:tblGrid>
        <w:gridCol w:w="2104"/>
        <w:gridCol w:w="685"/>
        <w:gridCol w:w="1128"/>
        <w:gridCol w:w="1118"/>
        <w:gridCol w:w="889"/>
        <w:gridCol w:w="1034"/>
        <w:gridCol w:w="1031"/>
        <w:gridCol w:w="1387"/>
      </w:tblGrid>
      <w:tr w:rsidR="00405474" w14:paraId="6E069132"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D4F6A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'Estimated Proportions of Married Individuals Across Health Plan Types By Same-Gender Marriage Status and Age Group'</w:t>
            </w:r>
          </w:p>
        </w:tc>
      </w:tr>
      <w:tr w:rsidR="00405474" w14:paraId="250074F0"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FD1E2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7B9DA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5C12C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Health Plan Coverage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49CAA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EFC7B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CCFAD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C0CC3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677BA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21324EDD"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92F3E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A3C1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35E60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C5C9B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D78BE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1E04E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82.88%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AE639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84.71%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304E2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0.56% </w:t>
            </w:r>
          </w:p>
        </w:tc>
      </w:tr>
      <w:tr w:rsidR="00405474" w14:paraId="611A131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0825F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A5389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79CE9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F7D58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C8090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0FB2D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4D367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2ED12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3.51% </w:t>
            </w:r>
          </w:p>
        </w:tc>
      </w:tr>
      <w:tr w:rsidR="00405474" w14:paraId="6B20ED0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5C32D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179D9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04FC1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473F6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58AF8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52CF1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DEB72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248C2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3.98% </w:t>
            </w:r>
          </w:p>
        </w:tc>
      </w:tr>
      <w:tr w:rsidR="00405474" w14:paraId="3E140E2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334A3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B2097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215DD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19CBA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60.35%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A6E1F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37BD2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58.52%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61A8F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62.18%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9BCCF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1.54% </w:t>
            </w:r>
          </w:p>
        </w:tc>
      </w:tr>
      <w:tr w:rsidR="00405474" w14:paraId="39A5AE7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6EEA5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2204F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2487D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7CFBD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39.46%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D6E0F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82415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37.63%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11BB5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41.29%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4CC17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2.36% </w:t>
            </w:r>
          </w:p>
        </w:tc>
      </w:tr>
      <w:tr w:rsidR="00405474" w14:paraId="2B592EF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220D3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6149C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59030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D52CC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23D25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48493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2D8A1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17565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22.57% </w:t>
            </w:r>
          </w:p>
        </w:tc>
      </w:tr>
      <w:tr w:rsidR="00405474" w14:paraId="6AC06364"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6B72E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23D21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3FDC2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EE950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89.42%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D8BA0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64D7F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85.25%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BDCE2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93.60%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9AD3E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2.38% </w:t>
            </w:r>
          </w:p>
        </w:tc>
      </w:tr>
      <w:tr w:rsidR="00405474" w14:paraId="1C1FC0F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B1D3A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12D10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EA5F3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52F6F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D8B6C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E986E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E8266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160DE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27.64% </w:t>
            </w:r>
          </w:p>
        </w:tc>
      </w:tr>
      <w:tr w:rsidR="00405474" w14:paraId="53E207F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3A951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76EA5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0850D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12F88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D5A03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6F84B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443A2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76B3F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29.34% </w:t>
            </w:r>
          </w:p>
        </w:tc>
      </w:tr>
      <w:tr w:rsidR="00405474" w14:paraId="2BFB924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59037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E60F6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E96D8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1AE99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63.35%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7F5B9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EA33C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42.92%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D15DD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09E74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16.46% </w:t>
            </w:r>
          </w:p>
        </w:tc>
      </w:tr>
      <w:tr w:rsidR="00405474" w14:paraId="700E78E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265ED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1143C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623C3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AD5E8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36.65%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112D1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FCFFA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16.21%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E8EAE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57.08%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88B18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28.45% </w:t>
            </w:r>
          </w:p>
        </w:tc>
      </w:tr>
      <w:tr w:rsidR="00405474" w14:paraId="4377474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421ED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A64352"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718E8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76E1C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BFB93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30BE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0FFB4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2848A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NA </w:t>
            </w:r>
          </w:p>
        </w:tc>
      </w:tr>
      <w:tr w:rsidR="00405474" w14:paraId="60FC70EC"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1F5E26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4F84FB34" w14:textId="77777777" w:rsidR="00405474" w:rsidRDefault="00000000">
      <w:pPr>
        <w:pStyle w:val="BodyText"/>
      </w:pPr>
      <w:r>
        <w:rPr>
          <w:noProof/>
        </w:rPr>
        <w:lastRenderedPageBreak/>
        <w:drawing>
          <wp:inline distT="0" distB="0" distL="0" distR="0" wp14:anchorId="17EA4CE9" wp14:editId="129542BD">
            <wp:extent cx="5943600" cy="3677243"/>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ealthcare_exp_elderly_lgbtq_with_meps_files/figure-docx/marriage_class_and_plan_coverage-1.png"/>
                    <pic:cNvPicPr>
                      <a:picLocks noChangeAspect="1" noChangeArrowheads="1"/>
                    </pic:cNvPicPr>
                  </pic:nvPicPr>
                  <pic:blipFill>
                    <a:blip r:embed="rId35"/>
                    <a:stretch>
                      <a:fillRect/>
                    </a:stretch>
                  </pic:blipFill>
                  <pic:spPr bwMode="auto">
                    <a:xfrm>
                      <a:off x="0" y="0"/>
                      <a:ext cx="5943600" cy="3677243"/>
                    </a:xfrm>
                    <a:prstGeom prst="rect">
                      <a:avLst/>
                    </a:prstGeom>
                    <a:noFill/>
                    <a:ln w="9525">
                      <a:noFill/>
                      <a:headEnd/>
                      <a:tailEnd/>
                    </a:ln>
                  </pic:spPr>
                </pic:pic>
              </a:graphicData>
            </a:graphic>
          </wp:inline>
        </w:drawing>
      </w:r>
    </w:p>
    <w:tbl>
      <w:tblPr>
        <w:tblW w:w="0" w:type="pct"/>
        <w:jc w:val="center"/>
        <w:tblLook w:val="0420" w:firstRow="1" w:lastRow="0" w:firstColumn="0" w:lastColumn="0" w:noHBand="0" w:noVBand="1"/>
      </w:tblPr>
      <w:tblGrid>
        <w:gridCol w:w="1953"/>
        <w:gridCol w:w="663"/>
        <w:gridCol w:w="1572"/>
        <w:gridCol w:w="1076"/>
        <w:gridCol w:w="864"/>
        <w:gridCol w:w="973"/>
        <w:gridCol w:w="969"/>
        <w:gridCol w:w="1306"/>
      </w:tblGrid>
      <w:tr w:rsidR="00405474" w14:paraId="65E345A5"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A5E23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'Estimated Proportions of Married Individuals Across Race &amp; Ethnicity By Same-Gender Marriage Status and Age Group'</w:t>
            </w:r>
          </w:p>
        </w:tc>
      </w:tr>
      <w:tr w:rsidR="00405474" w14:paraId="2D5FBDCC"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F3AE9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7DED6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08C59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Race &amp; Ethnicity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90BE1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D8835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329EE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06F40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CBE6B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39DF8A18"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010C7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48AE9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5DA90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2A156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16.17%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851D6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C5458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09B28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17.46%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128E0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4.083% </w:t>
            </w:r>
          </w:p>
        </w:tc>
      </w:tr>
      <w:tr w:rsidR="00405474" w14:paraId="3B39BBB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C1959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9541C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0A8EA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0E3D3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66.65%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4FE79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752A2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DF1C3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68.19%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4B5CF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1.182% </w:t>
            </w:r>
          </w:p>
        </w:tc>
      </w:tr>
      <w:tr w:rsidR="00405474" w14:paraId="65B9F10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E3CC8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2A177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D3AB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6B8F6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688B4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B3F31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8294F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98F9F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4.364% </w:t>
            </w:r>
          </w:p>
        </w:tc>
      </w:tr>
      <w:tr w:rsidR="00405474" w14:paraId="3CA1F78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5FE52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E77DB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CF6A5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2F6BA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422D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D8720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9C1B6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D572C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4.849% </w:t>
            </w:r>
          </w:p>
        </w:tc>
      </w:tr>
      <w:tr w:rsidR="00405474" w14:paraId="6A23C0A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A1630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603EA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519C2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E1A46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6C912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08820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71BEC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B0CFE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8.995% </w:t>
            </w:r>
          </w:p>
        </w:tc>
      </w:tr>
      <w:tr w:rsidR="00405474" w14:paraId="4618686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A3BA2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29A6C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EF680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76783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EE74C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02C2D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FAB0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61DAE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17.433% </w:t>
            </w:r>
          </w:p>
        </w:tc>
      </w:tr>
      <w:tr w:rsidR="00405474" w14:paraId="33ED278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69003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3A39E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CC8A1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DB7F0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74.91%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A44EF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7608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67.61%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1F24D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82.21%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D5821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4.970% </w:t>
            </w:r>
          </w:p>
        </w:tc>
      </w:tr>
      <w:tr w:rsidR="00405474" w14:paraId="090CF0E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11C766"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1B62B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A76F2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5F44F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E59AD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72CFC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98CCE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F9465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29.130% </w:t>
            </w:r>
          </w:p>
        </w:tc>
      </w:tr>
      <w:tr w:rsidR="00405474" w14:paraId="73F77D0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8240E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FFE0B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5C925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65EBF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1B3C7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EAE51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62761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5A5EE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55.201% †</w:t>
            </w:r>
          </w:p>
        </w:tc>
      </w:tr>
      <w:tr w:rsidR="00405474" w14:paraId="76DE30A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83C5A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42E20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E6D7B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EECDA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54DD7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C09E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80376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DA403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55.703% †</w:t>
            </w:r>
          </w:p>
        </w:tc>
      </w:tr>
      <w:tr w:rsidR="00405474" w14:paraId="2B64963E"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FC889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11360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52088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1DEB0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CF1A8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3A825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A72B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46778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6.739% </w:t>
            </w:r>
          </w:p>
        </w:tc>
      </w:tr>
      <w:tr w:rsidR="00405474" w14:paraId="1EB84E2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E4897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7B466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485D3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2C0C2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79.57%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DBD90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2315E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78.02%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0CFA2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81.12%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E5173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0.996% </w:t>
            </w:r>
          </w:p>
        </w:tc>
      </w:tr>
      <w:tr w:rsidR="00405474" w14:paraId="32C42C3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9C135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9F38F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592A5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B9C71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185AE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6459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B8978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9A914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6.917% </w:t>
            </w:r>
          </w:p>
        </w:tc>
      </w:tr>
      <w:tr w:rsidR="00405474" w14:paraId="1F41EFB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E0B7C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F84FC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19350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13F5B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C5E20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7C954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78DA3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58DDC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8.510% </w:t>
            </w:r>
          </w:p>
        </w:tc>
      </w:tr>
      <w:tr w:rsidR="00405474" w14:paraId="4BBD95F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953A8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F450F2"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D23B5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3A5F6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69D4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0E9D1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AC962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083A9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14.013% </w:t>
            </w:r>
          </w:p>
        </w:tc>
      </w:tr>
      <w:tr w:rsidR="00405474" w14:paraId="2032D3F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2E109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3F937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0882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8D407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EEF5F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5ECB4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AA9A1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E6896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55.515% †</w:t>
            </w:r>
          </w:p>
        </w:tc>
      </w:tr>
      <w:tr w:rsidR="00405474" w14:paraId="4979A5B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FB965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C40E2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5FD9F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3AA75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87.67%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33563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7EE46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75.74%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0C2E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99.60%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6ABA4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6.945% </w:t>
            </w:r>
          </w:p>
        </w:tc>
      </w:tr>
      <w:tr w:rsidR="00405474" w14:paraId="2873DA1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D728A2"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3EAFD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EB73A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C1F87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65925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AB2A4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80F0F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A9A03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101.694% †</w:t>
            </w:r>
          </w:p>
        </w:tc>
      </w:tr>
      <w:tr w:rsidR="00405474" w14:paraId="309C6FA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8246B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E0F58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38753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F4AC4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81BA3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D2BAE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5A379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13.21%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12A04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94.534% †</w:t>
            </w:r>
          </w:p>
        </w:tc>
      </w:tr>
      <w:tr w:rsidR="00405474" w14:paraId="0E0CE3F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74570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3B569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76081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224D4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FA6EE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7CBDB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884CE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13.49%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FC531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98.815% †</w:t>
            </w:r>
          </w:p>
        </w:tc>
      </w:tr>
      <w:tr w:rsidR="00405474" w14:paraId="46E96E94"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F92343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04440CBE" w14:textId="77777777" w:rsidR="00405474" w:rsidRDefault="00000000">
      <w:pPr>
        <w:pStyle w:val="BodyText"/>
      </w:pPr>
      <w:r>
        <w:rPr>
          <w:noProof/>
        </w:rPr>
        <w:drawing>
          <wp:inline distT="0" distB="0" distL="0" distR="0" wp14:anchorId="032E1A11" wp14:editId="1AAAA3A4">
            <wp:extent cx="5943600" cy="3677243"/>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healthcare_exp_elderly_lgbtq_with_meps_files/figure-docx/marriage_class_and_race_ethnicity-1.png"/>
                    <pic:cNvPicPr>
                      <a:picLocks noChangeAspect="1" noChangeArrowheads="1"/>
                    </pic:cNvPicPr>
                  </pic:nvPicPr>
                  <pic:blipFill>
                    <a:blip r:embed="rId36"/>
                    <a:stretch>
                      <a:fillRect/>
                    </a:stretch>
                  </pic:blipFill>
                  <pic:spPr bwMode="auto">
                    <a:xfrm>
                      <a:off x="0" y="0"/>
                      <a:ext cx="5943600" cy="3677243"/>
                    </a:xfrm>
                    <a:prstGeom prst="rect">
                      <a:avLst/>
                    </a:prstGeom>
                    <a:noFill/>
                    <a:ln w="9525">
                      <a:noFill/>
                      <a:headEnd/>
                      <a:tailEnd/>
                    </a:ln>
                  </pic:spPr>
                </pic:pic>
              </a:graphicData>
            </a:graphic>
          </wp:inline>
        </w:drawing>
      </w:r>
    </w:p>
    <w:tbl>
      <w:tblPr>
        <w:tblW w:w="0" w:type="pct"/>
        <w:jc w:val="center"/>
        <w:tblLook w:val="0420" w:firstRow="1" w:lastRow="0" w:firstColumn="0" w:lastColumn="0" w:noHBand="0" w:noVBand="1"/>
      </w:tblPr>
      <w:tblGrid>
        <w:gridCol w:w="2110"/>
        <w:gridCol w:w="685"/>
        <w:gridCol w:w="1103"/>
        <w:gridCol w:w="1119"/>
        <w:gridCol w:w="890"/>
        <w:gridCol w:w="1036"/>
        <w:gridCol w:w="1033"/>
        <w:gridCol w:w="1400"/>
      </w:tblGrid>
      <w:tr w:rsidR="00405474" w14:paraId="22A6A87D"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A99AD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'Estimated Proportions of Married Individuals Across Income Thresholds By Same-Gender Marriage Status and Age Group'</w:t>
            </w:r>
          </w:p>
        </w:tc>
      </w:tr>
      <w:tr w:rsidR="00405474" w14:paraId="1F8389C8"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9A909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A9A7C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965C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Income as % of FPL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6E3B7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EBAC7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44AE4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DE60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38AE4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02ECC13F"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496D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0A5C9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8EB14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 to 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33888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0A2C9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5D6C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186DE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3DE7A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4.1619% </w:t>
            </w:r>
          </w:p>
        </w:tc>
      </w:tr>
      <w:tr w:rsidR="00405474" w14:paraId="768BBCF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BE3D9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4EA4ED"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19F05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100% to less than 125%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26F89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1B02A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42C0E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EF22C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16035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5.0340% </w:t>
            </w:r>
          </w:p>
        </w:tc>
      </w:tr>
      <w:tr w:rsidR="00405474" w14:paraId="4CBA01B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DCE95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F126B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663DF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125% to less than 200%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63717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04A22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CD3CF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A862D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E491C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2.7705% </w:t>
            </w:r>
          </w:p>
        </w:tc>
      </w:tr>
      <w:tr w:rsidR="00405474" w14:paraId="1B59EFB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E0DC0B"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66509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2D717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67A5B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4C7CF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63381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6BD02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28.54%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1E381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1.5561% </w:t>
            </w:r>
          </w:p>
        </w:tc>
      </w:tr>
      <w:tr w:rsidR="00405474" w14:paraId="341511D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4D3B6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EBEF8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50C81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19D19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8B2C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3DF55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54.64%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F9D43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57.03%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4DF74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1.0948% </w:t>
            </w:r>
          </w:p>
        </w:tc>
      </w:tr>
      <w:tr w:rsidR="00405474" w14:paraId="4C6D37A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5A99C2"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C97ED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13F65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 to 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DF3C1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10B37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C2B5B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C2690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11.04%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43FDD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20.2641% </w:t>
            </w:r>
          </w:p>
        </w:tc>
      </w:tr>
      <w:tr w:rsidR="00405474" w14:paraId="7448806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FDF8B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3A2FA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442BC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100% to less than 125%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5178F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99A01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9FC4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35341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1BE5B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37.3828% *</w:t>
            </w:r>
          </w:p>
        </w:tc>
      </w:tr>
      <w:tr w:rsidR="00405474" w14:paraId="20F6516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7226D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47D31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7A689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125% to less than 200%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0BEC3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7093E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E5D92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C9ADA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16ACF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22.4508% </w:t>
            </w:r>
          </w:p>
        </w:tc>
      </w:tr>
      <w:tr w:rsidR="00405474" w14:paraId="04961C2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9DB5C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54946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CEE55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4179A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23.51%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E59C5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AC96A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17.64%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1D022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E8587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12.7563% </w:t>
            </w:r>
          </w:p>
        </w:tc>
      </w:tr>
      <w:tr w:rsidR="00405474" w14:paraId="42B0A4D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C2DF0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F4029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1420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3F847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60.85%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CA23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C09D8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53.80%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68D89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67.90%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4A767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5.9117% </w:t>
            </w:r>
          </w:p>
        </w:tc>
      </w:tr>
      <w:tr w:rsidR="00405474" w14:paraId="090D7404"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B1314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BD3A0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67FD5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 to 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6E50B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1C389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B452E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DD0B1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FE1F8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6.4105% </w:t>
            </w:r>
          </w:p>
        </w:tc>
      </w:tr>
      <w:tr w:rsidR="00405474" w14:paraId="174E38C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28605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05E8B6"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BD83E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100% to less than 125%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7A237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AE567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37870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438D5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929AE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10.4242% </w:t>
            </w:r>
          </w:p>
        </w:tc>
      </w:tr>
      <w:tr w:rsidR="00405474" w14:paraId="19D40DF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E543D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67B01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DB7CA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125% to less than 200%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492C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41741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0FE6F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1C12D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11.94%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0C2AD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4.7204% </w:t>
            </w:r>
          </w:p>
        </w:tc>
      </w:tr>
      <w:tr w:rsidR="00405474" w14:paraId="76B1BDF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28756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2BCA0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F1520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E452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3DB35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151AD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24.52%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B2AF7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019B5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2.7725% </w:t>
            </w:r>
          </w:p>
        </w:tc>
      </w:tr>
      <w:tr w:rsidR="00405474" w14:paraId="63EFFF7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D1604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6782C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11A16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68D4D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BA045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4542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53.25%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19660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57.16%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6C61C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1.8057% </w:t>
            </w:r>
          </w:p>
        </w:tc>
      </w:tr>
      <w:tr w:rsidR="00405474" w14:paraId="08C7C9F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28287D"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A5F5F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DAB5B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 to 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79056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D1A39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7E1A9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CF165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19.15%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99726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63.7258% †</w:t>
            </w:r>
          </w:p>
        </w:tc>
      </w:tr>
      <w:tr w:rsidR="00405474" w14:paraId="38BBACB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9CDB8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9FBEF6"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6DBE4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100% to less than 125%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28AA1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1306F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FECF7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6A598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F8901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99.4805% †</w:t>
            </w:r>
          </w:p>
        </w:tc>
      </w:tr>
      <w:tr w:rsidR="00405474" w14:paraId="7F971C4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DE193D"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7AFF7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A67A6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125% to less than 200%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B3827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A1B58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BEA84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4AA5B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C3B22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76.4639% †</w:t>
            </w:r>
          </w:p>
        </w:tc>
      </w:tr>
      <w:tr w:rsidR="00405474" w14:paraId="15E3FD8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247E8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17A7E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907FF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88F72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7F3CC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4BB0C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15.71%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C9A04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36.73%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15AEE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20.4579% </w:t>
            </w:r>
          </w:p>
        </w:tc>
      </w:tr>
      <w:tr w:rsidR="00405474" w14:paraId="38FD52E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83136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8CB9C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BED85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7E300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58.75%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06A0F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5A04C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43.81%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758F4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73.69%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07240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12.9713% </w:t>
            </w:r>
          </w:p>
        </w:tc>
      </w:tr>
      <w:tr w:rsidR="00405474" w14:paraId="0F780431"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62D45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0A457A56" w14:textId="77777777" w:rsidR="00405474" w:rsidRDefault="00000000">
      <w:pPr>
        <w:pStyle w:val="BodyText"/>
      </w:pPr>
      <w:r>
        <w:rPr>
          <w:noProof/>
        </w:rPr>
        <w:drawing>
          <wp:inline distT="0" distB="0" distL="0" distR="0" wp14:anchorId="1F549D87" wp14:editId="0C2C1173">
            <wp:extent cx="5943600" cy="3677243"/>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healthcare_exp_elderly_lgbtq_with_meps_files/figure-docx/marriage_class_and_income-1.png"/>
                    <pic:cNvPicPr>
                      <a:picLocks noChangeAspect="1" noChangeArrowheads="1"/>
                    </pic:cNvPicPr>
                  </pic:nvPicPr>
                  <pic:blipFill>
                    <a:blip r:embed="rId37"/>
                    <a:stretch>
                      <a:fillRect/>
                    </a:stretch>
                  </pic:blipFill>
                  <pic:spPr bwMode="auto">
                    <a:xfrm>
                      <a:off x="0" y="0"/>
                      <a:ext cx="5943600" cy="3677243"/>
                    </a:xfrm>
                    <a:prstGeom prst="rect">
                      <a:avLst/>
                    </a:prstGeom>
                    <a:noFill/>
                    <a:ln w="9525">
                      <a:noFill/>
                      <a:headEnd/>
                      <a:tailEnd/>
                    </a:ln>
                  </pic:spPr>
                </pic:pic>
              </a:graphicData>
            </a:graphic>
          </wp:inline>
        </w:drawing>
      </w:r>
    </w:p>
    <w:p w14:paraId="2672E101" w14:textId="77777777" w:rsidR="00405474" w:rsidRDefault="00000000">
      <w:pPr>
        <w:pStyle w:val="BodyText"/>
      </w:pPr>
      <w:r>
        <w:t>One finding I took away from these visualization exercises that was surprising to me is that marriage by race/ethnicity appears to be proportionally similar between same-gender and different-gender marriages, with the exception of Hispanic and non-Hispanic Asian groups, where there appears to be less adoption of same-sex marriages in the 18-65 age ranges in these race and ethnicity groupings. This could potentially indicate a greater deal of social acceptance of same-sex marriages among non-Hispanic white populations.</w:t>
      </w:r>
    </w:p>
    <w:p w14:paraId="202E99D7" w14:textId="77777777" w:rsidR="00405474" w:rsidRDefault="00000000">
      <w:pPr>
        <w:pStyle w:val="BodyText"/>
      </w:pPr>
      <w:r>
        <w:lastRenderedPageBreak/>
        <w:t>This is an important point of discussion as it illustrates the need for researchers and policymakers to better understand the idea of intersectionality within the many subpopulations within LGBTQ+ groups. As marriage tends to confer financial security and stabilization benefits, to both participants in the couple, then it follows that LGBTQ+ individuals who are white are more likely to access these benefits than their non-white LGBTQ+ counterparts, which can contribute to additional disparities along racial lines which are fully contained within the LGBTQ+ population.</w:t>
      </w:r>
    </w:p>
    <w:p w14:paraId="36D0829B" w14:textId="77777777" w:rsidR="00405474" w:rsidRDefault="00000000">
      <w:pPr>
        <w:pStyle w:val="Heading1"/>
      </w:pPr>
      <w:bookmarkStart w:id="10" w:name="X6549b85786c42564f784604b5a07ca3e9d6f9fa"/>
      <w:bookmarkEnd w:id="3"/>
      <w:bookmarkEnd w:id="9"/>
      <w:r>
        <w:t>Visualizing Differences in Healthcare Experiences for LGBTQ+ Subpopulations</w:t>
      </w:r>
    </w:p>
    <w:p w14:paraId="782F424E" w14:textId="77777777" w:rsidR="00405474" w:rsidRDefault="00000000">
      <w:pPr>
        <w:pStyle w:val="FirstParagraph"/>
      </w:pPr>
      <w:r>
        <w:t>It is also the case that LGBTQ+ individuals can possess unique healthcare needs or face different barriers to access to healthcare, both of which can move the needle on the cost of healthcare – particularly in retirement, in which individuals are more likely to face one or more costly chronic conditions such as heart disease, diabetes, or asthma.</w:t>
      </w:r>
    </w:p>
    <w:p w14:paraId="480FADE9" w14:textId="77777777" w:rsidR="00405474" w:rsidRDefault="00000000">
      <w:pPr>
        <w:pStyle w:val="BodyText"/>
      </w:pPr>
      <w:r>
        <w:t>To better determine if there are relationships between these demographic factors and the cost of care – particularly for older age groups, I prepared the following series of visualizations below that examine the average individual expenditures broken out on the same demographic features as the visualizations above.</w:t>
      </w:r>
    </w:p>
    <w:p w14:paraId="1C8F9BFD" w14:textId="77777777" w:rsidR="00405474" w:rsidRDefault="00000000">
      <w:pPr>
        <w:pStyle w:val="Heading2"/>
      </w:pPr>
      <w:bookmarkStart w:id="11" w:name="X08ee03198b2cacbc6cda60dbd477ab4ed96fd91"/>
      <w:r>
        <w:t>Emergency Room Utilization and Average Inpatient Length of Stay</w:t>
      </w:r>
    </w:p>
    <w:p w14:paraId="4C5FF24E" w14:textId="77777777" w:rsidR="00405474" w:rsidRDefault="00000000">
      <w:pPr>
        <w:pStyle w:val="FirstParagraph"/>
      </w:pPr>
      <w:r>
        <w:t>lorem ipsum</w:t>
      </w:r>
    </w:p>
    <w:p w14:paraId="17DF796C" w14:textId="77777777" w:rsidR="00405474" w:rsidRDefault="00000000">
      <w:pPr>
        <w:pStyle w:val="BodyText"/>
      </w:pPr>
      <w:r>
        <w:t>Unmarried individuals are displayed to show a known benefit from cohabitation.</w:t>
      </w:r>
    </w:p>
    <w:p w14:paraId="7341EAF7" w14:textId="77777777" w:rsidR="00405474" w:rsidRDefault="00000000">
      <w:pPr>
        <w:pStyle w:val="BodyText"/>
      </w:pPr>
      <w:r>
        <w:t xml:space="preserve">“Impact of marital status on outcomes in hospitalized patients. Evidence from an academic medical center” </w:t>
      </w:r>
      <w:hyperlink r:id="rId38">
        <w:r>
          <w:rPr>
            <w:rStyle w:val="Hyperlink"/>
          </w:rPr>
          <w:t>https://pubmed.ncbi.nlm.nih.gov/7503606/</w:t>
        </w:r>
      </w:hyperlink>
      <w:r>
        <w:t xml:space="preserve"> “In additional analyses, multivariable models estimated that hospital charges and length of stay were 5% and 8% higher (P &lt; .001), respectively, for unmarried than for married patients.”</w:t>
      </w:r>
    </w:p>
    <w:p w14:paraId="42DFF18D" w14:textId="77777777" w:rsidR="00405474" w:rsidRDefault="00000000">
      <w:pPr>
        <w:pStyle w:val="BodyText"/>
      </w:pPr>
      <w:r>
        <w:t xml:space="preserve">“Marriage Status Predicts Hospital Outcomes Following Orthopedic Trauma” </w:t>
      </w:r>
      <w:hyperlink r:id="rId39">
        <w:r>
          <w:rPr>
            <w:rStyle w:val="Hyperlink"/>
          </w:rPr>
          <w:t>https://doi.org/10.1177/2151459319898648</w:t>
        </w:r>
      </w:hyperlink>
    </w:p>
    <w:p w14:paraId="244296C0" w14:textId="77777777" w:rsidR="00405474" w:rsidRDefault="00000000">
      <w:pPr>
        <w:pStyle w:val="BodyText"/>
      </w:pPr>
      <w:r>
        <w:t xml:space="preserve">Validation Against: </w:t>
      </w:r>
      <w:hyperlink r:id="rId40">
        <w:r>
          <w:rPr>
            <w:rStyle w:val="Hyperlink"/>
          </w:rPr>
          <w:t>https://www.kff.org/other/state-indicator/emergency-room-visits-by-ownership/</w:t>
        </w:r>
      </w:hyperlink>
    </w:p>
    <w:tbl>
      <w:tblPr>
        <w:tblW w:w="0" w:type="pct"/>
        <w:jc w:val="center"/>
        <w:tblLook w:val="0420" w:firstRow="1" w:lastRow="0" w:firstColumn="0" w:lastColumn="0" w:noHBand="0" w:noVBand="1"/>
      </w:tblPr>
      <w:tblGrid>
        <w:gridCol w:w="2399"/>
        <w:gridCol w:w="727"/>
        <w:gridCol w:w="1459"/>
        <w:gridCol w:w="939"/>
        <w:gridCol w:w="1145"/>
        <w:gridCol w:w="1140"/>
        <w:gridCol w:w="1567"/>
      </w:tblGrid>
      <w:tr w:rsidR="00405474" w14:paraId="2E5E4402"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9E062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'Average Annual Emergency Room Admissions Per 1,000 By Same-Gender Marriage Status and Age Group'</w:t>
            </w:r>
          </w:p>
        </w:tc>
      </w:tr>
      <w:tr w:rsidR="00405474" w14:paraId="56911B66"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63CBA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88B81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0AE58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Annual ER Admits Per 1,000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154FF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A9158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AC172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0088E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288C04B5"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D5003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75B72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008BC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FFB3C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A19D3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142.66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18DD0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156.13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E37F0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2.30% </w:t>
            </w:r>
          </w:p>
        </w:tc>
      </w:tr>
      <w:tr w:rsidR="00405474" w14:paraId="6789DA4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9D683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B33B3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F3091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257.23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B090F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B65D3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241.05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23398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273.40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6310D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3.21% </w:t>
            </w:r>
          </w:p>
        </w:tc>
      </w:tr>
      <w:tr w:rsidR="00405474" w14:paraId="08847E3F"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889FC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666D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71C0A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F853A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AD319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72.85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54292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172.90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BA7E1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20.77% </w:t>
            </w:r>
          </w:p>
        </w:tc>
      </w:tr>
      <w:tr w:rsidR="00405474" w14:paraId="20DE7F9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EBEDB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0C1DA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D9D5F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130.22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F2908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50.83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9FEB3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30.60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0FFBE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229.84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3F424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39.03% *</w:t>
            </w:r>
          </w:p>
        </w:tc>
      </w:tr>
      <w:tr w:rsidR="00405474" w14:paraId="27EF869E"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D105D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D8ED7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1B574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224.42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EF553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A521C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216.00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0EBB3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232.85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3135F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1.92% </w:t>
            </w:r>
          </w:p>
        </w:tc>
      </w:tr>
      <w:tr w:rsidR="00405474" w14:paraId="74B1A01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0C1EF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0D7D3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8A893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428.11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BFE19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11.10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3D73E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406.35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946B4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449.88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E3DD6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2.59% </w:t>
            </w:r>
          </w:p>
        </w:tc>
      </w:tr>
      <w:tr w:rsidR="00405474" w14:paraId="285BA28B"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D5887B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5E777C45" w14:textId="77777777" w:rsidR="00405474" w:rsidRDefault="00000000">
      <w:pPr>
        <w:pStyle w:val="BodyText"/>
      </w:pPr>
      <w:r>
        <w:rPr>
          <w:noProof/>
        </w:rPr>
        <w:lastRenderedPageBreak/>
        <w:drawing>
          <wp:inline distT="0" distB="0" distL="0" distR="0" wp14:anchorId="11A60E3F" wp14:editId="2A7D3378">
            <wp:extent cx="5943600" cy="3677243"/>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healthcare_exp_elderly_lgbtq_with_meps_files/figure-docx/er_util_marriage_class-1.png"/>
                    <pic:cNvPicPr>
                      <a:picLocks noChangeAspect="1" noChangeArrowheads="1"/>
                    </pic:cNvPicPr>
                  </pic:nvPicPr>
                  <pic:blipFill>
                    <a:blip r:embed="rId41"/>
                    <a:stretch>
                      <a:fillRect/>
                    </a:stretch>
                  </pic:blipFill>
                  <pic:spPr bwMode="auto">
                    <a:xfrm>
                      <a:off x="0" y="0"/>
                      <a:ext cx="5943600" cy="3677243"/>
                    </a:xfrm>
                    <a:prstGeom prst="rect">
                      <a:avLst/>
                    </a:prstGeom>
                    <a:noFill/>
                    <a:ln w="9525">
                      <a:noFill/>
                      <a:headEnd/>
                      <a:tailEnd/>
                    </a:ln>
                  </pic:spPr>
                </pic:pic>
              </a:graphicData>
            </a:graphic>
          </wp:inline>
        </w:drawing>
      </w:r>
    </w:p>
    <w:p w14:paraId="28E751BD" w14:textId="77777777" w:rsidR="00405474" w:rsidRDefault="00000000">
      <w:pPr>
        <w:pStyle w:val="BodyText"/>
      </w:pPr>
      <w:r>
        <w:t xml:space="preserve">lorem ipsum </w:t>
      </w:r>
      <w:hyperlink r:id="rId42">
        <w:r>
          <w:rPr>
            <w:rStyle w:val="Hyperlink"/>
          </w:rPr>
          <w:t>https://www.kff.org/other/state-indicator/inpatient-days-by-ownership/?currentTimeframe=0&amp;sortModel=%7B%22colId%22:%22Location%22,%22sort%22:%22asc%22%7D</w:t>
        </w:r>
      </w:hyperlink>
    </w:p>
    <w:p w14:paraId="4D377E00" w14:textId="77777777" w:rsidR="00405474" w:rsidRDefault="00000000">
      <w:pPr>
        <w:pStyle w:val="BodyText"/>
      </w:pPr>
      <w:r>
        <w:t>Reported on HCA earnings call - an important financial metric!</w:t>
      </w:r>
    </w:p>
    <w:tbl>
      <w:tblPr>
        <w:tblW w:w="0" w:type="pct"/>
        <w:jc w:val="center"/>
        <w:tblLook w:val="0420" w:firstRow="1" w:lastRow="0" w:firstColumn="0" w:lastColumn="0" w:noHBand="0" w:noVBand="1"/>
      </w:tblPr>
      <w:tblGrid>
        <w:gridCol w:w="2318"/>
        <w:gridCol w:w="715"/>
        <w:gridCol w:w="1613"/>
        <w:gridCol w:w="926"/>
        <w:gridCol w:w="1145"/>
        <w:gridCol w:w="1141"/>
        <w:gridCol w:w="1518"/>
      </w:tblGrid>
      <w:tr w:rsidR="00405474" w14:paraId="725DC47F"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E9A4A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'Average Annual Hospital Inpatient Length of Stay, Per 1,000 Population By Same-Gender Marriage Status and Age Group'</w:t>
            </w:r>
          </w:p>
        </w:tc>
      </w:tr>
      <w:tr w:rsidR="00405474" w14:paraId="3BA0C71C"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4840B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E65FD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F805B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Annual Inpatient-Days Per 1,000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FFF6F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B1AE5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79B57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3468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04C61674"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03463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A9FCB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516DB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248.23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EB195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36FA7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227.14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3275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D28F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4.335% </w:t>
            </w:r>
          </w:p>
        </w:tc>
      </w:tr>
      <w:tr w:rsidR="00405474" w14:paraId="5EB4C04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580CE0"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F2B1B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985FC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896.09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9EDB7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552D7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786.58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BEA0B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1,005.60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27C4C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6.235% </w:t>
            </w:r>
          </w:p>
        </w:tc>
      </w:tr>
      <w:tr w:rsidR="00405474" w14:paraId="20C7539F"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41A0F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C9D60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25061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240.44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676CA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99.31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BF593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45.80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CF8A0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435.08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EDD9B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41.303% *</w:t>
            </w:r>
          </w:p>
        </w:tc>
      </w:tr>
      <w:tr w:rsidR="00405474" w14:paraId="47AE885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DFCF6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25928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73A15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692.04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0114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383.39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80C9F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D0D70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1,443.47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D620A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55.400% †</w:t>
            </w:r>
          </w:p>
        </w:tc>
      </w:tr>
      <w:tr w:rsidR="00405474" w14:paraId="512D43C6"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B1793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84771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D8AE9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403.22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AE30B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8FCB3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360.36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74356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446.08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30A4C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5.423% </w:t>
            </w:r>
          </w:p>
        </w:tc>
      </w:tr>
      <w:tr w:rsidR="00405474" w14:paraId="65E082B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8DDD9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7AE1D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35E15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1,737.33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12E5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76.18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020F9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1,588.01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1CE35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1,886.65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4AE92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4.385% </w:t>
            </w:r>
          </w:p>
        </w:tc>
      </w:tr>
      <w:tr w:rsidR="00405474" w14:paraId="3620E219"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103B41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268EA9C8" w14:textId="77777777" w:rsidR="00405474" w:rsidRDefault="00000000" w:rsidP="008519F6">
      <w:pPr>
        <w:pStyle w:val="BodyText"/>
        <w:jc w:val="center"/>
      </w:pPr>
      <w:r>
        <w:rPr>
          <w:noProof/>
        </w:rPr>
        <w:lastRenderedPageBreak/>
        <w:drawing>
          <wp:inline distT="0" distB="0" distL="0" distR="0" wp14:anchorId="202C5F5B" wp14:editId="6AE03EC9">
            <wp:extent cx="5495636" cy="3158836"/>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healthcare_exp_elderly_lgbtq_with_meps_files/figure-docx/inpatient_los_marriage_class-1.png"/>
                    <pic:cNvPicPr>
                      <a:picLocks noChangeAspect="1" noChangeArrowheads="1"/>
                    </pic:cNvPicPr>
                  </pic:nvPicPr>
                  <pic:blipFill>
                    <a:blip r:embed="rId43"/>
                    <a:stretch>
                      <a:fillRect/>
                    </a:stretch>
                  </pic:blipFill>
                  <pic:spPr bwMode="auto">
                    <a:xfrm>
                      <a:off x="0" y="0"/>
                      <a:ext cx="5501484" cy="3162197"/>
                    </a:xfrm>
                    <a:prstGeom prst="rect">
                      <a:avLst/>
                    </a:prstGeom>
                    <a:noFill/>
                    <a:ln w="9525">
                      <a:noFill/>
                      <a:headEnd/>
                      <a:tailEnd/>
                    </a:ln>
                  </pic:spPr>
                </pic:pic>
              </a:graphicData>
            </a:graphic>
          </wp:inline>
        </w:drawing>
      </w:r>
    </w:p>
    <w:p w14:paraId="4A14292F" w14:textId="77777777" w:rsidR="00405474" w:rsidRDefault="00000000">
      <w:pPr>
        <w:pStyle w:val="Heading2"/>
      </w:pPr>
      <w:bookmarkStart w:id="12" w:name="Xe3346b912ee434414aa72ce55c1813c1d6283f7"/>
      <w:bookmarkEnd w:id="11"/>
      <w:r>
        <w:t>Drug Costs are a Large Part of Healthcare Costs for Seniors</w:t>
      </w:r>
    </w:p>
    <w:p w14:paraId="027CCD84" w14:textId="77777777" w:rsidR="00405474" w:rsidRDefault="00000000">
      <w:pPr>
        <w:pStyle w:val="FirstParagraph"/>
      </w:pPr>
      <w:r>
        <w:t xml:space="preserve">In the 2022 Inflation Reduction Act signed into law by President Biden, </w:t>
      </w:r>
      <w:hyperlink r:id="rId44">
        <w:r>
          <w:rPr>
            <w:rStyle w:val="Hyperlink"/>
          </w:rPr>
          <w:t>several reforms to the Medicare Part D program</w:t>
        </w:r>
      </w:hyperlink>
      <w:r>
        <w:t xml:space="preserve"> are set to be implemented in the coming years. While the overall bill was passed on a party-line vote, the legislated Part D reforms reflect a genuinely bipartisan perception of political urgency around reducing the cost burden of access to low-cost and lifesaving pharmaceutical therapies for seniors, many of whom are living with one or more chronic and behavioral health conditions.</w:t>
      </w:r>
    </w:p>
    <w:p w14:paraId="08E4E17A" w14:textId="77777777" w:rsidR="00405474" w:rsidRDefault="00000000">
      <w:pPr>
        <w:pStyle w:val="BodyText"/>
      </w:pPr>
      <w:r>
        <w:t>A substantial portion of the total medical expenditures incurred by individuals in retirement are attributable to pharmacy spend, as we are able to see in the visualizations of total healthcare spend above, which include breakout estimates of total individual healthcare spend as well as RX spend alone. Across most socioeconomic strata, racial/ethnicity boundaries, and other demographic classifiers, individuals age 65 and up appear to spend more money on pharmaceutical therapies than their younger counterparts who are in their working years of adulthood.</w:t>
      </w:r>
    </w:p>
    <w:tbl>
      <w:tblPr>
        <w:tblW w:w="0" w:type="auto"/>
        <w:jc w:val="center"/>
        <w:tblLook w:val="0420" w:firstRow="1" w:lastRow="0" w:firstColumn="0" w:lastColumn="0" w:noHBand="0" w:noVBand="1"/>
      </w:tblPr>
      <w:tblGrid>
        <w:gridCol w:w="1959"/>
        <w:gridCol w:w="664"/>
        <w:gridCol w:w="950"/>
        <w:gridCol w:w="1460"/>
        <w:gridCol w:w="873"/>
        <w:gridCol w:w="1087"/>
        <w:gridCol w:w="1084"/>
        <w:gridCol w:w="1299"/>
      </w:tblGrid>
      <w:tr w:rsidR="00405474" w14:paraId="62891DE5" w14:textId="77777777" w:rsidTr="008519F6">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AAB25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'Average Annual Healthcare Expenditure By Same-Gender Marriage Status and Age Group'</w:t>
            </w:r>
          </w:p>
        </w:tc>
      </w:tr>
      <w:tr w:rsidR="00405474" w14:paraId="1BEABA46" w14:textId="77777777" w:rsidTr="008519F6">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4CCAB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0A616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47240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Expense Type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3DED3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Estimated Total Annual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C16A0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0DB11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4E8BD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5715C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36EFAA79" w14:textId="77777777" w:rsidTr="008519F6">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F8E08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C97CD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C83FD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460A3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$5,229.68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0314D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$106.10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4401D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$5,021.72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070D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$5,437.64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AD930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2.03% </w:t>
            </w:r>
          </w:p>
        </w:tc>
      </w:tr>
      <w:tr w:rsidR="00405474" w14:paraId="3F7266B5" w14:textId="77777777" w:rsidTr="008519F6">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6BBFE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AD892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73C2F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0C165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$1,263.28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C1C47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9A362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$1,154.45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1BA5B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$1,372.10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B0748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4.40% </w:t>
            </w:r>
          </w:p>
        </w:tc>
      </w:tr>
      <w:tr w:rsidR="00405474" w14:paraId="02D45C06" w14:textId="77777777" w:rsidTr="008519F6">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DB128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62D10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F91F4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30DF2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$10,562.94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EE7DD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$232.60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5D84C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$10,107.05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BCB09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$11,018.84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CEB3C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2.20% </w:t>
            </w:r>
          </w:p>
        </w:tc>
      </w:tr>
      <w:tr w:rsidR="00405474" w14:paraId="32F3C346" w14:textId="77777777" w:rsidTr="008519F6">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DB0D86"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A2A221"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328B4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16F57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$2,623.17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D3D7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$91.57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ED30F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$2,443.70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7C2C2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$2,802.65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B6A56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3.49% </w:t>
            </w:r>
          </w:p>
        </w:tc>
      </w:tr>
      <w:tr w:rsidR="00405474" w14:paraId="0D79F42D" w14:textId="77777777" w:rsidTr="008519F6">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97150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0E2A5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7A6CE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B0769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$7,119.59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C354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$841.99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94638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$5,469.32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BC68A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$8,769.86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0874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11.83% </w:t>
            </w:r>
          </w:p>
        </w:tc>
      </w:tr>
      <w:tr w:rsidR="00405474" w14:paraId="63397D47" w14:textId="77777777" w:rsidTr="008519F6">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991A8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9C292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E485A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E83D7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$2,760.82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8C053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$498.75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B0947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$1,783.29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3BE3A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$3,738.34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9982B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18.07% </w:t>
            </w:r>
          </w:p>
        </w:tc>
      </w:tr>
      <w:tr w:rsidR="00405474" w14:paraId="2AE11780" w14:textId="77777777" w:rsidTr="008519F6">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87E6E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B3260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C5E3A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BA8D9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$12,099.68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D6246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$2,295.59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407C9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$7,600.40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F92EB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$16,598.96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80CA6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18.97% </w:t>
            </w:r>
          </w:p>
        </w:tc>
      </w:tr>
      <w:tr w:rsidR="00405474" w14:paraId="62310A64" w14:textId="77777777" w:rsidTr="008519F6">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4F53A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4A0D4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ED540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BDA9E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$2,050.64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2C959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$527.07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74311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$1,017.60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8C8B7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$3,083.68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CEFF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25.70% </w:t>
            </w:r>
          </w:p>
        </w:tc>
      </w:tr>
      <w:tr w:rsidR="00405474" w14:paraId="5DF4306C" w14:textId="77777777" w:rsidTr="008519F6">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E689A4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7BF27EC4" w14:textId="77777777" w:rsidR="00405474" w:rsidRDefault="00000000">
      <w:pPr>
        <w:pStyle w:val="BodyText"/>
      </w:pPr>
      <w:r>
        <w:rPr>
          <w:noProof/>
        </w:rPr>
        <w:lastRenderedPageBreak/>
        <w:drawing>
          <wp:inline distT="0" distB="0" distL="0" distR="0" wp14:anchorId="477234C3" wp14:editId="035EF9AE">
            <wp:extent cx="5943600" cy="3677243"/>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healthcare_exp_elderly_lgbtq_with_meps_files/figure-docx/exp_marriage_class-1.png"/>
                    <pic:cNvPicPr>
                      <a:picLocks noChangeAspect="1" noChangeArrowheads="1"/>
                    </pic:cNvPicPr>
                  </pic:nvPicPr>
                  <pic:blipFill>
                    <a:blip r:embed="rId45"/>
                    <a:stretch>
                      <a:fillRect/>
                    </a:stretch>
                  </pic:blipFill>
                  <pic:spPr bwMode="auto">
                    <a:xfrm>
                      <a:off x="0" y="0"/>
                      <a:ext cx="5943600" cy="3677243"/>
                    </a:xfrm>
                    <a:prstGeom prst="rect">
                      <a:avLst/>
                    </a:prstGeom>
                    <a:noFill/>
                    <a:ln w="9525">
                      <a:noFill/>
                      <a:headEnd/>
                      <a:tailEnd/>
                    </a:ln>
                  </pic:spPr>
                </pic:pic>
              </a:graphicData>
            </a:graphic>
          </wp:inline>
        </w:drawing>
      </w:r>
    </w:p>
    <w:p w14:paraId="20F615BF" w14:textId="77777777" w:rsidR="00405474" w:rsidRDefault="00000000">
      <w:pPr>
        <w:pStyle w:val="BodyText"/>
      </w:pPr>
      <w:r>
        <w:t>lorem ipsum drug utilization</w:t>
      </w:r>
    </w:p>
    <w:tbl>
      <w:tblPr>
        <w:tblW w:w="0" w:type="pct"/>
        <w:jc w:val="center"/>
        <w:tblLook w:val="0420" w:firstRow="1" w:lastRow="0" w:firstColumn="0" w:lastColumn="0" w:noHBand="0" w:noVBand="1"/>
      </w:tblPr>
      <w:tblGrid>
        <w:gridCol w:w="2576"/>
        <w:gridCol w:w="752"/>
        <w:gridCol w:w="968"/>
        <w:gridCol w:w="969"/>
        <w:gridCol w:w="1220"/>
        <w:gridCol w:w="1215"/>
        <w:gridCol w:w="1676"/>
      </w:tblGrid>
      <w:tr w:rsidR="00405474" w14:paraId="59D7001F"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AD13A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'Average Annual Count of Prescriptions Filled or Refilled, Per Individual By Same-Gender Marriage Status and Age Group'</w:t>
            </w:r>
          </w:p>
        </w:tc>
      </w:tr>
      <w:tr w:rsidR="00405474" w14:paraId="623EE990"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2C90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9E7CE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2A059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Annual RX Fills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24D4E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09AA7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DD88A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D1087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01A94628"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9330D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C4DDA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772E3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3423A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48C8A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46D30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1BD43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1.87% </w:t>
            </w:r>
          </w:p>
        </w:tc>
      </w:tr>
      <w:tr w:rsidR="00405474" w14:paraId="4D059BF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F52FE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3B22F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B9E4B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88A2D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DBE1D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73660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1EA0A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1.73% </w:t>
            </w:r>
          </w:p>
        </w:tc>
      </w:tr>
      <w:tr w:rsidR="00405474" w14:paraId="6BDA6466"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3CBA7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C9D3A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CA5E1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11.82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88E58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D992C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E1B5D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14.70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0AAEA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12.47% </w:t>
            </w:r>
          </w:p>
        </w:tc>
      </w:tr>
      <w:tr w:rsidR="00405474" w14:paraId="50137AA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4A9E4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A7FC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9E6A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16.77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56AA9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DC56F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11.94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00835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BA888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14.71% </w:t>
            </w:r>
          </w:p>
        </w:tc>
      </w:tr>
      <w:tr w:rsidR="00405474" w14:paraId="6A60B33D"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56396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E6111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2AA14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7A1FA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1CEAA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62460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9.54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2674E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1.69% </w:t>
            </w:r>
          </w:p>
        </w:tc>
      </w:tr>
      <w:tr w:rsidR="00405474" w14:paraId="68A5504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C910D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97CE3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CFD49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1BD4A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B9500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3EE13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531DA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1.68% </w:t>
            </w:r>
          </w:p>
        </w:tc>
      </w:tr>
      <w:tr w:rsidR="00405474" w14:paraId="35E5F8CB"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904BD7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528646CE" w14:textId="77777777" w:rsidR="00405474" w:rsidRDefault="00000000">
      <w:pPr>
        <w:pStyle w:val="BodyText"/>
      </w:pPr>
      <w:r>
        <w:rPr>
          <w:noProof/>
        </w:rPr>
        <w:lastRenderedPageBreak/>
        <w:drawing>
          <wp:inline distT="0" distB="0" distL="0" distR="0" wp14:anchorId="6D9D3DB5" wp14:editId="44553D1E">
            <wp:extent cx="5943600" cy="3677243"/>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healthcare_exp_elderly_lgbtq_with_meps_files/figure-docx/rx_util_marriage_class-1.png"/>
                    <pic:cNvPicPr>
                      <a:picLocks noChangeAspect="1" noChangeArrowheads="1"/>
                    </pic:cNvPicPr>
                  </pic:nvPicPr>
                  <pic:blipFill>
                    <a:blip r:embed="rId46"/>
                    <a:stretch>
                      <a:fillRect/>
                    </a:stretch>
                  </pic:blipFill>
                  <pic:spPr bwMode="auto">
                    <a:xfrm>
                      <a:off x="0" y="0"/>
                      <a:ext cx="5943600" cy="3677243"/>
                    </a:xfrm>
                    <a:prstGeom prst="rect">
                      <a:avLst/>
                    </a:prstGeom>
                    <a:noFill/>
                    <a:ln w="9525">
                      <a:noFill/>
                      <a:headEnd/>
                      <a:tailEnd/>
                    </a:ln>
                  </pic:spPr>
                </pic:pic>
              </a:graphicData>
            </a:graphic>
          </wp:inline>
        </w:drawing>
      </w:r>
    </w:p>
    <w:p w14:paraId="04573C7C" w14:textId="77777777" w:rsidR="00405474" w:rsidRDefault="00000000">
      <w:pPr>
        <w:pStyle w:val="BodyText"/>
      </w:pPr>
      <w:r>
        <w:t xml:space="preserve">validated against: </w:t>
      </w:r>
      <w:hyperlink r:id="rId47">
        <w:r>
          <w:rPr>
            <w:rStyle w:val="Hyperlink"/>
          </w:rPr>
          <w:t>https://www.kff.org/health-costs/state-indicator/retail-rx-drugs-per-capita/</w:t>
        </w:r>
      </w:hyperlink>
    </w:p>
    <w:p w14:paraId="21B806E3" w14:textId="77777777" w:rsidR="00405474" w:rsidRDefault="00000000">
      <w:pPr>
        <w:pStyle w:val="Heading2"/>
      </w:pPr>
      <w:bookmarkStart w:id="13" w:name="prevalence-of-chronic-conditions"/>
      <w:bookmarkEnd w:id="12"/>
      <w:r>
        <w:t>Prevalence of Chronic Conditions</w:t>
      </w:r>
    </w:p>
    <w:p w14:paraId="2BED01E4" w14:textId="77777777" w:rsidR="00405474" w:rsidRDefault="00000000">
      <w:pPr>
        <w:pStyle w:val="FirstParagraph"/>
      </w:pPr>
      <w:r>
        <w:t xml:space="preserve">Senior citizens often make use of low-cost generic medications to manage their chronic health conditions such as diabetes, hyperlipidemia (high cholesterol), or hypertension (high blood pressure). Some examples of very common drugs include non-insulin blood glucose reducing agents like </w:t>
      </w:r>
      <w:hyperlink r:id="rId48">
        <w:r>
          <w:rPr>
            <w:rStyle w:val="Hyperlink"/>
          </w:rPr>
          <w:t>metformin</w:t>
        </w:r>
      </w:hyperlink>
      <w:r>
        <w:t xml:space="preserve"> used for treating Type 2 Diabetes, statins like </w:t>
      </w:r>
      <w:hyperlink r:id="rId49">
        <w:r>
          <w:rPr>
            <w:rStyle w:val="Hyperlink"/>
          </w:rPr>
          <w:t>atorvastatin</w:t>
        </w:r>
      </w:hyperlink>
      <w:r>
        <w:t xml:space="preserve"> (brand name “Lipitor”) used for treating high cholesterol, or ACE inhibitors like </w:t>
      </w:r>
      <w:hyperlink r:id="rId50">
        <w:r>
          <w:rPr>
            <w:rStyle w:val="Hyperlink"/>
          </w:rPr>
          <w:t>lisinopril</w:t>
        </w:r>
      </w:hyperlink>
      <w:r>
        <w:t xml:space="preserve"> (brand names “Prinivil” or “Zestril”) to treat hypertension.</w:t>
      </w:r>
    </w:p>
    <w:p w14:paraId="3E6E4FFC" w14:textId="77777777" w:rsidR="00405474" w:rsidRDefault="00000000">
      <w:pPr>
        <w:pStyle w:val="BodyText"/>
      </w:pPr>
      <w:r>
        <w:t>Type 2 diabetes, high cholesterol, and hypertension are three of the leading causes of many other high-cost and potentially avoidable medical complications. Therefore, if senior citizens are able to manage these conditions with regular visits to their primary care providers and by adherence to low-cost drug therapies such as the drugs discussed above, then seniors are less likely to incur potentially avoidable medical costs down the line, which can ultimately help safeguard their their financial security and well-being in retirement.</w:t>
      </w:r>
    </w:p>
    <w:tbl>
      <w:tblPr>
        <w:tblW w:w="0" w:type="pct"/>
        <w:jc w:val="center"/>
        <w:tblLook w:val="0420" w:firstRow="1" w:lastRow="0" w:firstColumn="0" w:lastColumn="0" w:noHBand="0" w:noVBand="1"/>
      </w:tblPr>
      <w:tblGrid>
        <w:gridCol w:w="2060"/>
        <w:gridCol w:w="678"/>
        <w:gridCol w:w="1547"/>
        <w:gridCol w:w="822"/>
        <w:gridCol w:w="882"/>
        <w:gridCol w:w="1016"/>
        <w:gridCol w:w="1012"/>
        <w:gridCol w:w="1359"/>
      </w:tblGrid>
      <w:tr w:rsidR="00405474" w14:paraId="6545DCF0"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FF4D5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Data Table for 'Average Prevalence of Diabetes, Hyperlipidemia, and Hypertension By Same-Gender Marriage Status and Age Group'</w:t>
            </w:r>
          </w:p>
        </w:tc>
      </w:tr>
      <w:tr w:rsidR="00405474" w14:paraId="569D2168"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39CC1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574D3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3A466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Chronic Condition Status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AB5DA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Prevalence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344B5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3A749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986D2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9F200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197A9606"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1783B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24399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C29F0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5C112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0B13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EAC76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F0035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BD33D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2.501% </w:t>
            </w:r>
          </w:p>
        </w:tc>
      </w:tr>
      <w:tr w:rsidR="00405474" w14:paraId="1D348C4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DA32A2"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D52B2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E5106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B3BAE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1513B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A151D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CE0F4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2C228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1.408% </w:t>
            </w:r>
          </w:p>
        </w:tc>
      </w:tr>
      <w:tr w:rsidR="00405474" w14:paraId="55E24B6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F72CDC"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80A0F4"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AB90D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E0B75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E73F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6EA93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5F5C7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27.88%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6BB3E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1.282% </w:t>
            </w:r>
          </w:p>
        </w:tc>
      </w:tr>
      <w:tr w:rsidR="00405474" w14:paraId="4D626E7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72E8F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5FF09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9DDF2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8665D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FC883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03AEC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54021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E146B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2.678% </w:t>
            </w:r>
          </w:p>
        </w:tc>
      </w:tr>
      <w:tr w:rsidR="00405474" w14:paraId="4BD37D0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3577F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49292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BCD43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266FB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62.97%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99883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0A942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61.58%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E323B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64.36%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DD109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1.125% </w:t>
            </w:r>
          </w:p>
        </w:tc>
      </w:tr>
      <w:tr w:rsidR="00405474" w14:paraId="0B35B52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6F4FA8"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4F8DAA"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FA7DF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C0147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61.54%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DE3D5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E36B0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60.03%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8E99A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63.06%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A983E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1.256% </w:t>
            </w:r>
          </w:p>
        </w:tc>
      </w:tr>
      <w:tr w:rsidR="00405474" w14:paraId="141F5AFB"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7314D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in Same-</w:t>
            </w:r>
            <w:r>
              <w:rPr>
                <w:rFonts w:ascii="Arial" w:eastAsia="Arial" w:hAnsi="Arial" w:cs="Arial"/>
                <w:color w:val="333333"/>
                <w:sz w:val="13"/>
                <w:szCs w:val="13"/>
              </w:rPr>
              <w:lastRenderedPageBreak/>
              <w:t>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F2A7F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lastRenderedPageBreak/>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2262E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Diagnosed with </w:t>
            </w:r>
            <w:r>
              <w:rPr>
                <w:rFonts w:ascii="Arial" w:eastAsia="Arial" w:hAnsi="Arial" w:cs="Arial"/>
                <w:color w:val="333333"/>
                <w:sz w:val="13"/>
                <w:szCs w:val="13"/>
              </w:rPr>
              <w:lastRenderedPageBreak/>
              <w:t>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383BC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lastRenderedPageBreak/>
              <w:t>7.11%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59828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F0609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B7211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7DD9F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22.984% </w:t>
            </w:r>
          </w:p>
        </w:tc>
      </w:tr>
      <w:tr w:rsidR="00405474" w14:paraId="3DF90CD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F213E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F2015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298B6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D65F8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1BF8B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2063A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19.22%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9D120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31.80%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CA891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12.585% </w:t>
            </w:r>
          </w:p>
        </w:tc>
      </w:tr>
      <w:tr w:rsidR="00405474" w14:paraId="71A6991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6D9E3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5C9515"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CFF0F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5BFF4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5C646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84FD6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F9B8B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307FE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11.267% </w:t>
            </w:r>
          </w:p>
        </w:tc>
      </w:tr>
      <w:tr w:rsidR="00405474" w14:paraId="300DEB6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4B72E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83CB4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1A47F2"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46F0F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10.21%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98379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98496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4405A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9A85D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53.895% †</w:t>
            </w:r>
          </w:p>
        </w:tc>
      </w:tr>
      <w:tr w:rsidR="00405474" w14:paraId="051CE28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0C2416"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D121C7"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09BB9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6D6F3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49.92%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5033A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8.54%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DB2B3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15E61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66.66%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29368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17.113% </w:t>
            </w:r>
          </w:p>
        </w:tc>
      </w:tr>
      <w:tr w:rsidR="00405474" w14:paraId="704E96E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2A616E"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E88863"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C5061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88AA0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54.01%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EFB56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7.75%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0FB2C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38.82%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4A14C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69.21%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0C98CC"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14.354% </w:t>
            </w:r>
          </w:p>
        </w:tc>
      </w:tr>
      <w:tr w:rsidR="00405474" w14:paraId="300EB4B1"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00497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3F36C411" w14:textId="77777777" w:rsidR="00405474" w:rsidRDefault="00000000">
      <w:pPr>
        <w:pStyle w:val="BodyText"/>
      </w:pPr>
      <w:r>
        <w:rPr>
          <w:noProof/>
        </w:rPr>
        <w:drawing>
          <wp:inline distT="0" distB="0" distL="0" distR="0" wp14:anchorId="15168530" wp14:editId="1C003B63">
            <wp:extent cx="5943600" cy="3677243"/>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healthcare_exp_elderly_lgbtq_with_meps_files/figure-docx/chronic_cond_marriage_class-1.png"/>
                    <pic:cNvPicPr>
                      <a:picLocks noChangeAspect="1" noChangeArrowheads="1"/>
                    </pic:cNvPicPr>
                  </pic:nvPicPr>
                  <pic:blipFill>
                    <a:blip r:embed="rId51"/>
                    <a:stretch>
                      <a:fillRect/>
                    </a:stretch>
                  </pic:blipFill>
                  <pic:spPr bwMode="auto">
                    <a:xfrm>
                      <a:off x="0" y="0"/>
                      <a:ext cx="5943600" cy="3677243"/>
                    </a:xfrm>
                    <a:prstGeom prst="rect">
                      <a:avLst/>
                    </a:prstGeom>
                    <a:noFill/>
                    <a:ln w="9525">
                      <a:noFill/>
                      <a:headEnd/>
                      <a:tailEnd/>
                    </a:ln>
                  </pic:spPr>
                </pic:pic>
              </a:graphicData>
            </a:graphic>
          </wp:inline>
        </w:drawing>
      </w:r>
    </w:p>
    <w:p w14:paraId="330C8AE1" w14:textId="77777777" w:rsidR="00405474" w:rsidRDefault="00000000">
      <w:pPr>
        <w:pStyle w:val="Heading2"/>
      </w:pPr>
      <w:bookmarkStart w:id="14" w:name="Xe7d78186682dc9d87788aa70a2a92b8558dbc19"/>
      <w:bookmarkEnd w:id="13"/>
      <w:r>
        <w:t>Family Size Can Impact Healthcare Outcomes for Seniors</w:t>
      </w:r>
    </w:p>
    <w:p w14:paraId="0338B741" w14:textId="77777777" w:rsidR="00405474" w:rsidRDefault="00000000">
      <w:pPr>
        <w:pStyle w:val="FirstParagraph"/>
      </w:pPr>
      <w:r>
        <w:t>One feature that can drive the total cost of care at the individual level is family size. Larger families within the same dwelling unit can help take care of one another when sick, coordinate transportation to and from sites where healthcare is provided, manage childcare duties so that adults are able to arrange for healthcare services, and so on. Several studies have shown a linkage between medication adherence and family size, particularly among families in low-income socioeconomic strata.</w:t>
      </w:r>
    </w:p>
    <w:p w14:paraId="31DAE01A" w14:textId="77777777" w:rsidR="00405474" w:rsidRDefault="00000000">
      <w:pPr>
        <w:pStyle w:val="BodyText"/>
      </w:pPr>
      <w:r>
        <w:t xml:space="preserve">“Older Adults’ Social Relationships and Health Care Utilization: A Systematic Review” </w:t>
      </w:r>
      <w:hyperlink r:id="rId52">
        <w:r>
          <w:rPr>
            <w:rStyle w:val="Hyperlink"/>
          </w:rPr>
          <w:t>https://pubmed.ncbi.nlm.nih.gov/29470115/</w:t>
        </w:r>
      </w:hyperlink>
    </w:p>
    <w:p w14:paraId="34D414B9" w14:textId="77777777" w:rsidR="00405474" w:rsidRDefault="00000000">
      <w:pPr>
        <w:pStyle w:val="BodyText"/>
      </w:pPr>
      <w:r>
        <w:t>For a number of reasons not discussed further here, the family size of families that include individuals within same-sex marriages is likely to be smaller than that of their counterparts in marriages not regarded as same-sex. As such, it is worth exploring how family size can impact the total individual healthcare spend across age groups.</w:t>
      </w:r>
    </w:p>
    <w:tbl>
      <w:tblPr>
        <w:tblW w:w="0" w:type="pct"/>
        <w:jc w:val="center"/>
        <w:tblLook w:val="0420" w:firstRow="1" w:lastRow="0" w:firstColumn="0" w:lastColumn="0" w:noHBand="0" w:noVBand="1"/>
      </w:tblPr>
      <w:tblGrid>
        <w:gridCol w:w="2643"/>
        <w:gridCol w:w="761"/>
        <w:gridCol w:w="783"/>
        <w:gridCol w:w="981"/>
        <w:gridCol w:w="1248"/>
        <w:gridCol w:w="1243"/>
        <w:gridCol w:w="1717"/>
      </w:tblGrid>
      <w:tr w:rsidR="00405474" w14:paraId="769B27E7"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2BCE6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lastRenderedPageBreak/>
              <w:t>Data Table for 'Average Family Size By Same-Gender Marriage Status and Age Group'</w:t>
            </w:r>
          </w:p>
        </w:tc>
      </w:tr>
      <w:tr w:rsidR="00405474" w14:paraId="74B8D543"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56AFDF"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A5C7A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E9B3C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Family Size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A3A0A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57172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1F65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95B7C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b/>
                <w:color w:val="333333"/>
                <w:sz w:val="13"/>
                <w:szCs w:val="13"/>
              </w:rPr>
              <w:t>Relative Standard Error (RSE)</w:t>
            </w:r>
          </w:p>
        </w:tc>
      </w:tr>
      <w:tr w:rsidR="00405474" w14:paraId="2992E2F2"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DA688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E98A6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6FF055"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63AEF7"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3C1B84"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F84C0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3.44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888CE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0.4675% </w:t>
            </w:r>
          </w:p>
        </w:tc>
      </w:tr>
      <w:tr w:rsidR="00405474" w14:paraId="693513F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193429"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F2BEF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95F5A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FE27A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4390DA"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18BFC1"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8130A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0.6375% </w:t>
            </w:r>
          </w:p>
        </w:tc>
      </w:tr>
      <w:tr w:rsidR="00405474" w14:paraId="41D30CB8"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4CEB7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F2E9B0"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FBBF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E1408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75D44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5CD7E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D43A73"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3.4149% </w:t>
            </w:r>
          </w:p>
        </w:tc>
      </w:tr>
      <w:tr w:rsidR="00405474" w14:paraId="3AEBBD5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9BB87F" w14:textId="77777777" w:rsidR="00405474" w:rsidRDefault="00405474">
            <w:pPr>
              <w:pBdr>
                <w:top w:val="none" w:sz="0" w:space="0" w:color="000000"/>
                <w:left w:val="none" w:sz="0" w:space="0" w:color="000000"/>
                <w:bottom w:val="none" w:sz="0" w:space="0" w:color="000000"/>
                <w:right w:val="none" w:sz="0" w:space="0" w:color="000000"/>
              </w:pBdr>
              <w:spacing w:before="40" w:after="40"/>
              <w:ind w:left="60" w:right="6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01CF2E"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75F8E6"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DA333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0.03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EBD6DD"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1.98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9ECF3B"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2.11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80AFF9"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 xml:space="preserve">1.6555% </w:t>
            </w:r>
          </w:p>
        </w:tc>
      </w:tr>
      <w:tr w:rsidR="00405474" w14:paraId="49A7B370"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CCBE28" w14:textId="77777777" w:rsidR="00405474" w:rsidRDefault="00000000">
            <w:pPr>
              <w:pBdr>
                <w:top w:val="none" w:sz="0" w:space="0" w:color="000000"/>
                <w:left w:val="none" w:sz="0" w:space="0" w:color="000000"/>
                <w:bottom w:val="none" w:sz="0" w:space="0" w:color="000000"/>
                <w:right w:val="none" w:sz="0" w:space="0" w:color="000000"/>
              </w:pBdr>
              <w:spacing w:before="40" w:after="40"/>
              <w:ind w:left="60" w:right="60"/>
            </w:pPr>
            <w:r>
              <w:rPr>
                <w:rFonts w:ascii="Arial" w:eastAsia="Arial" w:hAnsi="Arial" w:cs="Arial"/>
                <w:color w:val="333333"/>
                <w:sz w:val="13"/>
                <w:szCs w:val="13"/>
              </w:rPr>
              <w:t>From MEPS Precision Standards Guidelines:</w:t>
            </w:r>
            <w:r>
              <w:rPr>
                <w:rFonts w:ascii="Arial" w:eastAsia="Arial" w:hAnsi="Arial" w:cs="Arial"/>
                <w:color w:val="333333"/>
                <w:sz w:val="13"/>
                <w:szCs w:val="13"/>
              </w:rPr>
              <w:br/>
              <w:t>* "Estimate can be reported but flagged with an * to indicate that its precision is questionable."</w:t>
            </w:r>
            <w:r>
              <w:rPr>
                <w:rFonts w:ascii="Arial" w:eastAsia="Arial" w:hAnsi="Arial" w:cs="Arial"/>
                <w:color w:val="333333"/>
                <w:sz w:val="13"/>
                <w:szCs w:val="13"/>
              </w:rPr>
              <w:br/>
              <w:t>† "Estimate should not be reported or displayed in tables due to extremely large sampling error." These rows are generally not reflected in accompanying data visualizations.</w:t>
            </w:r>
          </w:p>
        </w:tc>
      </w:tr>
    </w:tbl>
    <w:p w14:paraId="419B9E4A" w14:textId="77777777" w:rsidR="00405474" w:rsidRDefault="00000000">
      <w:pPr>
        <w:pStyle w:val="BodyText"/>
      </w:pPr>
      <w:r>
        <w:rPr>
          <w:noProof/>
        </w:rPr>
        <w:drawing>
          <wp:inline distT="0" distB="0" distL="0" distR="0" wp14:anchorId="4FF2FA3D" wp14:editId="3776D59F">
            <wp:extent cx="5943600" cy="3677243"/>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healthcare_exp_elderly_lgbtq_with_meps_files/figure-docx/exp_vs_famsize-1.png"/>
                    <pic:cNvPicPr>
                      <a:picLocks noChangeAspect="1" noChangeArrowheads="1"/>
                    </pic:cNvPicPr>
                  </pic:nvPicPr>
                  <pic:blipFill>
                    <a:blip r:embed="rId53"/>
                    <a:stretch>
                      <a:fillRect/>
                    </a:stretch>
                  </pic:blipFill>
                  <pic:spPr bwMode="auto">
                    <a:xfrm>
                      <a:off x="0" y="0"/>
                      <a:ext cx="5943600" cy="3677243"/>
                    </a:xfrm>
                    <a:prstGeom prst="rect">
                      <a:avLst/>
                    </a:prstGeom>
                    <a:noFill/>
                    <a:ln w="9525">
                      <a:noFill/>
                      <a:headEnd/>
                      <a:tailEnd/>
                    </a:ln>
                  </pic:spPr>
                </pic:pic>
              </a:graphicData>
            </a:graphic>
          </wp:inline>
        </w:drawing>
      </w:r>
    </w:p>
    <w:p w14:paraId="0A145095" w14:textId="77777777" w:rsidR="00405474" w:rsidRDefault="00000000">
      <w:pPr>
        <w:pStyle w:val="Heading1"/>
      </w:pPr>
      <w:bookmarkStart w:id="15" w:name="conclusion"/>
      <w:bookmarkEnd w:id="10"/>
      <w:bookmarkEnd w:id="14"/>
      <w:r>
        <w:t>Conclusion</w:t>
      </w:r>
    </w:p>
    <w:p w14:paraId="4864137C" w14:textId="77777777" w:rsidR="00405474" w:rsidRDefault="00000000">
      <w:pPr>
        <w:pStyle w:val="FirstParagraph"/>
      </w:pPr>
      <w:r>
        <w:t>Due to the lack of data currently available that describes the healthcare experiences specific to LGBTQ+ populations, we must continue to be creative about how we source information that helps build policy and products to better strengthen the lives of LGBTQ+ individuals who are currently enjoying retirement, as well as those who will be retiring soon.</w:t>
      </w:r>
    </w:p>
    <w:p w14:paraId="424C4E18" w14:textId="77777777" w:rsidR="00405474" w:rsidRDefault="00000000">
      <w:pPr>
        <w:pStyle w:val="BodyText"/>
      </w:pPr>
      <w:r>
        <w:t>While we’ve only just skimmed the surface of what MEPS has to offer, MEPS provides an excellent cross section of data collected in a well-designed survey framework that can aid key decision makers as they go about analyzing the impacts that Social Determinants of Health have on retirement-related outcomes.</w:t>
      </w:r>
    </w:p>
    <w:p w14:paraId="045CC497" w14:textId="77777777" w:rsidR="00405474" w:rsidRDefault="00000000">
      <w:pPr>
        <w:pStyle w:val="BodyText"/>
      </w:pPr>
      <w:r>
        <w:t>Some examples of other potentially interesting variables in the context of examining retirement-related outcomes alongside the ones I’ve shown in this paper include:</w:t>
      </w:r>
    </w:p>
    <w:p w14:paraId="75EE8E79" w14:textId="77777777" w:rsidR="00405474" w:rsidRDefault="00000000">
      <w:pPr>
        <w:pStyle w:val="SourceCode"/>
      </w:pPr>
      <w:r>
        <w:rPr>
          <w:rStyle w:val="VerbatimChar"/>
        </w:rPr>
        <w:t xml:space="preserve">MILDIF31        DIFFICULTY WALKING A MILE - RD 3/1 </w:t>
      </w:r>
      <w:r>
        <w:br/>
      </w:r>
      <w:r>
        <w:rPr>
          <w:rStyle w:val="VerbatimChar"/>
        </w:rPr>
        <w:t xml:space="preserve">MIAGED          AGE OF DIAGNOSIS-HEART ATTACK(MI) </w:t>
      </w:r>
      <w:r>
        <w:br/>
      </w:r>
      <w:r>
        <w:rPr>
          <w:rStyle w:val="VerbatimChar"/>
        </w:rPr>
        <w:lastRenderedPageBreak/>
        <w:t xml:space="preserve">WHTLGSPK        WHAT LANGUAGE SPOKEN OTHER THAN ENGLISH </w:t>
      </w:r>
      <w:r>
        <w:br/>
      </w:r>
      <w:r>
        <w:rPr>
          <w:rStyle w:val="VerbatimChar"/>
        </w:rPr>
        <w:t xml:space="preserve">DDNWRK19        # DAYS MISSED WORK DUE TO ILL/INJ 2019 </w:t>
      </w:r>
      <w:r>
        <w:br/>
      </w:r>
      <w:r>
        <w:rPr>
          <w:rStyle w:val="VerbatimChar"/>
        </w:rPr>
        <w:t xml:space="preserve">ADRESP42        SAQ 12 MOS: DR SHOWED RESPECT </w:t>
      </w:r>
      <w:r>
        <w:br/>
      </w:r>
      <w:r>
        <w:rPr>
          <w:rStyle w:val="VerbatimChar"/>
        </w:rPr>
        <w:t xml:space="preserve">PROBPY42        FAMILY HAVING PROB PAYING MEDICAL BILLS </w:t>
      </w:r>
    </w:p>
    <w:p w14:paraId="5BDCABF2" w14:textId="77777777" w:rsidR="00405474" w:rsidRDefault="00000000">
      <w:pPr>
        <w:pStyle w:val="FirstParagraph"/>
      </w:pPr>
      <w:r>
        <w:t>And while the particular method I’ve demonstrated in this paper for identifying LGBTQ+ individuals and experiences certainly does have its flaws, we have to do the best we can with the information we have – and publicly available data on the needs of LGBTQ+ individuals at or near retirement age is, at times, frustratingly scarce.</w:t>
      </w:r>
    </w:p>
    <w:p w14:paraId="3BBD43A6" w14:textId="77777777" w:rsidR="00405474" w:rsidRDefault="00000000">
      <w:pPr>
        <w:pStyle w:val="BodyText"/>
      </w:pPr>
      <w:r>
        <w:t>Finally, this sort of work encourages discussions that broaden our understanding of how systemic disparities act with intersectionality among other groups and subpopulations. And while understanding the concept of intersectionality is one thing, being able to quantify the result of intersectional disparate outcomes, even if the data isn’t perfect, is entirely more useful.</w:t>
      </w:r>
      <w:bookmarkEnd w:id="15"/>
    </w:p>
    <w:sectPr w:rsidR="004054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42CA" w14:textId="77777777" w:rsidR="00EF4281" w:rsidRDefault="00EF4281">
      <w:pPr>
        <w:spacing w:after="0"/>
      </w:pPr>
      <w:r>
        <w:separator/>
      </w:r>
    </w:p>
  </w:endnote>
  <w:endnote w:type="continuationSeparator" w:id="0">
    <w:p w14:paraId="3D4326C6" w14:textId="77777777" w:rsidR="00EF4281" w:rsidRDefault="00EF4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B896" w14:textId="77777777" w:rsidR="00EF4281" w:rsidRDefault="00EF4281">
      <w:r>
        <w:separator/>
      </w:r>
    </w:p>
  </w:footnote>
  <w:footnote w:type="continuationSeparator" w:id="0">
    <w:p w14:paraId="05F71C9B" w14:textId="77777777" w:rsidR="00EF4281" w:rsidRDefault="00EF42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DAA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5805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7EA1A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E000EFF"/>
    <w:multiLevelType w:val="hybridMultilevel"/>
    <w:tmpl w:val="37285264"/>
    <w:lvl w:ilvl="0" w:tplc="600AB5DE">
      <w:start w:val="1"/>
      <w:numFmt w:val="decimal"/>
      <w:pStyle w:val="WP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E0E9D"/>
    <w:multiLevelType w:val="hybridMultilevel"/>
    <w:tmpl w:val="C6CAA686"/>
    <w:lvl w:ilvl="0" w:tplc="268AF846">
      <w:start w:val="1"/>
      <w:numFmt w:val="bullet"/>
      <w:pStyle w:val="WPBullet2"/>
      <w:lvlText w:val="−"/>
      <w:lvlJc w:val="left"/>
      <w:pPr>
        <w:ind w:left="720" w:hanging="360"/>
      </w:pPr>
      <w:rPr>
        <w:rFonts w:ascii="Arial" w:hAnsi="Arial" w:hint="default"/>
        <w:color w:val="EEECE1" w:themeColor="background2"/>
        <w:sz w:val="16"/>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2DDA4904"/>
    <w:multiLevelType w:val="hybridMultilevel"/>
    <w:tmpl w:val="A026394C"/>
    <w:lvl w:ilvl="0" w:tplc="303A8E70">
      <w:start w:val="1"/>
      <w:numFmt w:val="bullet"/>
      <w:pStyle w:val="WPBullet"/>
      <w:lvlText w:val=""/>
      <w:lvlJc w:val="left"/>
      <w:pPr>
        <w:ind w:left="360" w:hanging="360"/>
      </w:pPr>
      <w:rPr>
        <w:rFonts w:ascii="Wingdings 2" w:hAnsi="Wingdings 2" w:hint="default"/>
        <w:color w:val="7A8086"/>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05E97"/>
    <w:multiLevelType w:val="hybridMultilevel"/>
    <w:tmpl w:val="AE64A45A"/>
    <w:lvl w:ilvl="0" w:tplc="76A659BA">
      <w:start w:val="1"/>
      <w:numFmt w:val="decimal"/>
      <w:pStyle w:val="WPNumberList2"/>
      <w:lvlText w:val="%1."/>
      <w:lvlJc w:val="left"/>
      <w:pPr>
        <w:ind w:left="1008" w:hanging="360"/>
      </w:pPr>
      <w:rPr>
        <w:rFonts w:hint="default"/>
        <w:color w:val="EEECE1" w:themeColor="background2"/>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920402151">
    <w:abstractNumId w:val="0"/>
  </w:num>
  <w:num w:numId="2" w16cid:durableId="416172648">
    <w:abstractNumId w:val="1"/>
  </w:num>
  <w:num w:numId="3" w16cid:durableId="1259876244">
    <w:abstractNumId w:val="1"/>
  </w:num>
  <w:num w:numId="4" w16cid:durableId="837503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6585216">
    <w:abstractNumId w:val="5"/>
  </w:num>
  <w:num w:numId="6" w16cid:durableId="787167303">
    <w:abstractNumId w:val="4"/>
  </w:num>
  <w:num w:numId="7" w16cid:durableId="1065491058">
    <w:abstractNumId w:val="3"/>
  </w:num>
  <w:num w:numId="8" w16cid:durableId="825584992">
    <w:abstractNumId w:val="6"/>
  </w:num>
  <w:num w:numId="9" w16cid:durableId="1303921417">
    <w:abstractNumId w:val="3"/>
  </w:num>
  <w:num w:numId="10" w16cid:durableId="2026512044">
    <w:abstractNumId w:val="5"/>
  </w:num>
  <w:num w:numId="11" w16cid:durableId="1468474441">
    <w:abstractNumId w:val="0"/>
  </w:num>
  <w:num w:numId="12" w16cid:durableId="1163814943">
    <w:abstractNumId w:val="1"/>
  </w:num>
  <w:num w:numId="13" w16cid:durableId="2061434897">
    <w:abstractNumId w:val="1"/>
  </w:num>
  <w:num w:numId="14" w16cid:durableId="2008752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2044006">
    <w:abstractNumId w:val="0"/>
  </w:num>
  <w:num w:numId="16" w16cid:durableId="1638028873">
    <w:abstractNumId w:val="1"/>
  </w:num>
  <w:num w:numId="17" w16cid:durableId="1127549332">
    <w:abstractNumId w:val="1"/>
  </w:num>
  <w:num w:numId="18" w16cid:durableId="1640571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474"/>
    <w:rsid w:val="00405474"/>
    <w:rsid w:val="008519F6"/>
    <w:rsid w:val="00EF42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8D26"/>
  <w15:docId w15:val="{1C176A68-E780-4272-82CD-DDD369CE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WPSubhead1"/>
    <w:next w:val="WPSubhead1"/>
    <w:uiPriority w:val="9"/>
    <w:qFormat/>
    <w:rsid w:val="001421E7"/>
    <w:pPr>
      <w:keepLines/>
      <w:spacing w:before="480" w:after="0"/>
      <w:outlineLvl w:val="0"/>
    </w:pPr>
    <w:rPr>
      <w:rFonts w:ascii="Arial" w:eastAsiaTheme="majorEastAsia" w:hAnsi="Arial" w:cstheme="majorBidi"/>
      <w:b/>
      <w:bCs/>
      <w:color w:val="000000" w:themeColor="text1"/>
      <w:szCs w:val="32"/>
    </w:rPr>
  </w:style>
  <w:style w:type="paragraph" w:styleId="Heading2">
    <w:name w:val="heading 2"/>
    <w:basedOn w:val="WPSubhead2"/>
    <w:next w:val="WPSubhead2"/>
    <w:uiPriority w:val="9"/>
    <w:unhideWhenUsed/>
    <w:qFormat/>
    <w:rsid w:val="00E37CE7"/>
    <w:pPr>
      <w:keepLines/>
      <w:spacing w:before="200"/>
      <w:outlineLvl w:val="1"/>
    </w:pPr>
    <w:rPr>
      <w:rFonts w:ascii="Arial" w:eastAsiaTheme="majorEastAsia" w:hAnsi="Arial" w:cstheme="majorBidi"/>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WPBody"/>
    <w:qFormat/>
    <w:rsid w:val="00E37CE7"/>
    <w:pPr>
      <w:spacing w:before="180" w:after="180"/>
    </w:pPr>
    <w:rPr>
      <w:rFonts w:ascii="Arial" w:hAnsi="Arial"/>
      <w:color w:val="000000" w:themeColor="text1"/>
    </w:rPr>
  </w:style>
  <w:style w:type="paragraph" w:customStyle="1" w:styleId="FirstParagraph">
    <w:name w:val="First Paragraph"/>
    <w:basedOn w:val="WPBody"/>
    <w:next w:val="BodyText"/>
    <w:qFormat/>
    <w:rsid w:val="00E37CE7"/>
    <w:rPr>
      <w:rFonts w:ascii="Arial" w:hAnsi="Arial"/>
      <w:color w:val="000000" w:themeColor="text1"/>
    </w:rPr>
  </w:style>
  <w:style w:type="paragraph" w:customStyle="1" w:styleId="Compact">
    <w:name w:val="Compact"/>
    <w:basedOn w:val="WPTableBody"/>
    <w:qFormat/>
    <w:rsid w:val="00E37CE7"/>
    <w:pPr>
      <w:spacing w:before="36" w:after="36"/>
    </w:pPr>
    <w:rPr>
      <w:rFonts w:ascii="Arial" w:hAnsi="Arial"/>
    </w:rPr>
  </w:style>
  <w:style w:type="paragraph" w:styleId="Title">
    <w:name w:val="Title"/>
    <w:basedOn w:val="WPCoverTitle"/>
    <w:next w:val="WPCoverTitle"/>
    <w:link w:val="TitleChar"/>
    <w:rsid w:val="005C0E64"/>
    <w:pPr>
      <w:keepNext/>
      <w:keepLines/>
      <w:spacing w:before="480" w:after="240"/>
    </w:pPr>
    <w:rPr>
      <w:rFonts w:ascii="Arial" w:eastAsiaTheme="majorEastAsia" w:hAnsi="Arial" w:cstheme="majorBidi"/>
      <w:b/>
      <w:bCs/>
      <w:color w:val="000000" w:themeColor="text1"/>
      <w:szCs w:val="36"/>
    </w:rPr>
  </w:style>
  <w:style w:type="paragraph" w:styleId="Subtitle">
    <w:name w:val="Subtitle"/>
    <w:basedOn w:val="WPCoverSubtitle"/>
    <w:next w:val="BodyText"/>
    <w:qFormat/>
    <w:rsid w:val="003B5DAB"/>
    <w:pPr>
      <w:spacing w:before="240"/>
    </w:pPr>
    <w:rPr>
      <w:rFonts w:ascii="Arial" w:hAnsi="Arial"/>
      <w:color w:val="000000" w:themeColor="text1"/>
      <w:szCs w:val="30"/>
    </w:rPr>
  </w:style>
  <w:style w:type="paragraph" w:customStyle="1" w:styleId="Author">
    <w:name w:val="Author"/>
    <w:basedOn w:val="WPCoverAuthor"/>
    <w:next w:val="BodyText"/>
    <w:qFormat/>
    <w:rsid w:val="003B5DAB"/>
    <w:pPr>
      <w:keepNext/>
      <w:keepLines/>
    </w:pPr>
    <w:rPr>
      <w:rFonts w:ascii="Arial" w:hAnsi="Arial"/>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Indent">
    <w:name w:val="Body Text Indent"/>
    <w:basedOn w:val="Normal"/>
    <w:link w:val="BodyTextIndentChar"/>
    <w:semiHidden/>
    <w:unhideWhenUsed/>
    <w:rsid w:val="005C0E64"/>
    <w:pPr>
      <w:spacing w:after="120"/>
      <w:ind w:left="360"/>
    </w:pPr>
  </w:style>
  <w:style w:type="character" w:customStyle="1" w:styleId="BodyTextIndentChar">
    <w:name w:val="Body Text Indent Char"/>
    <w:basedOn w:val="DefaultParagraphFont"/>
    <w:link w:val="BodyTextIndent"/>
    <w:semiHidden/>
    <w:rsid w:val="005C0E64"/>
  </w:style>
  <w:style w:type="paragraph" w:customStyle="1" w:styleId="WPBody">
    <w:name w:val="WP Body"/>
    <w:basedOn w:val="Normal"/>
    <w:uiPriority w:val="99"/>
    <w:qFormat/>
    <w:rsid w:val="00A829D7"/>
    <w:pPr>
      <w:spacing w:before="60" w:after="120" w:line="288" w:lineRule="auto"/>
    </w:pPr>
    <w:rPr>
      <w:color w:val="EEECE1" w:themeColor="background2"/>
      <w:sz w:val="18"/>
      <w:szCs w:val="22"/>
    </w:rPr>
  </w:style>
  <w:style w:type="paragraph" w:customStyle="1" w:styleId="WPBullet">
    <w:name w:val="WP Bullet"/>
    <w:basedOn w:val="WPBody"/>
    <w:uiPriority w:val="99"/>
    <w:qFormat/>
    <w:rsid w:val="00A829D7"/>
    <w:pPr>
      <w:numPr>
        <w:numId w:val="10"/>
      </w:numPr>
      <w:spacing w:after="60" w:line="276" w:lineRule="auto"/>
    </w:pPr>
  </w:style>
  <w:style w:type="paragraph" w:customStyle="1" w:styleId="WPBullet2">
    <w:name w:val="WP Bullet 2"/>
    <w:basedOn w:val="WPBullet"/>
    <w:qFormat/>
    <w:rsid w:val="00A829D7"/>
    <w:pPr>
      <w:numPr>
        <w:numId w:val="6"/>
      </w:numPr>
    </w:pPr>
  </w:style>
  <w:style w:type="paragraph" w:customStyle="1" w:styleId="WPCalloutLarge">
    <w:name w:val="WP Callout Large"/>
    <w:qFormat/>
    <w:rsid w:val="00A829D7"/>
    <w:pPr>
      <w:spacing w:before="58" w:after="180" w:line="276" w:lineRule="auto"/>
    </w:pPr>
    <w:rPr>
      <w:color w:val="EEECE1" w:themeColor="background2"/>
      <w:sz w:val="28"/>
      <w:szCs w:val="22"/>
    </w:rPr>
  </w:style>
  <w:style w:type="paragraph" w:customStyle="1" w:styleId="WPCalloutSlate">
    <w:name w:val="WP Callout Slate"/>
    <w:basedOn w:val="WPCalloutLarge"/>
    <w:rsid w:val="00A829D7"/>
    <w:rPr>
      <w:color w:val="9BBB59" w:themeColor="accent3"/>
    </w:rPr>
  </w:style>
  <w:style w:type="paragraph" w:customStyle="1" w:styleId="WPCalloutSmall">
    <w:name w:val="WP Callout Small"/>
    <w:basedOn w:val="WPCalloutLarge"/>
    <w:next w:val="WPBody"/>
    <w:qFormat/>
    <w:rsid w:val="00A829D7"/>
    <w:pPr>
      <w:spacing w:after="115"/>
    </w:pPr>
    <w:rPr>
      <w:sz w:val="20"/>
    </w:rPr>
  </w:style>
  <w:style w:type="paragraph" w:customStyle="1" w:styleId="WPCalloutSmallMBlue">
    <w:name w:val="WP Callout Small MBlue"/>
    <w:basedOn w:val="WPCalloutSmall"/>
    <w:rsid w:val="00A829D7"/>
    <w:pPr>
      <w:spacing w:before="0"/>
    </w:pPr>
    <w:rPr>
      <w:color w:val="1F497D" w:themeColor="text2"/>
    </w:rPr>
  </w:style>
  <w:style w:type="paragraph" w:customStyle="1" w:styleId="WPCalloutSmallVibrantBlue">
    <w:name w:val="WP Callout Small Vibrant Blue"/>
    <w:basedOn w:val="WPCalloutSmall"/>
    <w:rsid w:val="00A829D7"/>
    <w:rPr>
      <w:color w:val="4F81BD" w:themeColor="accent1"/>
    </w:rPr>
  </w:style>
  <w:style w:type="paragraph" w:customStyle="1" w:styleId="WPCopyrighttext">
    <w:name w:val="WP Copyright text"/>
    <w:basedOn w:val="Normal"/>
    <w:qFormat/>
    <w:rsid w:val="00A829D7"/>
    <w:pPr>
      <w:spacing w:after="0" w:line="288" w:lineRule="auto"/>
    </w:pPr>
    <w:rPr>
      <w:color w:val="EEECE1" w:themeColor="background2"/>
      <w:sz w:val="12"/>
      <w:szCs w:val="12"/>
    </w:rPr>
  </w:style>
  <w:style w:type="paragraph" w:customStyle="1" w:styleId="WPCoverAuthor">
    <w:name w:val="WP Cover Author"/>
    <w:qFormat/>
    <w:rsid w:val="00A829D7"/>
    <w:pPr>
      <w:spacing w:after="0" w:line="276" w:lineRule="auto"/>
    </w:pPr>
    <w:rPr>
      <w:color w:val="EEECE1" w:themeColor="background2"/>
      <w:sz w:val="16"/>
      <w:szCs w:val="22"/>
    </w:rPr>
  </w:style>
  <w:style w:type="paragraph" w:customStyle="1" w:styleId="WPCoverBorder">
    <w:name w:val="WP Cover Border"/>
    <w:basedOn w:val="WPCoverAuthor"/>
    <w:qFormat/>
    <w:rsid w:val="00A829D7"/>
    <w:pPr>
      <w:pBdr>
        <w:bottom w:val="single" w:sz="4" w:space="0" w:color="D3D5D7"/>
      </w:pBdr>
    </w:pPr>
  </w:style>
  <w:style w:type="paragraph" w:customStyle="1" w:styleId="WPCoverCalloutCharcoal">
    <w:name w:val="WP Cover Callout Charcoal"/>
    <w:rsid w:val="00A829D7"/>
    <w:pPr>
      <w:spacing w:before="60" w:after="180" w:line="276" w:lineRule="auto"/>
    </w:pPr>
    <w:rPr>
      <w:rFonts w:asciiTheme="majorHAnsi" w:hAnsiTheme="majorHAnsi"/>
      <w:color w:val="9BBB59" w:themeColor="accent3"/>
      <w:sz w:val="28"/>
      <w:szCs w:val="22"/>
    </w:rPr>
  </w:style>
  <w:style w:type="paragraph" w:customStyle="1" w:styleId="WPCoverIntroductionText">
    <w:name w:val="WP Cover Introduction Text"/>
    <w:basedOn w:val="WPCoverCalloutCharcoal"/>
    <w:qFormat/>
    <w:rsid w:val="00A829D7"/>
    <w:pPr>
      <w:spacing w:before="0"/>
    </w:pPr>
    <w:rPr>
      <w:color w:val="EEECE1" w:themeColor="background2"/>
    </w:rPr>
  </w:style>
  <w:style w:type="paragraph" w:customStyle="1" w:styleId="WPCoverSubhead1">
    <w:name w:val="WP Cover Subhead 1"/>
    <w:rsid w:val="00A829D7"/>
    <w:pPr>
      <w:spacing w:before="120" w:after="0" w:line="283" w:lineRule="auto"/>
    </w:pPr>
    <w:rPr>
      <w:rFonts w:asciiTheme="majorHAnsi" w:hAnsiTheme="majorHAnsi"/>
      <w:color w:val="4F81BD" w:themeColor="accent1"/>
      <w:sz w:val="30"/>
      <w:szCs w:val="22"/>
    </w:rPr>
  </w:style>
  <w:style w:type="paragraph" w:customStyle="1" w:styleId="WPCoverSubhead2">
    <w:name w:val="WP Cover Subhead 2"/>
    <w:next w:val="WPBody"/>
    <w:rsid w:val="00A829D7"/>
    <w:pPr>
      <w:keepNext/>
      <w:spacing w:before="120" w:after="0" w:line="276" w:lineRule="auto"/>
    </w:pPr>
    <w:rPr>
      <w:rFonts w:asciiTheme="majorHAnsi" w:hAnsiTheme="majorHAnsi"/>
      <w:b/>
      <w:caps/>
      <w:color w:val="39414D"/>
      <w:sz w:val="18"/>
      <w:szCs w:val="22"/>
    </w:rPr>
  </w:style>
  <w:style w:type="paragraph" w:customStyle="1" w:styleId="WPCoverSubtitle">
    <w:name w:val="WP Cover Subtitle"/>
    <w:qFormat/>
    <w:rsid w:val="00A829D7"/>
    <w:pPr>
      <w:spacing w:before="120" w:after="0" w:line="320" w:lineRule="auto"/>
    </w:pPr>
    <w:rPr>
      <w:rFonts w:asciiTheme="majorHAnsi" w:hAnsiTheme="majorHAnsi"/>
      <w:color w:val="EEECE1" w:themeColor="background2"/>
      <w:szCs w:val="22"/>
    </w:rPr>
  </w:style>
  <w:style w:type="paragraph" w:customStyle="1" w:styleId="WPCoverTitle">
    <w:name w:val="WP Cover Title"/>
    <w:link w:val="WPCoverTitleChar"/>
    <w:qFormat/>
    <w:rsid w:val="00A829D7"/>
    <w:pPr>
      <w:spacing w:after="0" w:line="259" w:lineRule="auto"/>
      <w:ind w:right="4707"/>
    </w:pPr>
    <w:rPr>
      <w:rFonts w:asciiTheme="majorHAnsi" w:hAnsiTheme="majorHAnsi"/>
      <w:color w:val="EEECE1" w:themeColor="background2"/>
      <w:spacing w:val="10"/>
      <w:sz w:val="36"/>
      <w:szCs w:val="22"/>
    </w:rPr>
  </w:style>
  <w:style w:type="paragraph" w:customStyle="1" w:styleId="WPExhibit">
    <w:name w:val="WP Exhibit"/>
    <w:basedOn w:val="WPBody"/>
    <w:next w:val="WPBody"/>
    <w:qFormat/>
    <w:rsid w:val="00A829D7"/>
    <w:pPr>
      <w:spacing w:after="0"/>
    </w:pPr>
  </w:style>
  <w:style w:type="paragraph" w:customStyle="1" w:styleId="WPExhibitHeading">
    <w:name w:val="WP Exhibit Heading"/>
    <w:next w:val="WPExhibit"/>
    <w:qFormat/>
    <w:rsid w:val="00A829D7"/>
    <w:pPr>
      <w:keepNext/>
      <w:pBdr>
        <w:top w:val="single" w:sz="4" w:space="8" w:color="D3D5D7"/>
      </w:pBdr>
      <w:tabs>
        <w:tab w:val="left" w:pos="900"/>
      </w:tabs>
      <w:spacing w:before="240" w:after="60" w:line="252" w:lineRule="auto"/>
    </w:pPr>
    <w:rPr>
      <w:rFonts w:asciiTheme="majorHAnsi" w:hAnsiTheme="majorHAnsi"/>
      <w:b/>
      <w:caps/>
      <w:color w:val="EEECE1" w:themeColor="background2"/>
      <w:sz w:val="14"/>
      <w:szCs w:val="22"/>
    </w:rPr>
  </w:style>
  <w:style w:type="paragraph" w:customStyle="1" w:styleId="WPExhibitFigure">
    <w:name w:val="WP Exhibit Figure"/>
    <w:basedOn w:val="WPExhibitHeading"/>
    <w:qFormat/>
    <w:rsid w:val="00A829D7"/>
    <w:pPr>
      <w:spacing w:line="276" w:lineRule="auto"/>
      <w:ind w:left="907" w:hanging="907"/>
    </w:pPr>
  </w:style>
  <w:style w:type="paragraph" w:customStyle="1" w:styleId="WPExhibitFootnote">
    <w:name w:val="WP Exhibit Footnote"/>
    <w:qFormat/>
    <w:rsid w:val="00A829D7"/>
    <w:pPr>
      <w:spacing w:before="115" w:after="115" w:line="252" w:lineRule="auto"/>
    </w:pPr>
    <w:rPr>
      <w:color w:val="EEECE1" w:themeColor="background2"/>
      <w:sz w:val="14"/>
      <w:szCs w:val="22"/>
    </w:rPr>
  </w:style>
  <w:style w:type="paragraph" w:customStyle="1" w:styleId="WPExhibitHeadingBackpage">
    <w:name w:val="WP Exhibit Heading Backpage"/>
    <w:basedOn w:val="WPExhibitHeading"/>
    <w:qFormat/>
    <w:rsid w:val="00A829D7"/>
    <w:pPr>
      <w:pBdr>
        <w:top w:val="single" w:sz="4" w:space="12" w:color="D3D5D7"/>
      </w:pBdr>
    </w:pPr>
  </w:style>
  <w:style w:type="paragraph" w:customStyle="1" w:styleId="WPExhibitHeadingTopLine">
    <w:name w:val="WP Exhibit Heading Top Line"/>
    <w:basedOn w:val="WPExhibitHeading"/>
    <w:qFormat/>
    <w:rsid w:val="00A829D7"/>
    <w:pPr>
      <w:spacing w:before="0"/>
    </w:pPr>
  </w:style>
  <w:style w:type="paragraph" w:customStyle="1" w:styleId="WPFooter">
    <w:name w:val="WP Footer"/>
    <w:qFormat/>
    <w:rsid w:val="00A829D7"/>
    <w:pPr>
      <w:pBdr>
        <w:top w:val="single" w:sz="4" w:space="9" w:color="D3D5D7"/>
      </w:pBdr>
      <w:tabs>
        <w:tab w:val="right" w:pos="10440"/>
      </w:tabs>
      <w:spacing w:after="0" w:line="252" w:lineRule="auto"/>
    </w:pPr>
    <w:rPr>
      <w:rFonts w:asciiTheme="majorHAnsi" w:hAnsiTheme="majorHAnsi"/>
      <w:color w:val="EEECE1" w:themeColor="background2"/>
      <w:sz w:val="14"/>
      <w:szCs w:val="22"/>
    </w:rPr>
  </w:style>
  <w:style w:type="paragraph" w:customStyle="1" w:styleId="WPFooterDate">
    <w:name w:val="WP Footer Date"/>
    <w:qFormat/>
    <w:rsid w:val="00A829D7"/>
    <w:pPr>
      <w:spacing w:after="0" w:line="170" w:lineRule="auto"/>
    </w:pPr>
    <w:rPr>
      <w:color w:val="EEECE1" w:themeColor="background2"/>
      <w:sz w:val="14"/>
      <w:szCs w:val="22"/>
    </w:rPr>
  </w:style>
  <w:style w:type="paragraph" w:customStyle="1" w:styleId="WPFootnote">
    <w:name w:val="WP Footnote"/>
    <w:qFormat/>
    <w:rsid w:val="00A829D7"/>
    <w:pPr>
      <w:pBdr>
        <w:top w:val="single" w:sz="4" w:space="3" w:color="D3D5D7"/>
      </w:pBdr>
      <w:spacing w:before="60" w:after="0" w:line="252" w:lineRule="auto"/>
      <w:ind w:left="144" w:hanging="144"/>
    </w:pPr>
    <w:rPr>
      <w:color w:val="EEECE1" w:themeColor="background2"/>
      <w:sz w:val="14"/>
      <w:szCs w:val="22"/>
    </w:rPr>
  </w:style>
  <w:style w:type="paragraph" w:customStyle="1" w:styleId="WPIndent">
    <w:name w:val="WP Indent"/>
    <w:qFormat/>
    <w:rsid w:val="00A829D7"/>
    <w:pPr>
      <w:spacing w:after="115" w:line="288" w:lineRule="auto"/>
      <w:ind w:left="360"/>
    </w:pPr>
    <w:rPr>
      <w:sz w:val="18"/>
      <w:szCs w:val="22"/>
    </w:rPr>
  </w:style>
  <w:style w:type="paragraph" w:customStyle="1" w:styleId="WPLastPageBottomText">
    <w:name w:val="WP Last Page Bottom Text"/>
    <w:basedOn w:val="Normal"/>
    <w:qFormat/>
    <w:rsid w:val="00A829D7"/>
    <w:pPr>
      <w:spacing w:after="120" w:line="288" w:lineRule="auto"/>
    </w:pPr>
    <w:rPr>
      <w:color w:val="EEECE1" w:themeColor="background2"/>
      <w:sz w:val="16"/>
      <w:szCs w:val="22"/>
    </w:rPr>
  </w:style>
  <w:style w:type="paragraph" w:customStyle="1" w:styleId="WPMillimanHeader">
    <w:name w:val="WP Milliman Header"/>
    <w:qFormat/>
    <w:rsid w:val="00A829D7"/>
    <w:pPr>
      <w:spacing w:before="120" w:after="0" w:line="220" w:lineRule="auto"/>
    </w:pPr>
    <w:rPr>
      <w:rFonts w:asciiTheme="majorHAnsi" w:hAnsiTheme="majorHAnsi"/>
      <w:caps/>
      <w:color w:val="EEECE1" w:themeColor="background2"/>
      <w:position w:val="-6"/>
      <w:sz w:val="14"/>
      <w:szCs w:val="22"/>
    </w:rPr>
  </w:style>
  <w:style w:type="paragraph" w:customStyle="1" w:styleId="WPNumberList">
    <w:name w:val="WP Number List"/>
    <w:qFormat/>
    <w:rsid w:val="00A829D7"/>
    <w:pPr>
      <w:numPr>
        <w:numId w:val="9"/>
      </w:numPr>
      <w:spacing w:after="60" w:line="276" w:lineRule="auto"/>
    </w:pPr>
    <w:rPr>
      <w:color w:val="EEECE1" w:themeColor="background2"/>
      <w:sz w:val="18"/>
      <w:szCs w:val="22"/>
    </w:rPr>
  </w:style>
  <w:style w:type="paragraph" w:customStyle="1" w:styleId="WPNumberList2">
    <w:name w:val="WP Number List 2"/>
    <w:basedOn w:val="WPNumberList"/>
    <w:qFormat/>
    <w:rsid w:val="00A829D7"/>
    <w:pPr>
      <w:numPr>
        <w:numId w:val="8"/>
      </w:numPr>
    </w:pPr>
  </w:style>
  <w:style w:type="paragraph" w:customStyle="1" w:styleId="WPNumberTable">
    <w:name w:val="WP Number Table"/>
    <w:basedOn w:val="WPNumberList"/>
    <w:qFormat/>
    <w:rsid w:val="00A829D7"/>
    <w:pPr>
      <w:spacing w:after="160" w:line="288" w:lineRule="auto"/>
      <w:ind w:left="360"/>
    </w:pPr>
  </w:style>
  <w:style w:type="paragraph" w:customStyle="1" w:styleId="WPOrgChartBoxText">
    <w:name w:val="WP Org Chart Box Text"/>
    <w:basedOn w:val="NormalWeb"/>
    <w:qFormat/>
    <w:rsid w:val="00A829D7"/>
    <w:pPr>
      <w:spacing w:after="0" w:line="252" w:lineRule="auto"/>
      <w:jc w:val="center"/>
    </w:pPr>
    <w:rPr>
      <w:rFonts w:asciiTheme="minorHAnsi" w:eastAsia="Arial" w:hAnsiTheme="minorHAnsi" w:cstheme="minorHAnsi"/>
      <w:color w:val="FFFFFF" w:themeColor="background1"/>
      <w:sz w:val="18"/>
      <w:szCs w:val="18"/>
    </w:rPr>
  </w:style>
  <w:style w:type="paragraph" w:styleId="NormalWeb">
    <w:name w:val="Normal (Web)"/>
    <w:basedOn w:val="Normal"/>
    <w:semiHidden/>
    <w:unhideWhenUsed/>
    <w:rsid w:val="00A829D7"/>
    <w:rPr>
      <w:rFonts w:ascii="Times New Roman" w:hAnsi="Times New Roman" w:cs="Times New Roman"/>
    </w:rPr>
  </w:style>
  <w:style w:type="paragraph" w:customStyle="1" w:styleId="WPOrgChartBullettext">
    <w:name w:val="WP Org Chart Bullet text"/>
    <w:basedOn w:val="WPBullet"/>
    <w:qFormat/>
    <w:rsid w:val="00A829D7"/>
    <w:pPr>
      <w:ind w:left="216" w:hanging="216"/>
    </w:pPr>
    <w:rPr>
      <w:sz w:val="14"/>
      <w:szCs w:val="14"/>
    </w:rPr>
  </w:style>
  <w:style w:type="paragraph" w:customStyle="1" w:styleId="WPOrgChartExampletext">
    <w:name w:val="WP Org Chart Example text"/>
    <w:basedOn w:val="WPBody"/>
    <w:qFormat/>
    <w:rsid w:val="00A829D7"/>
    <w:rPr>
      <w:b/>
      <w:sz w:val="14"/>
      <w:szCs w:val="14"/>
    </w:rPr>
  </w:style>
  <w:style w:type="paragraph" w:customStyle="1" w:styleId="WPSidebar">
    <w:name w:val="WP Sidebar"/>
    <w:qFormat/>
    <w:rsid w:val="00A829D7"/>
    <w:pPr>
      <w:pBdr>
        <w:top w:val="single" w:sz="4" w:space="6" w:color="D3D5D7"/>
      </w:pBdr>
      <w:spacing w:before="216" w:after="115" w:line="276" w:lineRule="auto"/>
    </w:pPr>
    <w:rPr>
      <w:color w:val="EEECE1" w:themeColor="background2"/>
      <w:sz w:val="22"/>
      <w:szCs w:val="22"/>
    </w:rPr>
  </w:style>
  <w:style w:type="paragraph" w:customStyle="1" w:styleId="WPSubhead1">
    <w:name w:val="WP Subhead 1"/>
    <w:qFormat/>
    <w:rsid w:val="00A829D7"/>
    <w:pPr>
      <w:keepNext/>
      <w:spacing w:before="115" w:after="58" w:line="276" w:lineRule="auto"/>
    </w:pPr>
    <w:rPr>
      <w:color w:val="EEECE1" w:themeColor="background2"/>
      <w:sz w:val="30"/>
      <w:szCs w:val="22"/>
    </w:rPr>
  </w:style>
  <w:style w:type="paragraph" w:customStyle="1" w:styleId="WPSubhead2">
    <w:name w:val="WP Subhead 2"/>
    <w:qFormat/>
    <w:rsid w:val="00A829D7"/>
    <w:pPr>
      <w:keepNext/>
      <w:spacing w:after="0" w:line="276" w:lineRule="auto"/>
    </w:pPr>
    <w:rPr>
      <w:b/>
      <w:caps/>
      <w:color w:val="EEECE1" w:themeColor="background2"/>
      <w:sz w:val="18"/>
      <w:szCs w:val="22"/>
    </w:rPr>
  </w:style>
  <w:style w:type="paragraph" w:customStyle="1" w:styleId="WPSubhead3">
    <w:name w:val="WP Subhead 3"/>
    <w:qFormat/>
    <w:rsid w:val="00A829D7"/>
    <w:pPr>
      <w:spacing w:after="0" w:line="276" w:lineRule="auto"/>
    </w:pPr>
    <w:rPr>
      <w:rFonts w:asciiTheme="majorHAnsi" w:hAnsiTheme="majorHAnsi"/>
      <w:b/>
      <w:color w:val="EEECE1" w:themeColor="background2"/>
      <w:sz w:val="18"/>
      <w:szCs w:val="22"/>
    </w:rPr>
  </w:style>
  <w:style w:type="paragraph" w:customStyle="1" w:styleId="WPTableHeading">
    <w:name w:val="WP Table Heading"/>
    <w:qFormat/>
    <w:rsid w:val="00A829D7"/>
    <w:pPr>
      <w:spacing w:after="0" w:line="288" w:lineRule="auto"/>
    </w:pPr>
    <w:rPr>
      <w:rFonts w:asciiTheme="majorHAnsi" w:hAnsiTheme="majorHAnsi"/>
      <w:caps/>
      <w:sz w:val="14"/>
      <w:szCs w:val="22"/>
    </w:rPr>
  </w:style>
  <w:style w:type="paragraph" w:customStyle="1" w:styleId="WPTableBody">
    <w:name w:val="WP Table Body"/>
    <w:basedOn w:val="WPTableHeading"/>
    <w:qFormat/>
    <w:rsid w:val="00A829D7"/>
    <w:pPr>
      <w:spacing w:before="60" w:after="60" w:line="264" w:lineRule="auto"/>
    </w:pPr>
    <w:rPr>
      <w:caps w:val="0"/>
      <w:color w:val="39414D"/>
    </w:rPr>
  </w:style>
  <w:style w:type="table" w:customStyle="1" w:styleId="WPtablestyle">
    <w:name w:val="WP table style"/>
    <w:basedOn w:val="PlainTable4"/>
    <w:uiPriority w:val="99"/>
    <w:rsid w:val="00A829D7"/>
    <w:rPr>
      <w:sz w:val="16"/>
      <w:szCs w:val="20"/>
    </w:rPr>
    <w:tblPr/>
    <w:tcPr>
      <w:shd w:val="clear" w:color="auto" w:fill="auto"/>
      <w:tcMar>
        <w:left w:w="72" w:type="dxa"/>
        <w:right w:w="72" w:type="dxa"/>
      </w:tcMar>
    </w:tcPr>
    <w:tblStylePr w:type="firstRow">
      <w:rPr>
        <w:rFonts w:ascii="Arial Bold" w:hAnsi="Arial Bold"/>
        <w:b/>
        <w:bCs/>
        <w:caps/>
        <w:smallCaps w:val="0"/>
        <w:sz w:val="16"/>
      </w:rPr>
      <w:tblPr/>
      <w:tcPr>
        <w:tcBorders>
          <w:top w:val="nil"/>
          <w:left w:val="nil"/>
          <w:bottom w:val="single" w:sz="4" w:space="0" w:color="D3D5D7"/>
          <w:right w:val="nil"/>
          <w:insideH w:val="nil"/>
          <w:insideV w:val="nil"/>
          <w:tl2br w:val="nil"/>
          <w:tr2bl w:val="nil"/>
        </w:tcBorders>
        <w:shd w:val="clear" w:color="auto" w:fill="auto"/>
      </w:tc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Vert">
      <w:tblPr/>
      <w:tcPr>
        <w:tcBorders>
          <w:top w:val="nil"/>
          <w:left w:val="nil"/>
          <w:bottom w:val="nil"/>
          <w:right w:val="nil"/>
          <w:insideH w:val="nil"/>
          <w:insideV w:val="nil"/>
          <w:tl2br w:val="nil"/>
          <w:tr2bl w:val="nil"/>
        </w:tcBorders>
      </w:tcPr>
    </w:tblStylePr>
    <w:tblStylePr w:type="band1Horz">
      <w:tblPr/>
      <w:tcPr>
        <w:shd w:val="clear" w:color="auto" w:fill="1F497D" w:themeFill="text2"/>
      </w:tcPr>
    </w:tblStylePr>
  </w:style>
  <w:style w:type="table" w:styleId="PlainTable4">
    <w:name w:val="Plain Table 4"/>
    <w:basedOn w:val="TableNormal"/>
    <w:rsid w:val="00A829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TableTopLine">
    <w:name w:val="WP Table Top Line"/>
    <w:basedOn w:val="WPTableHeading"/>
    <w:next w:val="WPTableHeading"/>
    <w:qFormat/>
    <w:rsid w:val="00A829D7"/>
    <w:pPr>
      <w:spacing w:before="58" w:after="29"/>
    </w:pPr>
  </w:style>
  <w:style w:type="character" w:customStyle="1" w:styleId="WPCoverTitleChar">
    <w:name w:val="WP Cover Title Char"/>
    <w:basedOn w:val="DefaultParagraphFont"/>
    <w:link w:val="WPCoverTitle"/>
    <w:rsid w:val="003B5DAB"/>
    <w:rPr>
      <w:rFonts w:asciiTheme="majorHAnsi" w:hAnsiTheme="majorHAnsi"/>
      <w:color w:val="EEECE1" w:themeColor="background2"/>
      <w:spacing w:val="10"/>
      <w:sz w:val="36"/>
      <w:szCs w:val="22"/>
    </w:rPr>
  </w:style>
  <w:style w:type="character" w:customStyle="1" w:styleId="TitleChar">
    <w:name w:val="Title Char"/>
    <w:basedOn w:val="WPCoverTitleChar"/>
    <w:link w:val="Title"/>
    <w:rsid w:val="003B5DAB"/>
    <w:rPr>
      <w:rFonts w:ascii="Arial" w:eastAsiaTheme="majorEastAsia" w:hAnsi="Arial" w:cstheme="majorBidi"/>
      <w:b/>
      <w:bCs/>
      <w:color w:val="000000" w:themeColor="text1"/>
      <w:spacing w:val="1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ps.ahrq.gov/mepsweb/about_meps/survey_back.jsp" TargetMode="External"/><Relationship Id="rId18" Type="http://schemas.openxmlformats.org/officeDocument/2006/relationships/hyperlink" Target="https://meps.ahrq.gov/mepsweb/data_stats/download_data_files_detail.jsp?cboPufNumber=HC-216" TargetMode="External"/><Relationship Id="rId26" Type="http://schemas.openxmlformats.org/officeDocument/2006/relationships/image" Target="media/image2.png"/><Relationship Id="rId39" Type="http://schemas.openxmlformats.org/officeDocument/2006/relationships/hyperlink" Target="https://doi.org/10.1177/2151459319898648" TargetMode="External"/><Relationship Id="rId21" Type="http://schemas.openxmlformats.org/officeDocument/2006/relationships/hyperlink" Target="https://meps.ahrq.gov/mepsweb/data_stats/download_data_files_detail.jsp?cboPufNumber=HC-192" TargetMode="External"/><Relationship Id="rId34" Type="http://schemas.openxmlformats.org/officeDocument/2006/relationships/image" Target="media/image6.png"/><Relationship Id="rId42" Type="http://schemas.openxmlformats.org/officeDocument/2006/relationships/hyperlink" Target="https://www.kff.org/other/state-indicator/inpatient-days-by-ownership/?currentTimeframe=0&amp;sortModel=%7B%22colId%22:%22Location%22,%22sort%22:%22asc%22%7D" TargetMode="External"/><Relationship Id="rId47" Type="http://schemas.openxmlformats.org/officeDocument/2006/relationships/hyperlink" Target="https://www.kff.org/health-costs/state-indicator/retail-rx-drugs-per-capita/" TargetMode="External"/><Relationship Id="rId50" Type="http://schemas.openxmlformats.org/officeDocument/2006/relationships/hyperlink" Target="https://mor.nlm.nih.gov/RxNav/search?searchBy=String&amp;searchTerm=lisinopril" TargetMode="External"/><Relationship Id="rId55" Type="http://schemas.openxmlformats.org/officeDocument/2006/relationships/theme" Target="theme/theme1.xml"/><Relationship Id="rId7" Type="http://schemas.openxmlformats.org/officeDocument/2006/relationships/hyperlink" Target="mailto:seth.lester@milliman.com" TargetMode="External"/><Relationship Id="rId2" Type="http://schemas.openxmlformats.org/officeDocument/2006/relationships/styles" Target="styles.xml"/><Relationship Id="rId16" Type="http://schemas.openxmlformats.org/officeDocument/2006/relationships/hyperlink" Target="https://github.com/bentwheel/lgbtq-retirement-meps-analysis" TargetMode="External"/><Relationship Id="rId29" Type="http://schemas.openxmlformats.org/officeDocument/2006/relationships/hyperlink" Target="https://www.census.gov/content/dam/Census/library/publications/2021/demo/p70-167.pdf" TargetMode="External"/><Relationship Id="rId11" Type="http://schemas.openxmlformats.org/officeDocument/2006/relationships/hyperlink" Target="https://meps.ahrq.gov/mepsweb/" TargetMode="External"/><Relationship Id="rId24" Type="http://schemas.openxmlformats.org/officeDocument/2006/relationships/hyperlink" Target="https://meps.ahrq.gov/mepsweb/data_stats/download_data_files_detail.jsp?cboPufNumber=HC-036" TargetMode="Externa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hyperlink" Target="https://www.kff.org/other/state-indicator/emergency-room-visits-by-ownership/" TargetMode="External"/><Relationship Id="rId45" Type="http://schemas.openxmlformats.org/officeDocument/2006/relationships/image" Target="media/image12.png"/><Relationship Id="rId53" Type="http://schemas.openxmlformats.org/officeDocument/2006/relationships/image" Target="media/image15.png"/><Relationship Id="rId5" Type="http://schemas.openxmlformats.org/officeDocument/2006/relationships/footnotes" Target="footnotes.xml"/><Relationship Id="rId10" Type="http://schemas.openxmlformats.org/officeDocument/2006/relationships/hyperlink" Target="https://health.gov/healthypeople/priority-areas/social-determinants-health" TargetMode="External"/><Relationship Id="rId19" Type="http://schemas.openxmlformats.org/officeDocument/2006/relationships/hyperlink" Target="https://meps.ahrq.gov/mepsweb/data_stats/download_data_files_detail.jsp?cboPufNumber=HC-209" TargetMode="External"/><Relationship Id="rId31" Type="http://schemas.openxmlformats.org/officeDocument/2006/relationships/hyperlink" Target="https://meps.ahrq.gov/data_stats/download_data/pufs/h036/h36u20doc.shtml" TargetMode="External"/><Relationship Id="rId44" Type="http://schemas.openxmlformats.org/officeDocument/2006/relationships/hyperlink" Target="https://www.milliman.com/en/insight/inflation-reduction-act-health-plans-and-part-d-sponsors-need-to-know" TargetMode="External"/><Relationship Id="rId52" Type="http://schemas.openxmlformats.org/officeDocument/2006/relationships/hyperlink" Target="https://pubmed.ncbi.nlm.nih.gov/29470115/" TargetMode="External"/><Relationship Id="rId4" Type="http://schemas.openxmlformats.org/officeDocument/2006/relationships/webSettings" Target="webSettings.xml"/><Relationship Id="rId9" Type="http://schemas.openxmlformats.org/officeDocument/2006/relationships/hyperlink" Target="https://www.soa.org/research/opportunities/call-for-essay-aging-retire-lgbtq/" TargetMode="External"/><Relationship Id="rId14" Type="http://schemas.openxmlformats.org/officeDocument/2006/relationships/hyperlink" Target="https://github.com/HHS-AHRQ/MEPS" TargetMode="External"/><Relationship Id="rId22" Type="http://schemas.openxmlformats.org/officeDocument/2006/relationships/hyperlink" Target="https://meps.ahrq.gov/mepsweb/data_stats/download_data_files_detail.jsp?cboPufNumber=HC-181"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image" Target="media/image11.png"/><Relationship Id="rId48" Type="http://schemas.openxmlformats.org/officeDocument/2006/relationships/hyperlink" Target="https://mor.nlm.nih.gov/RxNav/search?searchBy=String&amp;searchTerm=metformin" TargetMode="External"/><Relationship Id="rId8" Type="http://schemas.openxmlformats.org/officeDocument/2006/relationships/hyperlink" Target="https://www.soa.org/research/opportunities/call-for-papers-list/"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www.ahrq.gov/" TargetMode="External"/><Relationship Id="rId17" Type="http://schemas.openxmlformats.org/officeDocument/2006/relationships/hyperlink" Target="https://meps.ahrq.gov/survey_comp/precision_guidelines.shtml" TargetMode="External"/><Relationship Id="rId25" Type="http://schemas.openxmlformats.org/officeDocument/2006/relationships/image" Target="media/image1.png"/><Relationship Id="rId33" Type="http://schemas.openxmlformats.org/officeDocument/2006/relationships/hyperlink" Target="https://www.census.gov/content/dam/Census/library/publications/2021/acs/acsbr-005.pdf" TargetMode="External"/><Relationship Id="rId38" Type="http://schemas.openxmlformats.org/officeDocument/2006/relationships/hyperlink" Target="https://pubmed.ncbi.nlm.nih.gov/7503606/" TargetMode="External"/><Relationship Id="rId46" Type="http://schemas.openxmlformats.org/officeDocument/2006/relationships/image" Target="media/image13.png"/><Relationship Id="rId20" Type="http://schemas.openxmlformats.org/officeDocument/2006/relationships/hyperlink" Target="https://meps.ahrq.gov/mepsweb/data_stats/download_data_files_detail.jsp?cboPufNumber=HC-201" TargetMode="External"/><Relationship Id="rId41" Type="http://schemas.openxmlformats.org/officeDocument/2006/relationships/image" Target="media/image1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eps.ahrq.gov/survey_comp/precision_guidelines.shtml" TargetMode="External"/><Relationship Id="rId23" Type="http://schemas.openxmlformats.org/officeDocument/2006/relationships/hyperlink" Target="https://meps.ahrq.gov/mepsweb/data_stats/download_data_files_detail.jsp?cboPufNumber=HC-171" TargetMode="External"/><Relationship Id="rId28" Type="http://schemas.openxmlformats.org/officeDocument/2006/relationships/hyperlink" Target="https://www.census.gov/programs-surveys/acs" TargetMode="External"/><Relationship Id="rId36" Type="http://schemas.openxmlformats.org/officeDocument/2006/relationships/image" Target="media/image8.png"/><Relationship Id="rId49" Type="http://schemas.openxmlformats.org/officeDocument/2006/relationships/hyperlink" Target="https://mor.nlm.nih.gov/RxNav/search?searchBy=String&amp;searchTerm=atorvasta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7159</Words>
  <Characters>40811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Healthcare Experiences of Elderly LGBTQ+ Individuals in the US</vt:lpstr>
    </vt:vector>
  </TitlesOfParts>
  <Company/>
  <LinksUpToDate>false</LinksUpToDate>
  <CharactersWithSpaces>47875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Experiences of Elderly LGBTQ+ Individuals in the US</dc:title>
  <dc:creator>C. Seth Lester, ASA, MAAA (Seth.Lester@milliman.com)  </dc:creator>
  <cp:keywords/>
  <cp:lastModifiedBy>Seth Lester</cp:lastModifiedBy>
  <cp:revision>3</cp:revision>
  <dcterms:created xsi:type="dcterms:W3CDTF">2023-07-12T21:52:00Z</dcterms:created>
  <dcterms:modified xsi:type="dcterms:W3CDTF">2023-07-12T22:01:00Z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Visual Analysis Using Medical Expenditure Panel Survey (MEPS) Data</vt:lpwstr>
  </property>
</Properties>
</file>