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Fix 1: Demographic Data Validation</w:t>
      </w:r>
    </w:p>
    <w:p>
      <w:pPr>
        <w:spacing w:after="40"/>
      </w:pPr>
      <w:r>
        <w:rPr>
          <w:rFonts w:ascii="Arial" w:cs="Arial" w:eastAsia="Arial" w:hAnsi="Arial"/>
          <w:i/>
          <w:iCs/>
          <w:color w:val="666666"/>
          <w:sz w:val="22"/>
          <w:szCs w:val="22"/>
        </w:rPr>
        <w:t xml:space="preserve">Preventing race misclassification and cascading Batson errors</w:t>
      </w:r>
    </w:p>
    <w:p>
      <w:pPr>
        <w:pBdr>
          <w:bottom w:val="single" w:color="2E75B6" w:sz="6" w:space="1"/>
        </w:pBdr>
        <w:spacing w:after="300"/>
      </w:pPr>
    </w:p>
    <w:p>
      <w:pPr>
        <w:spacing w:before="300" w:after="160"/>
      </w:pPr>
      <w:r>
        <w:rPr>
          <w:rFonts w:ascii="Arial" w:cs="Arial" w:eastAsia="Arial" w:hAnsi="Arial"/>
          <w:b/>
          <w:bCs/>
          <w:color w:val="1B3A5C"/>
          <w:sz w:val="26"/>
          <w:szCs w:val="26"/>
        </w:rPr>
        <w:t xml:space="preserve">The Problem</w:t>
      </w:r>
    </w:p>
    <w:p>
      <w:pPr>
        <w:spacing w:after="160" w:line="300"/>
      </w:pPr>
      <w:r>
        <w:rPr>
          <w:rFonts w:ascii="Arial" w:cs="Arial" w:eastAsia="Arial" w:hAnsi="Arial"/>
          <w:sz w:val="21"/>
          <w:szCs w:val="21"/>
        </w:rPr>
        <w:t xml:space="preserve">Juror #4, Virendra R. Mody, was listed as race "B" (Black) in the strike list data. His name and the enrichment data—which identified him as the registered agent for DurVa Hospitality in Mobile—strongly suggest he is South Asian. This misclassification, likely originating from the court’s strike list or an OCR error, was never caught. It cascaded directly into the Batson analysis, which flagged the defense’s potential strike of Mody as a "High" Batson defensive risk for striking a Black juror. If the attorney had relied on that assessment in court, it would have been based on incorrect demographic data.</w:t>
      </w:r>
    </w:p>
    <w:p>
      <w:pPr>
        <w:spacing w:before="300" w:after="160"/>
      </w:pPr>
      <w:r>
        <w:rPr>
          <w:rFonts w:ascii="Arial" w:cs="Arial" w:eastAsia="Arial" w:hAnsi="Arial"/>
          <w:b/>
          <w:bCs/>
          <w:color w:val="1B3A5C"/>
          <w:sz w:val="26"/>
          <w:szCs w:val="26"/>
        </w:rPr>
        <w:t xml:space="preserve">Recommended Fixes</w:t>
      </w:r>
    </w:p>
    <w:p>
      <w:pPr>
        <w:spacing w:before="240" w:after="120"/>
      </w:pPr>
      <w:r>
        <w:rPr>
          <w:rFonts w:ascii="Arial" w:cs="Arial" w:eastAsia="Arial" w:hAnsi="Arial"/>
          <w:b/>
          <w:bCs/>
          <w:color w:val="2E75B6"/>
          <w:sz w:val="22"/>
          <w:szCs w:val="22"/>
        </w:rPr>
        <w:t xml:space="preserve">1. Add a Demographic Review Gate After Strike List Import</w:t>
      </w:r>
    </w:p>
    <w:p>
      <w:pPr>
        <w:spacing w:after="160" w:line="300"/>
      </w:pPr>
      <w:r>
        <w:rPr>
          <w:rFonts w:ascii="Arial" w:cs="Arial" w:eastAsia="Arial" w:hAnsi="Arial"/>
          <w:sz w:val="21"/>
          <w:szCs w:val="21"/>
        </w:rPr>
        <w:t xml:space="preserve">After the OCR parser extracts juror data in Phase 2, display a mandatory review screen where the attorney confirms or corrects each juror’s race and sex fields before the data flows downstream. This screen should highlight any fields the parser marked as uncertain (the needsReview flag already exists in the OCR schema). Make race and sex fields editable with dropdown selectors, and do not allow the workflow to proceed to Phase 3 until the attorney has scrolled through the panel and confirmed demographics.</w:t>
      </w:r>
    </w:p>
    <w:p>
      <w:pPr>
        <w:pBdr>
          <w:left w:val="single" w:color="2E75B6" w:sz="12" w:space="8"/>
        </w:pBdr>
        <w:shd w:fill="EDF3F8" w:val="clear"/>
        <w:spacing w:before="160" w:after="160"/>
        <w:ind w:left="360" w:right="360"/>
      </w:pPr>
      <w:r>
        <w:rPr>
          <w:rFonts w:ascii="Arial" w:cs="Arial" w:eastAsia="Arial" w:hAnsi="Arial"/>
          <w:color w:val="333333"/>
          <w:sz w:val="20"/>
          <w:szCs w:val="20"/>
        </w:rPr>
        <w:t xml:space="preserve">Implementation note: The OCR parser already sets needsReview to true when fields are garbled. Extend this flag to also trigger when name-ethnicity heuristics suggest a possible mismatch with the parsed race field.</w:t>
      </w:r>
    </w:p>
    <w:p>
      <w:pPr>
        <w:spacing w:before="240" w:after="120"/>
      </w:pPr>
      <w:r>
        <w:rPr>
          <w:rFonts w:ascii="Arial" w:cs="Arial" w:eastAsia="Arial" w:hAnsi="Arial"/>
          <w:b/>
          <w:bCs/>
          <w:color w:val="2E75B6"/>
          <w:sz w:val="22"/>
          <w:szCs w:val="22"/>
        </w:rPr>
        <w:t xml:space="preserve">2. Add a Name-Ethnicity Plausibility Check</w:t>
      </w:r>
    </w:p>
    <w:p>
      <w:pPr>
        <w:spacing w:after="160" w:line="300"/>
      </w:pPr>
      <w:r>
        <w:rPr>
          <w:rFonts w:ascii="Arial" w:cs="Arial" w:eastAsia="Arial" w:hAnsi="Arial"/>
          <w:sz w:val="21"/>
          <w:szCs w:val="21"/>
        </w:rPr>
        <w:t xml:space="preserve">Integrate a lightweight name-origin lookup (libraries like ethnicolr or nameprism exist for this purpose) that runs after OCR parsing. When the parsed race field conflicts with the statistical likelihood from the juror’s name, flag that juror with a visual warning in the review screen. This is not about overriding the court’s data—it is about alerting the attorney that something may need manual verification. The flag should say something like: "Name origin suggests this juror may not match the parsed race. Please verify."</w:t>
      </w:r>
    </w:p>
    <w:p>
      <w:pPr>
        <w:spacing w:before="240" w:after="120"/>
      </w:pPr>
      <w:r>
        <w:rPr>
          <w:rFonts w:ascii="Arial" w:cs="Arial" w:eastAsia="Arial" w:hAnsi="Arial"/>
          <w:b/>
          <w:bCs/>
          <w:color w:val="2E75B6"/>
          <w:sz w:val="22"/>
          <w:szCs w:val="22"/>
        </w:rPr>
        <w:t xml:space="preserve">3. Cross-Validate With Enrichment Data</w:t>
      </w:r>
    </w:p>
    <w:p>
      <w:pPr>
        <w:spacing w:after="160" w:line="300"/>
      </w:pPr>
      <w:r>
        <w:rPr>
          <w:rFonts w:ascii="Arial" w:cs="Arial" w:eastAsia="Arial" w:hAnsi="Arial"/>
          <w:sz w:val="21"/>
          <w:szCs w:val="21"/>
        </w:rPr>
        <w:t xml:space="preserve">Once the Perplexity enrichment returns, run a lightweight post-check: if enrichment data mentions ethnicity, nationality, or cultural context that conflicts with the stored race field, surface a notification on the juror’s card in the interface. This serves as a second line of defense for cases where the OCR parsing looked clean but was still wrong.</w:t>
      </w:r>
    </w:p>
    <w:p>
      <w:pPr>
        <w:spacing w:before="240" w:after="120"/>
      </w:pPr>
      <w:r>
        <w:rPr>
          <w:rFonts w:ascii="Arial" w:cs="Arial" w:eastAsia="Arial" w:hAnsi="Arial"/>
          <w:b/>
          <w:bCs/>
          <w:color w:val="2E75B6"/>
          <w:sz w:val="22"/>
          <w:szCs w:val="22"/>
        </w:rPr>
        <w:t xml:space="preserve">4. Propagate Corrections to All Downstream Analysis</w:t>
      </w:r>
    </w:p>
    <w:p>
      <w:pPr>
        <w:spacing w:after="160" w:line="300"/>
      </w:pPr>
      <w:r>
        <w:rPr>
          <w:rFonts w:ascii="Arial" w:cs="Arial" w:eastAsia="Arial" w:hAnsi="Arial"/>
          <w:sz w:val="21"/>
          <w:szCs w:val="21"/>
        </w:rPr>
        <w:t xml:space="preserve">When an attorney corrects a demographic field, ensure the change propagates to any already-generated AI analysis. If a Batson analysis has already run, mark it stale and prompt the attorney to re-run it. The Batson analysis is especially sensitive to race data—a single misclassification can flip the statistical pattern analysis entirely. Consider adding a "demographics changed since last analysis" warning badge on the Batson section of the End Report.</w:t>
      </w:r>
    </w:p>
    <w:p>
      <w:pPr>
        <w:spacing w:before="300" w:after="160"/>
      </w:pPr>
      <w:r>
        <w:rPr>
          <w:rFonts w:ascii="Arial" w:cs="Arial" w:eastAsia="Arial" w:hAnsi="Arial"/>
          <w:b/>
          <w:bCs/>
          <w:color w:val="1B3A5C"/>
          <w:sz w:val="26"/>
          <w:szCs w:val="26"/>
        </w:rPr>
        <w:t xml:space="preserve">Priority</w:t>
      </w:r>
    </w:p>
    <w:p>
      <w:pPr>
        <w:pBdr>
          <w:left w:val="single" w:color="2E75B6" w:sz="12" w:space="8"/>
        </w:pBdr>
        <w:shd w:fill="EDF3F8" w:val="clear"/>
        <w:spacing w:before="160" w:after="160"/>
        <w:ind w:left="360" w:right="360"/>
      </w:pPr>
      <w:r>
        <w:rPr>
          <w:rFonts w:ascii="Arial" w:cs="Arial" w:eastAsia="Arial" w:hAnsi="Arial"/>
          <w:color w:val="333333"/>
          <w:sz w:val="20"/>
          <w:szCs w:val="20"/>
        </w:rPr>
        <w:t xml:space="preserve">Critical. A Batson argument built on incorrect race data could damage the attorney’s credibility with the court and potentially result in a mistrial-level error. This should be the highest-priority fix.</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Improvement Recommendations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2026-03-21T17:11:50.105Z</dcterms:created>
  <dcterms:modified xsi:type="dcterms:W3CDTF">2026-03-21T17:11:50.106Z</dcterms:modified>
</cp:coreProperties>
</file>

<file path=docProps/custom.xml><?xml version="1.0" encoding="utf-8"?>
<Properties xmlns="http://schemas.openxmlformats.org/officeDocument/2006/custom-properties" xmlns:vt="http://schemas.openxmlformats.org/officeDocument/2006/docPropsVTypes"/>
</file>