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36"/>
          <w:szCs w:val="36"/>
        </w:rPr>
        <w:t xml:space="preserve">Strategy Module Implementation Guide</w:t>
      </w:r>
    </w:p>
    <w:p>
      <w:pPr>
        <w:spacing w:after="40"/>
      </w:pPr>
      <w:r>
        <w:rPr>
          <w:rFonts w:ascii="Arial" w:cs="Arial" w:eastAsia="Arial" w:hAnsi="Arial"/>
          <w:i/>
          <w:iCs/>
          <w:color w:val="666666"/>
          <w:sz w:val="22"/>
          <w:szCs w:val="22"/>
        </w:rPr>
        <w:t xml:space="preserve">How to wire the category modules and sub-specialization overlays into the Voir Dire Strategy agent</w:t>
      </w:r>
    </w:p>
    <w:p>
      <w:pPr>
        <w:pBdr>
          <w:bottom w:val="single" w:color="2E75B6" w:sz="6" w:space="1"/>
        </w:pBdr>
        <w:spacing w:after="300"/>
      </w:pPr>
    </w:p>
    <w:p>
      <w:pPr>
        <w:spacing w:before="200" w:after="160"/>
      </w:pPr>
      <w:r>
        <w:rPr>
          <w:rFonts w:ascii="Arial" w:cs="Arial" w:eastAsia="Arial" w:hAnsi="Arial"/>
          <w:b/>
          <w:bCs/>
          <w:color w:val="1B3A5C"/>
          <w:sz w:val="28"/>
          <w:szCs w:val="28"/>
        </w:rPr>
        <w:t xml:space="preserve">Architecture</w:t>
      </w:r>
    </w:p>
    <w:p>
      <w:pPr>
        <w:spacing w:after="140" w:line="290"/>
      </w:pPr>
      <w:r>
        <w:rPr>
          <w:rFonts w:ascii="Arial" w:cs="Arial" w:eastAsia="Arial" w:hAnsi="Arial"/>
          <w:sz w:val="20"/>
          <w:szCs w:val="20"/>
        </w:rPr>
        <w:t xml:space="preserve">The strategy modules are injected into the Voir Dire Strategy agent’s system prompt at runtime, based on the attorney’s Phase 1 case setup selections. The injection point is after the existing DECISION RULES section and before STYLE REQUIREMENTS. The existing four if/then decision rules (injury defense, injury plaintiff, medical causation, insurance) should be removed — they are now subsumed by the modules.</w:t>
      </w:r>
    </w:p>
    <w:p>
      <w:pPr>
        <w:spacing w:after="140" w:line="290"/>
      </w:pPr>
      <w:r>
        <w:rPr>
          <w:rFonts w:ascii="Arial" w:cs="Arial" w:eastAsia="Arial" w:hAnsi="Arial"/>
          <w:sz w:val="20"/>
          <w:szCs w:val="20"/>
        </w:rPr>
        <w:t xml:space="preserve">Each prompt sent to the strategy agent will contain at most one category module and at most one sub-specialization overlay. The selection logic is: (1) map the attorney’s area-of-law selection to a category module, (2) if the area of law has a more specific overlay, append it, (3) within the category module, include only the side-specific rules that match the attorney’s side selection (defense or plaintiff/prosecution).</w:t>
      </w:r>
    </w:p>
    <w:p>
      <w:pPr>
        <w:spacing w:before="300" w:after="160"/>
      </w:pPr>
      <w:r>
        <w:rPr>
          <w:rFonts w:ascii="Arial" w:cs="Arial" w:eastAsia="Arial" w:hAnsi="Arial"/>
          <w:b/>
          <w:bCs/>
          <w:color w:val="1B3A5C"/>
          <w:sz w:val="28"/>
          <w:szCs w:val="28"/>
        </w:rPr>
        <w:t xml:space="preserve">Routing Table: Area of Law → Module + Overlay</w:t>
      </w:r>
    </w:p>
    <w:p>
      <w:pPr>
        <w:spacing w:after="120"/>
      </w:pPr>
      <w:r>
        <w:rPr>
          <w:rFonts w:ascii="Arial" w:cs="Arial" w:eastAsia="Arial" w:hAnsi="Arial"/>
          <w:sz w:val="20"/>
          <w:szCs w:val="20"/>
        </w:rPr>
        <w:t xml:space="preserve">When the attorney selects an area of law in Phase 1, use this table to determine which module and overlay to inject.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19"/>
                <w:szCs w:val="19"/>
              </w:rPr>
              <w:t xml:space="preserve">Attorney’s Area of Law Selection</w:t>
            </w:r>
          </w:p>
        </w:tc>
        <w:tc>
          <w:tcPr>
            <w:tcW w:type="dxa" w:w="2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19"/>
                <w:szCs w:val="19"/>
              </w:rPr>
              <w:t xml:space="preserve">Category Module</w:t>
            </w:r>
          </w:p>
        </w:tc>
        <w:tc>
          <w:tcPr>
            <w:tcW w:type="dxa" w:w="336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19"/>
                <w:szCs w:val="19"/>
              </w:rPr>
              <w:t xml:space="preserve">Sub-Specialization Overlay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Criminal Defense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Criminal Law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Criminal Prosecution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Criminal Law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Capital / Homicide Defense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Criminal Law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Capital / Homicide Defense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DUI / DWI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Criminal Law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DUI / DWI</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Drug Offenses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Criminal Law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Drug Offenses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Sex Offenses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Criminal Law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Sex Offenses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White Collar / Federal Criminal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Criminal Law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White Collar / Federal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Domestic Violence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Criminal Law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Domestic Violence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Personal Injury — Plaintiff</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Personal Injury / Tort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Personal Injury — Defense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Personal Injury / Tort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Medical Malpractice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Personal Injury / Tort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Medical Malpractice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Products Liability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Personal Injury / Tort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Products Liability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Wrongful Death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Personal Injury / Tort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Wrongful Death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Trucking / Auto Accidents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Personal Injury / Tort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Trucking / Auto Accidents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Nursing Home / Elder Abuse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Personal Injury / Tort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Nursing Home / Elder Abuse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Toxic Tort / Environmental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Personal Injury / Tort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Toxic Tort / Environmental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Premises Liability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Personal Injury / Tort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Employment Discrimination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Employment Law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Discrimination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Wrongful Termination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Employment Law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Sexual Harassment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Employment Law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Sexual Harassment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Retaliation / Whistleblower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Employment Law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Whistleblower / Retaliation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Wage and Hour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Employment Law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Breach of Contract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Business / Commercial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Business Fraud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Business / Commercial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Fraud / Misrepresentation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Partnership / Shareholder Dispute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Business / Commercial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Trade Secret Misappropriation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Business / Commercial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Trade Secret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Construction Dispute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Business / Commercial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Construction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Breach of Fiduciary Duty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Business / Commercial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Patent Infringement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Intellectual Property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Patent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Trademark Infringement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Intellectual Property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Trademark / Copyright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Copyright Infringement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Intellectual Property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Trademark / Copyright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Section 1983 / Police Misconduct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Civil Rights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Police Excessive Force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Civil Rights Discrimination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Civil Rights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Prisoner Rights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Civil Rights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Prisoner Rights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First Amendment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Civil Rights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Divorce (jury trial states)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Family Law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Custody Dispute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Family Law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Custody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Termination of Parental Rights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Family Law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Termination of Parental Rights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Will Contest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Probate / Estate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Trust Dispute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Probate / Estate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Undue Influence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Probate / Estate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Guardianship / Conservatorship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Probate / Estate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Insurance Bad Faith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Insurance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Bad Faith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Coverage Dispute / UM-UIM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Insurance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Coverage Disputes / UM-UIM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Defamation / Libel / Slander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Personal Injury / Tort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Legal Malpractice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Personal Injury / Tort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Consumer Protection / DTPA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Business / Commercial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Fraud / Misrepresentation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Eminent Domain / Condemnation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Business / Commercial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Jones Act / Maritime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Personal Injury / Tort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(none — base module)</w:t>
            </w:r>
          </w:p>
        </w:tc>
      </w:tr>
    </w:tbl>
    <w:p>
      <w:pPr>
        <w:spacing w:before="360" w:after="160"/>
      </w:pPr>
      <w:r>
        <w:rPr>
          <w:rFonts w:ascii="Arial" w:cs="Arial" w:eastAsia="Arial" w:hAnsi="Arial"/>
          <w:b/>
          <w:bCs/>
          <w:color w:val="1B3A5C"/>
          <w:sz w:val="28"/>
          <w:szCs w:val="28"/>
        </w:rPr>
        <w:t xml:space="preserve">Token Budget</w:t>
      </w:r>
    </w:p>
    <w:p>
      <w:pPr>
        <w:spacing w:after="140" w:line="290"/>
      </w:pPr>
      <w:r>
        <w:rPr>
          <w:rFonts w:ascii="Arial" w:cs="Arial" w:eastAsia="Arial" w:hAnsi="Arial"/>
          <w:sz w:val="20"/>
          <w:szCs w:val="20"/>
        </w:rPr>
        <w:t xml:space="preserve">Each category module is approximately 500–650 tokens. Each sub-specialization overlay adds 150–250 tokens. With one module and one overlay, the total injection is approximately 700–900 tokens. The existing Voir Dire Strategy prompt (system prompt + user prompt with juror data) typically runs 2,000–4,000 tokens depending on panel size. Adding 700–900 tokens is well within the context budget for GPT-5.4 and adds negligible cost.</w:t>
      </w:r>
    </w:p>
    <w:p>
      <w:pPr>
        <w:spacing w:before="300" w:after="160"/>
      </w:pPr>
      <w:r>
        <w:rPr>
          <w:rFonts w:ascii="Arial" w:cs="Arial" w:eastAsia="Arial" w:hAnsi="Arial"/>
          <w:b/>
          <w:bCs/>
          <w:color w:val="1B3A5C"/>
          <w:sz w:val="28"/>
          <w:szCs w:val="28"/>
        </w:rPr>
        <w:t xml:space="preserve">Prompt Assembly Order</w:t>
      </w:r>
    </w:p>
    <w:p>
      <w:pPr>
        <w:spacing w:after="100" w:line="290"/>
      </w:pPr>
      <w:r>
        <w:rPr>
          <w:rFonts w:ascii="Arial" w:cs="Arial" w:eastAsia="Arial" w:hAnsi="Arial"/>
          <w:sz w:val="20"/>
          <w:szCs w:val="20"/>
        </w:rPr>
        <w:t xml:space="preserve">The system prompt should be assembled in this order:</w:t>
      </w:r>
    </w:p>
    <w:p>
      <w:pPr>
        <w:spacing w:after="80"/>
        <w:ind w:left="360"/>
      </w:pPr>
      <w:r>
        <w:rPr>
          <w:rFonts w:ascii="Arial" w:cs="Arial" w:eastAsia="Arial" w:hAnsi="Arial"/>
          <w:sz w:val="20"/>
          <w:szCs w:val="20"/>
        </w:rPr>
        <w:t xml:space="preserve">1. VOIR DIRE STRATEGY AGENT – INSTRUCTION SET (existing header and core mission)</w:t>
      </w:r>
    </w:p>
    <w:p>
      <w:pPr>
        <w:spacing w:after="80"/>
        <w:ind w:left="360"/>
      </w:pPr>
      <w:r>
        <w:rPr>
          <w:rFonts w:ascii="Arial" w:cs="Arial" w:eastAsia="Arial" w:hAnsi="Arial"/>
          <w:sz w:val="20"/>
          <w:szCs w:val="20"/>
        </w:rPr>
        <w:t xml:space="preserve">2. HOW YOU MUST THINK (existing internal reasoning instructions)</w:t>
      </w:r>
    </w:p>
    <w:p>
      <w:pPr>
        <w:spacing w:after="80"/>
        <w:ind w:left="360"/>
      </w:pPr>
      <w:r>
        <w:rPr>
          <w:rFonts w:ascii="Arial" w:cs="Arial" w:eastAsia="Arial" w:hAnsi="Arial"/>
          <w:sz w:val="20"/>
          <w:szCs w:val="20"/>
        </w:rPr>
        <w:t xml:space="preserve">3. [CATEGORY MODULE] — injected based on area of law, with only the relevant side-specific rules included</w:t>
      </w:r>
    </w:p>
    <w:p>
      <w:pPr>
        <w:spacing w:after="80"/>
        <w:ind w:left="360"/>
      </w:pPr>
      <w:r>
        <w:rPr>
          <w:rFonts w:ascii="Arial" w:cs="Arial" w:eastAsia="Arial" w:hAnsi="Arial"/>
          <w:sz w:val="20"/>
          <w:szCs w:val="20"/>
        </w:rPr>
        <w:t xml:space="preserve">4. [SUB-SPECIALIZATION OVERLAY] — appended if the specific area of law has one</w:t>
      </w:r>
    </w:p>
    <w:p>
      <w:pPr>
        <w:spacing w:after="80"/>
        <w:ind w:left="360"/>
      </w:pPr>
      <w:r>
        <w:rPr>
          <w:rFonts w:ascii="Arial" w:cs="Arial" w:eastAsia="Arial" w:hAnsi="Arial"/>
          <w:sz w:val="20"/>
          <w:szCs w:val="20"/>
        </w:rPr>
        <w:t xml:space="preserve">5. STYLE REQUIREMENTS (existing)</w:t>
      </w:r>
    </w:p>
    <w:p>
      <w:pPr>
        <w:spacing w:after="80"/>
        <w:ind w:left="360"/>
      </w:pPr>
      <w:r>
        <w:rPr>
          <w:rFonts w:ascii="Arial" w:cs="Arial" w:eastAsia="Arial" w:hAnsi="Arial"/>
          <w:sz w:val="20"/>
          <w:szCs w:val="20"/>
        </w:rPr>
        <w:t xml:space="preserve">6. HARD PROHIBITIONS (existing)</w:t>
      </w:r>
    </w:p>
    <w:p>
      <w:pPr>
        <w:spacing w:after="80"/>
        <w:ind w:left="360"/>
      </w:pPr>
      <w:r>
        <w:rPr>
          <w:rFonts w:ascii="Arial" w:cs="Arial" w:eastAsia="Arial" w:hAnsi="Arial"/>
          <w:sz w:val="20"/>
          <w:szCs w:val="20"/>
        </w:rPr>
        <w:t xml:space="preserve">7. JSON output format specification (existing)</w:t>
      </w:r>
    </w:p>
    <w:p>
      <w:pPr>
        <w:spacing w:after="80"/>
        <w:ind w:left="360"/>
      </w:pPr>
      <w:r>
        <w:rPr>
          <w:rFonts w:ascii="Arial" w:cs="Arial" w:eastAsia="Arial" w:hAnsi="Arial"/>
          <w:sz w:val="20"/>
          <w:szCs w:val="20"/>
        </w:rPr>
        <w:t xml:space="preserve">8. Question sequencing instructions (existing)</w:t>
      </w:r>
    </w:p>
    <w:p>
      <w:pPr>
        <w:spacing w:before="200" w:after="140" w:line="290"/>
      </w:pPr>
      <w:r>
        <w:rPr>
          <w:rFonts w:ascii="Arial" w:cs="Arial" w:eastAsia="Arial" w:hAnsi="Arial"/>
          <w:sz w:val="20"/>
          <w:szCs w:val="20"/>
        </w:rPr>
        <w:t xml:space="preserve">The category module replaces the existing DECISION RULES section entirely. The four original if/then blocks (defendant in injury case, plaintiff, medical causation, insurance) are now covered by the Personal Injury/Tort module and Insurance module with much greater depth.</w:t>
      </w:r>
    </w:p>
    <w:p>
      <w:pPr>
        <w:spacing w:before="300" w:after="160"/>
      </w:pPr>
      <w:r>
        <w:rPr>
          <w:rFonts w:ascii="Arial" w:cs="Arial" w:eastAsia="Arial" w:hAnsi="Arial"/>
          <w:b/>
          <w:bCs/>
          <w:color w:val="1B3A5C"/>
          <w:sz w:val="28"/>
          <w:szCs w:val="28"/>
        </w:rPr>
        <w:t xml:space="preserve">Side-Specific Filtering</w:t>
      </w:r>
    </w:p>
    <w:p>
      <w:pPr>
        <w:spacing w:after="140" w:line="290"/>
      </w:pPr>
      <w:r>
        <w:rPr>
          <w:rFonts w:ascii="Arial" w:cs="Arial" w:eastAsia="Arial" w:hAnsi="Arial"/>
          <w:sz w:val="20"/>
          <w:szCs w:val="20"/>
        </w:rPr>
        <w:t xml:space="preserve">Each category module contains side-specific rules for both sides. When assembling the prompt, include ONLY the rules for the attorney’s selected side. For example, if the attorney is representing the defense in a criminal case, include the “Side-Specific Rules: Defense” block and omit the prosecution block. This keeps the prompt focused and avoids confusing the model with opposing strategy.</w:t>
      </w:r>
    </w:p>
    <w:p>
      <w:pPr>
        <w:spacing w:before="300" w:after="160"/>
      </w:pPr>
      <w:r>
        <w:rPr>
          <w:rFonts w:ascii="Arial" w:cs="Arial" w:eastAsia="Arial" w:hAnsi="Arial"/>
          <w:b/>
          <w:bCs/>
          <w:color w:val="1B3A5C"/>
          <w:sz w:val="28"/>
          <w:szCs w:val="28"/>
        </w:rPr>
        <w:t xml:space="preserve">Sharing Modules Across Agents</w:t>
      </w:r>
    </w:p>
    <w:p>
      <w:pPr>
        <w:spacing w:after="140" w:line="290"/>
      </w:pPr>
      <w:r>
        <w:rPr>
          <w:rFonts w:ascii="Arial" w:cs="Arial" w:eastAsia="Arial" w:hAnsi="Arial"/>
          <w:sz w:val="20"/>
          <w:szCs w:val="20"/>
        </w:rPr>
        <w:t xml:space="preserve">The category modules are designed primarily for the Voir Dire Strategy agent, but the dangerous juror archetypes and bias patterns sections are also valuable for the Juror Risk Assessment agent (both full analysis and brief summary), the Strike-for-Cause agent, and the AI Chat Assistant. Consider extracting the archetypes and bias patterns into a shared context block that is appended to these agents’ prompts as well. This ensures consistent strategic framing across all AI outputs.</w:t>
      </w:r>
    </w:p>
    <w:p>
      <w:pPr>
        <w:spacing w:before="300" w:after="160"/>
      </w:pPr>
      <w:r>
        <w:rPr>
          <w:rFonts w:ascii="Arial" w:cs="Arial" w:eastAsia="Arial" w:hAnsi="Arial"/>
          <w:b/>
          <w:bCs/>
          <w:color w:val="1B3A5C"/>
          <w:sz w:val="28"/>
          <w:szCs w:val="28"/>
        </w:rPr>
        <w:t xml:space="preserve">Maintenance and Extension</w:t>
      </w:r>
    </w:p>
    <w:p>
      <w:pPr>
        <w:spacing w:after="140" w:line="290"/>
      </w:pPr>
      <w:r>
        <w:rPr>
          <w:rFonts w:ascii="Arial" w:cs="Arial" w:eastAsia="Arial" w:hAnsi="Arial"/>
          <w:sz w:val="20"/>
          <w:szCs w:val="20"/>
        </w:rPr>
        <w:t xml:space="preserve">To add a new area of law: (1) determine which category module it falls under, (2) if the existing base module covers it adequately, just add a row to the routing table, (3) if it has unique bias patterns or archetypes not covered by the base module, create a new sub-specialization overlay. Overlays are cheap to create (150–250 tokens each) and do not affect any other area of law.</w:t>
      </w:r>
    </w:p>
    <w:p>
      <w:pPr>
        <w:spacing w:after="140" w:line="290"/>
      </w:pPr>
      <w:r>
        <w:rPr>
          <w:rFonts w:ascii="Arial" w:cs="Arial" w:eastAsia="Arial" w:hAnsi="Arial"/>
          <w:sz w:val="20"/>
          <w:szCs w:val="20"/>
        </w:rPr>
        <w:t xml:space="preserve">To refine an existing module: edit the module text directly. Changes propagate to every case that uses that module. Track module versions alongside the application version so you can correlate output quality changes with module edits.</w:t>
      </w:r>
    </w:p>
    <w:p>
      <w:pPr>
        <w:pBdr>
          <w:top w:val="single" w:color="CCCCCC" w:sz="2" w:space="6"/>
        </w:pBdr>
        <w:spacing w:before="400"/>
      </w:pPr>
    </w:p>
    <w:p>
      <w:pPr>
        <w:spacing w:before="80"/>
      </w:pPr>
      <w:r>
        <w:rPr>
          <w:rFonts w:ascii="Arial" w:cs="Arial" w:eastAsia="Arial" w:hAnsi="Arial"/>
          <w:i/>
          <w:iCs/>
          <w:color w:val="999999"/>
          <w:sz w:val="16"/>
          <w:szCs w:val="16"/>
        </w:rPr>
        <w:t xml:space="preserve">Voir Dire Analyst — Strategy Modules Implementation Guide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2026-03-21T23:07:34.018Z</dcterms:created>
  <dcterms:modified xsi:type="dcterms:W3CDTF">2026-03-21T23:07:34.019Z</dcterms:modified>
</cp:coreProperties>
</file>

<file path=docProps/custom.xml><?xml version="1.0" encoding="utf-8"?>
<Properties xmlns="http://schemas.openxmlformats.org/officeDocument/2006/custom-properties" xmlns:vt="http://schemas.openxmlformats.org/officeDocument/2006/docPropsVTypes"/>
</file>