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Interview Guide and Talking Points</w:t>
      </w:r>
    </w:p>
    <w:p>
      <w:pPr>
        <w:jc w:val="center"/>
      </w:pPr>
      <w:r>
        <w:rPr>
          <w:i/>
          <w:sz w:val="22"/>
        </w:rPr>
        <w:t>Sector Reversal Rotation - explained from first principles</w:t>
      </w:r>
    </w:p>
    <w:p/>
    <w:p>
      <w:pPr>
        <w:pStyle w:val="Heading1"/>
      </w:pPr>
      <w:r>
        <w:t>The 30-second explanation</w:t>
      </w:r>
    </w:p>
    <w:p>
      <w:r>
        <w:t>I built a rules-based strategy that compares the recent performance of 11 stock-market sectors. Every 20 trading days, it buys the three sectors that performed worst over the prior 20 trading days. The idea is short-term mean reversion: sectors can become temporarily oversold and then bounce back. I included a one-day execution lag, transaction costs, portfolio weights, and standard risk metrics so the backtest is reproducible.</w:t>
      </w:r>
    </w:p>
    <w:p>
      <w:pPr>
        <w:pStyle w:val="Heading1"/>
      </w:pPr>
      <w:r>
        <w:t>Explain it like I am new to finance</w:t>
      </w:r>
    </w:p>
    <w:p>
      <w:pPr>
        <w:pStyle w:val="ListBullet"/>
      </w:pPr>
      <w:r>
        <w:t>A sector ETF is a basket of companies from one part of the economy, such as technology or energy.</w:t>
      </w:r>
    </w:p>
    <w:p>
      <w:pPr>
        <w:pStyle w:val="ListBullet"/>
      </w:pPr>
      <w:r>
        <w:t>Return means percentage price change. A stock moving from $100 to $105 has a 5% return.</w:t>
      </w:r>
    </w:p>
    <w:p>
      <w:pPr>
        <w:pStyle w:val="ListBullet"/>
      </w:pPr>
      <w:r>
        <w:t>Ranking means sorting sectors from best to worst.</w:t>
      </w:r>
    </w:p>
    <w:p>
      <w:pPr>
        <w:pStyle w:val="ListBullet"/>
      </w:pPr>
      <w:r>
        <w:t>Mean reversion means unusually weak performance may partially reverse toward normal.</w:t>
      </w:r>
    </w:p>
    <w:p>
      <w:pPr>
        <w:pStyle w:val="ListBullet"/>
      </w:pPr>
      <w:r>
        <w:t>Equal weighting means splitting the money evenly among the selected sectors.</w:t>
      </w:r>
    </w:p>
    <w:p>
      <w:pPr>
        <w:pStyle w:val="ListBullet"/>
      </w:pPr>
      <w:r>
        <w:t>A backtest applies the rule to old data as though the decisions were made at that time.</w:t>
      </w:r>
    </w:p>
    <w:p>
      <w:pPr>
        <w:pStyle w:val="Heading1"/>
      </w:pPr>
      <w:r>
        <w:t>Why the one-day lag matters</w:t>
      </w:r>
    </w:p>
    <w:p>
      <w:r>
        <w:t>Without a lag, code can accidentally use a closing price to create a position that earns that same day's return. That is impossible in real trading. I calculate the signal at day t and apply the weight starting on day t+1.</w:t>
      </w:r>
    </w:p>
    <w:p>
      <w:pPr>
        <w:pStyle w:val="Heading1"/>
      </w:pPr>
      <w:r>
        <w:t>Key mathematics in plain English</w:t>
      </w:r>
    </w:p>
    <w:p>
      <w:pPr>
        <w:pStyle w:val="ListBullet"/>
      </w:pPr>
      <w:r>
        <w:t>20-day return = current adjusted price divided by the price 20 trading days ago, minus one.</w:t>
      </w:r>
    </w:p>
    <w:p>
      <w:pPr>
        <w:pStyle w:val="ListBullet"/>
      </w:pPr>
      <w:r>
        <w:t>Portfolio return = weighted average of the selected sector returns.</w:t>
      </w:r>
    </w:p>
    <w:p>
      <w:pPr>
        <w:pStyle w:val="ListBullet"/>
      </w:pPr>
      <w:r>
        <w:t>Turnover = how much the portfolio weights change when rebalancing.</w:t>
      </w:r>
    </w:p>
    <w:p>
      <w:pPr>
        <w:pStyle w:val="ListBullet"/>
      </w:pPr>
      <w:r>
        <w:t>Transaction cost = turnover multiplied by 0.10%.</w:t>
      </w:r>
    </w:p>
    <w:p>
      <w:pPr>
        <w:pStyle w:val="ListBullet"/>
      </w:pPr>
      <w:r>
        <w:t>Sharpe ratio = return per unit of volatility; higher is better, but it can be inflated by a short or overfit sample.</w:t>
      </w:r>
    </w:p>
    <w:p>
      <w:pPr>
        <w:pStyle w:val="ListBullet"/>
      </w:pPr>
      <w:r>
        <w:t>Maximum drawdown = the worst percentage fall from a previous portfolio peak.</w:t>
      </w:r>
    </w:p>
    <w:p>
      <w:pPr>
        <w:pStyle w:val="Heading1"/>
      </w:pPr>
      <w:r>
        <w:t>Results you can state carefully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Strategy</w:t>
            </w:r>
          </w:p>
        </w:tc>
        <w:tc>
          <w:tcPr>
            <w:tcW w:type="dxa" w:w="2880"/>
          </w:tcPr>
          <w:p>
            <w:r>
              <w:t>SPY</w:t>
            </w:r>
          </w:p>
        </w:tc>
      </w:tr>
      <w:tr>
        <w:tc>
          <w:tcPr>
            <w:tcW w:type="dxa" w:w="2880"/>
          </w:tcPr>
          <w:p>
            <w:r>
              <w:t>Total Return</w:t>
            </w:r>
          </w:p>
        </w:tc>
        <w:tc>
          <w:tcPr>
            <w:tcW w:type="dxa" w:w="2880"/>
          </w:tcPr>
          <w:p>
            <w:r>
              <w:t>39.6%</w:t>
            </w:r>
          </w:p>
        </w:tc>
        <w:tc>
          <w:tcPr>
            <w:tcW w:type="dxa" w:w="2880"/>
          </w:tcPr>
          <w:p>
            <w:r>
              <w:t>31.1%</w:t>
            </w:r>
          </w:p>
        </w:tc>
      </w:tr>
      <w:tr>
        <w:tc>
          <w:tcPr>
            <w:tcW w:type="dxa" w:w="2880"/>
          </w:tcPr>
          <w:p>
            <w:r>
              <w:t>CAGR</w:t>
            </w:r>
          </w:p>
        </w:tc>
        <w:tc>
          <w:tcPr>
            <w:tcW w:type="dxa" w:w="2880"/>
          </w:tcPr>
          <w:p>
            <w:r>
              <w:t>39.6%</w:t>
            </w:r>
          </w:p>
        </w:tc>
        <w:tc>
          <w:tcPr>
            <w:tcW w:type="dxa" w:w="2880"/>
          </w:tcPr>
          <w:p>
            <w:r>
              <w:t>31.1%</w:t>
            </w:r>
          </w:p>
        </w:tc>
      </w:tr>
      <w:tr>
        <w:tc>
          <w:tcPr>
            <w:tcW w:type="dxa" w:w="2880"/>
          </w:tcPr>
          <w:p>
            <w:r>
              <w:t>Annualized Volatility</w:t>
            </w:r>
          </w:p>
        </w:tc>
        <w:tc>
          <w:tcPr>
            <w:tcW w:type="dxa" w:w="2880"/>
          </w:tcPr>
          <w:p>
            <w:r>
              <w:t>10.5%</w:t>
            </w:r>
          </w:p>
        </w:tc>
        <w:tc>
          <w:tcPr>
            <w:tcW w:type="dxa" w:w="2880"/>
          </w:tcPr>
          <w:p>
            <w:r>
              <w:t>12.5%</w:t>
            </w:r>
          </w:p>
        </w:tc>
      </w:tr>
      <w:tr>
        <w:tc>
          <w:tcPr>
            <w:tcW w:type="dxa" w:w="2880"/>
          </w:tcPr>
          <w:p>
            <w:r>
              <w:t>Sharpe (rf=0)</w:t>
            </w:r>
          </w:p>
        </w:tc>
        <w:tc>
          <w:tcPr>
            <w:tcW w:type="dxa" w:w="2880"/>
          </w:tcPr>
          <w:p>
            <w:r>
              <w:t>3.22</w:t>
            </w:r>
          </w:p>
        </w:tc>
        <w:tc>
          <w:tcPr>
            <w:tcW w:type="dxa" w:w="2880"/>
          </w:tcPr>
          <w:p>
            <w:r>
              <w:t>2.23</w:t>
            </w:r>
          </w:p>
        </w:tc>
      </w:tr>
      <w:tr>
        <w:tc>
          <w:tcPr>
            <w:tcW w:type="dxa" w:w="2880"/>
          </w:tcPr>
          <w:p>
            <w:r>
              <w:t>Max Drawdown</w:t>
            </w:r>
          </w:p>
        </w:tc>
        <w:tc>
          <w:tcPr>
            <w:tcW w:type="dxa" w:w="2880"/>
          </w:tcPr>
          <w:p>
            <w:r>
              <w:t>-3.6%</w:t>
            </w:r>
          </w:p>
        </w:tc>
        <w:tc>
          <w:tcPr>
            <w:tcW w:type="dxa" w:w="2880"/>
          </w:tcPr>
          <w:p>
            <w:r>
              <w:t>-6.6%</w:t>
            </w:r>
          </w:p>
        </w:tc>
      </w:tr>
      <w:tr>
        <w:tc>
          <w:tcPr>
            <w:tcW w:type="dxa" w:w="2880"/>
          </w:tcPr>
          <w:p>
            <w:r>
              <w:t>Positive Days</w:t>
            </w:r>
          </w:p>
        </w:tc>
        <w:tc>
          <w:tcPr>
            <w:tcW w:type="dxa" w:w="2880"/>
          </w:tcPr>
          <w:p>
            <w:r>
              <w:t>53.2%</w:t>
            </w:r>
          </w:p>
        </w:tc>
        <w:tc>
          <w:tcPr>
            <w:tcW w:type="dxa" w:w="2880"/>
          </w:tcPr>
          <w:p>
            <w:r>
              <w:t>59.1%</w:t>
            </w:r>
          </w:p>
        </w:tc>
      </w:tr>
    </w:tbl>
    <w:p>
      <w:r>
        <w:t>Use this wording: “On the included 2019 in-sample dataset, the selected specification returned 39.6% versus 31.1% for SPY and had a maximum drawdown of 3.6% versus 6.6%. Because I selected parameters after examining the sample, I treat this as hypothesis generation, not proof of an investable edge.”</w:t>
      </w:r>
    </w:p>
    <w:p>
      <w:pPr>
        <w:pStyle w:val="Heading1"/>
      </w:pPr>
      <w:r>
        <w:t>Likely interview questions</w:t>
      </w:r>
    </w:p>
    <w:p>
      <w:r>
        <w:rPr>
          <w:b/>
        </w:rPr>
        <w:t>Why mean reversion instead of momentum?</w:t>
      </w:r>
    </w:p>
    <w:p>
      <w:r>
        <w:t>I tested relative sector behavior and found that short-horizon laggards reversed in this sample. Economically, broad sectors can overshoot after flows or news, but I would test both reversal and momentum out of sample.</w:t>
      </w:r>
    </w:p>
    <w:p>
      <w:r>
        <w:rPr>
          <w:b/>
        </w:rPr>
        <w:t>Is this look-ahead biased?</w:t>
      </w:r>
    </w:p>
    <w:p>
      <w:r>
        <w:t>The trade implementation is not same-bar look-ahead biased because weights are shifted one day. However, the project deliberately contains parameter-selection bias because the final lookback and portfolio size were selected in sample.</w:t>
      </w:r>
    </w:p>
    <w:p>
      <w:r>
        <w:rPr>
          <w:b/>
        </w:rPr>
        <w:t>Why use adjusted prices?</w:t>
      </w:r>
    </w:p>
    <w:p>
      <w:r>
        <w:t>Adjusted prices account for distributions and splits, making historical returns more comparable.</w:t>
      </w:r>
    </w:p>
    <w:p>
      <w:r>
        <w:rPr>
          <w:b/>
        </w:rPr>
        <w:t>Why 20 days?</w:t>
      </w:r>
    </w:p>
    <w:p>
      <w:r>
        <w:t>It approximates one trading month. It was also selected from a parameter search, which is why longer out-of-sample testing is essential.</w:t>
      </w:r>
    </w:p>
    <w:p>
      <w:r>
        <w:rPr>
          <w:b/>
        </w:rPr>
        <w:t>What would you do next?</w:t>
      </w:r>
    </w:p>
    <w:p>
      <w:r>
        <w:t>Use walk-forward validation over 2005-present data, stress transaction costs, test nearby parameters, compare alternative benchmarks, and report confidence intervals.</w:t>
      </w:r>
    </w:p>
    <w:p>
      <w:r>
        <w:rPr>
          <w:b/>
        </w:rPr>
        <w:t>Would you trade this with real money?</w:t>
      </w:r>
    </w:p>
    <w:p>
      <w:r>
        <w:t>Not based on this result alone. I would require out-of-sample stability, paper trading, execution analysis, and explicit risk limits.</w:t>
      </w:r>
    </w:p>
    <w:p>
      <w:pPr>
        <w:pStyle w:val="Heading1"/>
      </w:pPr>
      <w:r>
        <w:t>What not to claim</w:t>
      </w:r>
    </w:p>
    <w:p>
      <w:pPr>
        <w:pStyle w:val="ListBullet"/>
      </w:pPr>
      <w:r>
        <w:t>Do not say the model guarantees profits.</w:t>
      </w:r>
    </w:p>
    <w:p>
      <w:pPr>
        <w:pStyle w:val="ListBullet"/>
      </w:pPr>
      <w:r>
        <w:t>Do not call the 2019 result out-of-sample.</w:t>
      </w:r>
    </w:p>
    <w:p>
      <w:pPr>
        <w:pStyle w:val="ListBullet"/>
      </w:pPr>
      <w:r>
        <w:t>Do not hide that parameters were selected after testing alternatives.</w:t>
      </w:r>
    </w:p>
    <w:p>
      <w:pPr>
        <w:pStyle w:val="ListBullet"/>
      </w:pPr>
      <w:r>
        <w:t>Do not imply the high Sharpe ratio is stable across decades.</w:t>
      </w:r>
    </w:p>
    <w:p>
      <w:pPr>
        <w:pStyle w:val="Heading1"/>
      </w:pPr>
      <w:r>
        <w:t>Strong resume bullets</w:t>
      </w:r>
    </w:p>
    <w:p>
      <w:pPr>
        <w:pStyle w:val="ListBullet"/>
      </w:pPr>
      <w:r>
        <w:t>Developed an event-driven Python backtester for an 11-sector ETF rotation strategy with lagged signals, transaction costs, allocation records, and automated performance reports.</w:t>
      </w:r>
    </w:p>
    <w:p>
      <w:pPr>
        <w:pStyle w:val="ListBullet"/>
      </w:pPr>
      <w:r>
        <w:t>Implemented cross-sectional mean-reversion ranking and evaluated CAGR, volatility, Sharpe ratio, turnover, and maximum drawdown against SPY.</w:t>
      </w:r>
    </w:p>
    <w:p>
      <w:pPr>
        <w:pStyle w:val="ListBullet"/>
      </w:pPr>
      <w:r>
        <w:t>Documented model risk, multiple-testing bias, and a walk-forward validation roadmap to distinguish research performance from deployable alpha.</w:t>
      </w:r>
    </w:p>
    <w:p>
      <w:pPr>
        <w:pStyle w:val="Heading1"/>
      </w:pPr>
      <w:r>
        <w:t>Code walkthrough</w:t>
      </w:r>
    </w:p>
    <w:p>
      <w:pPr>
        <w:pStyle w:val="ListBullet"/>
      </w:pPr>
      <w:r>
        <w:t>load_prices(): reads the included CSV or downloads Yahoo Finance data.</w:t>
      </w:r>
    </w:p>
    <w:p>
      <w:pPr>
        <w:pStyle w:val="ListBullet"/>
      </w:pPr>
      <w:r>
        <w:t>backtest(): calculates trailing returns, ranks sectors, builds weights, shifts execution, and subtracts costs.</w:t>
      </w:r>
    </w:p>
    <w:p>
      <w:pPr>
        <w:pStyle w:val="ListBullet"/>
      </w:pPr>
      <w:r>
        <w:t>stats(): calculates return and risk metrics.</w:t>
      </w:r>
    </w:p>
    <w:p>
      <w:pPr>
        <w:pStyle w:val="ListBullet"/>
      </w:pPr>
      <w:r>
        <w:t>save_outputs(): exports CSVs and charts for auditability.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