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37FB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 编码</w:t>
      </w:r>
    </w:p>
    <w:p w14:paraId="21B7A3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对数字基带信号变换，使其与信道特性相适应，调制后仍为数字基带信号；</w:t>
      </w:r>
    </w:p>
    <w:p w14:paraId="4C3E6C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作用：</w:t>
      </w:r>
    </w:p>
    <w:p w14:paraId="1A02FFB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当连续出现多个相同bit电位时，接收段无法判断bit的起止时间，导致时钟漂移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和位同步丢失；</w:t>
      </w:r>
    </w:p>
    <w:p w14:paraId="616E747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长时间高电平或低电平会导致变压器耦合或交流耦合的传输失真，因为耦合需要波动的电位产生磁场；</w:t>
      </w:r>
    </w:p>
    <w:p w14:paraId="1B13458F">
      <w:pPr>
        <w:numPr>
          <w:ilvl w:val="0"/>
          <w:numId w:val="1"/>
        </w:numPr>
        <w:rPr>
          <w:rFonts w:hint="default"/>
          <w:lang w:val="en-US" w:eastAsia="zh-CN"/>
        </w:rPr>
      </w:pPr>
    </w:p>
    <w:p w14:paraId="04B5AC21">
      <w:r>
        <w:drawing>
          <wp:inline distT="0" distB="0" distL="114300" distR="114300">
            <wp:extent cx="3590925" cy="29527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0F36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上面的NRZ是NRZ-L;一般编码使用的是NRZ-I,即“1”翻转“0”不变</w:t>
      </w:r>
      <w:bookmarkStart w:id="0" w:name="_GoBack"/>
      <w:bookmarkEnd w:id="0"/>
    </w:p>
    <w:p w14:paraId="2569B1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 调制</w:t>
      </w:r>
    </w:p>
    <w:p w14:paraId="027E7A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将数字基带信号的频率转换到更高频率，并转换成模拟频率，使其在模拟信道传输；</w:t>
      </w:r>
    </w:p>
    <w:p w14:paraId="34C134A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362450" cy="24860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8E4BC8"/>
    <w:multiLevelType w:val="singleLevel"/>
    <w:tmpl w:val="528E4BC8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681BB4"/>
    <w:rsid w:val="3DD23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165</Words>
  <Characters>169</Characters>
  <Lines>0</Lines>
  <Paragraphs>0</Paragraphs>
  <TotalTime>376</TotalTime>
  <ScaleCrop>false</ScaleCrop>
  <LinksUpToDate>false</LinksUpToDate>
  <CharactersWithSpaces>172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2026-03-18T23:00:00Z</dcterms:created>
  <dc:creator>Administrator</dc:creator>
  <cp:lastModifiedBy>一只咸鱼</cp:lastModifiedBy>
  <dcterms:modified xsi:type="dcterms:W3CDTF">2026-05-06T03:11:51Z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eyJoZGlkIjoiN2FjZmM0ODk2YWNkYWViMjUxZjVjMDA3MDg4Y2E2MjciLCJ1c2VySWQiOiIxMzAwMzQzODUyIn0=</vt:lpwstr>
  </property>
  <property fmtid="{D5CDD505-2E9C-101B-9397-08002B2CF9AE}" pid="4" name="ICV">
    <vt:lpwstr>7080E261DE1148CA9BDE25F2E163463B_12</vt:lpwstr>
  </property>
</Properties>
</file>