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rPr>
      </w:pPr>
      <w:r w:rsidDel="00000000" w:rsidR="00000000" w:rsidRPr="00000000">
        <w:rPr>
          <w:b w:val="1"/>
          <w:bCs w:val="1"/>
          <w:i w:val="1"/>
          <w:iCs w:val="1"/>
          <w:rtl w:val="0"/>
        </w:rPr>
        <w:t xml:space="preserve">“NOSE EN QUE MEJORÓ EL DOCUMENTO PERO ALGO LE HIZO”</w:t>
      </w:r>
    </w:p>
    <w:p w:rsidR="00000000" w:rsidDel="00000000" w:rsidP="00000000" w:rsidRDefault="00000000" w:rsidRPr="00000000" w14:paraId="00000002">
      <w:pPr>
        <w:rPr>
          <w:b w:val="1"/>
          <w:bCs w:val="1"/>
          <w:i w:val="1"/>
          <w:iCs w:val="1"/>
        </w:rPr>
      </w:pPr>
      <w:r w:rsidDel="00000000" w:rsidR="00000000" w:rsidRPr="00000000">
        <w:rPr>
          <w:rtl w:val="0"/>
        </w:rPr>
      </w:r>
    </w:p>
    <w:p w:rsidR="00000000" w:rsidDel="00000000" w:rsidP="00000000" w:rsidRDefault="00000000" w:rsidRPr="00000000" w14:paraId="00000003">
      <w:pPr>
        <w:rPr>
          <w:b w:val="1"/>
          <w:bCs w:val="1"/>
          <w:i w:val="1"/>
          <w:iCs w:val="1"/>
        </w:rPr>
      </w:pPr>
      <w:r w:rsidDel="00000000" w:rsidR="00000000" w:rsidRPr="00000000">
        <w:rPr>
          <w:rtl w:val="0"/>
        </w:rPr>
      </w:r>
    </w:p>
    <w:p w:rsidR="00000000" w:rsidDel="00000000" w:rsidP="00000000" w:rsidRDefault="00000000" w:rsidRPr="00000000" w14:paraId="00000004">
      <w:pPr>
        <w:rPr>
          <w:b w:val="1"/>
          <w:bCs w:val="1"/>
          <w:i w:val="1"/>
          <w:iCs w:val="1"/>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Agricultor </w:t>
      </w:r>
    </w:p>
    <w:p w:rsidR="00000000" w:rsidDel="00000000" w:rsidP="00000000" w:rsidRDefault="00000000" w:rsidRPr="00000000" w14:paraId="00000006">
      <w:pPr>
        <w:rPr>
          <w:b w:val="1"/>
          <w:bCs w:val="1"/>
          <w:i w:val="1"/>
          <w:iCs w:val="1"/>
        </w:rPr>
      </w:pPr>
      <w:r w:rsidDel="00000000" w:rsidR="00000000" w:rsidRPr="00000000">
        <w:rPr>
          <w:rtl w:val="0"/>
        </w:rPr>
      </w:r>
    </w:p>
    <w:p w:rsidR="00000000" w:rsidDel="00000000" w:rsidP="00000000" w:rsidRDefault="00000000" w:rsidRPr="00000000" w14:paraId="00000007">
      <w:pPr>
        <w:rPr>
          <w:b w:val="1"/>
          <w:bCs w:val="1"/>
          <w:i w:val="1"/>
          <w:iCs w:val="1"/>
        </w:rPr>
      </w:pPr>
      <w:r w:rsidDel="00000000" w:rsidR="00000000" w:rsidRPr="00000000">
        <w:rPr>
          <w:b w:val="1"/>
          <w:bCs w:val="1"/>
          <w:i w:val="1"/>
          <w:iCs w:val="1"/>
          <w:rtl w:val="0"/>
        </w:rPr>
        <w:t xml:space="preserve">que tenemos que hacer</w:t>
      </w:r>
    </w:p>
    <w:p w:rsidR="00000000" w:rsidDel="00000000" w:rsidP="00000000" w:rsidRDefault="00000000" w:rsidRPr="00000000" w14:paraId="00000008">
      <w:pPr>
        <w:rPr>
          <w:b w:val="1"/>
          <w:bCs w:val="1"/>
          <w:i w:val="1"/>
          <w:iCs w:val="1"/>
        </w:rPr>
      </w:pPr>
      <w:r w:rsidDel="00000000" w:rsidR="00000000" w:rsidRPr="00000000">
        <w:rPr>
          <w:b w:val="1"/>
          <w:bCs w:val="1"/>
          <w:i w:val="1"/>
          <w:iCs w:val="1"/>
          <w:rtl w:val="0"/>
        </w:rPr>
        <w:tab/>
      </w:r>
    </w:p>
    <w:p w:rsidR="00000000" w:rsidDel="00000000" w:rsidP="00000000" w:rsidRDefault="00000000" w:rsidRPr="00000000" w14:paraId="00000009">
      <w:pPr>
        <w:rPr>
          <w:b w:val="1"/>
          <w:bCs w:val="1"/>
          <w:i w:val="1"/>
          <w:iCs w:val="1"/>
        </w:rPr>
      </w:pPr>
      <w:r w:rsidDel="00000000" w:rsidR="00000000" w:rsidRPr="00000000">
        <w:rPr>
          <w:b w:val="1"/>
          <w:bCs w:val="1"/>
          <w:i w:val="1"/>
          <w:iCs w:val="1"/>
          <w:rtl w:val="0"/>
        </w:rPr>
        <w:t xml:space="preserve">TRELLO APP</w:t>
      </w:r>
    </w:p>
    <w:p w:rsidR="00000000" w:rsidDel="00000000" w:rsidP="00000000" w:rsidRDefault="00000000" w:rsidRPr="00000000" w14:paraId="0000000A">
      <w:pPr>
        <w:rPr>
          <w:b w:val="1"/>
          <w:bCs w:val="1"/>
          <w:i w:val="1"/>
          <w:iCs w:val="1"/>
        </w:rPr>
      </w:pPr>
      <w:r w:rsidDel="00000000" w:rsidR="00000000" w:rsidRPr="00000000">
        <w:rPr>
          <w:rtl w:val="0"/>
        </w:rPr>
      </w:r>
    </w:p>
    <w:p w:rsidR="00000000" w:rsidDel="00000000" w:rsidP="00000000" w:rsidRDefault="00000000" w:rsidRPr="00000000" w14:paraId="0000000B">
      <w:pPr>
        <w:rPr>
          <w:b w:val="1"/>
          <w:bCs w:val="1"/>
          <w:i w:val="1"/>
          <w:iCs w:val="1"/>
          <w:color w:val="ff0000"/>
        </w:rPr>
      </w:pPr>
      <w:r w:rsidDel="00000000" w:rsidR="00000000" w:rsidRPr="00000000">
        <w:rPr>
          <w:b w:val="1"/>
          <w:bCs w:val="1"/>
          <w:i w:val="1"/>
          <w:iCs w:val="1"/>
          <w:color w:val="ff0000"/>
          <w:rtl w:val="0"/>
        </w:rPr>
        <w:t xml:space="preserve">entregar en la semana 4 “</w:t>
      </w:r>
      <w:r w:rsidDel="00000000" w:rsidR="00000000" w:rsidRPr="00000000">
        <w:rPr>
          <w:b w:val="1"/>
          <w:bCs w:val="1"/>
          <w:i w:val="1"/>
          <w:iCs w:val="1"/>
          <w:color w:val="ff0000"/>
          <w:rtl w:val="0"/>
        </w:rPr>
        <w:t xml:space="preserve">autoevaluación</w:t>
      </w:r>
      <w:r w:rsidDel="00000000" w:rsidR="00000000" w:rsidRPr="00000000">
        <w:rPr>
          <w:b w:val="1"/>
          <w:bCs w:val="1"/>
          <w:i w:val="1"/>
          <w:iCs w:val="1"/>
          <w:color w:val="ff0000"/>
          <w:rtl w:val="0"/>
        </w:rPr>
        <w:t xml:space="preserve"> de competencia”</w:t>
      </w:r>
    </w:p>
    <w:p w:rsidR="00000000" w:rsidDel="00000000" w:rsidP="00000000" w:rsidRDefault="00000000" w:rsidRPr="00000000" w14:paraId="0000000C">
      <w:pPr>
        <w:rPr>
          <w:b w:val="1"/>
          <w:bCs w:val="1"/>
          <w:i w:val="1"/>
          <w:iCs w:val="1"/>
        </w:rPr>
      </w:pPr>
      <w:r w:rsidDel="00000000" w:rsidR="00000000" w:rsidRPr="00000000">
        <w:rPr>
          <w:rtl w:val="0"/>
        </w:rPr>
      </w:r>
    </w:p>
    <w:p w:rsidR="00000000" w:rsidDel="00000000" w:rsidP="00000000" w:rsidRDefault="00000000" w:rsidRPr="00000000" w14:paraId="0000000D">
      <w:pPr>
        <w:rPr>
          <w:b w:val="1"/>
          <w:bCs w:val="1"/>
          <w:i w:val="1"/>
          <w:iCs w:val="1"/>
        </w:rPr>
      </w:pPr>
      <w:r w:rsidDel="00000000" w:rsidR="00000000" w:rsidRPr="00000000">
        <w:rPr>
          <w:rtl w:val="0"/>
        </w:rPr>
      </w:r>
    </w:p>
    <w:p w:rsidR="00000000" w:rsidDel="00000000" w:rsidP="00000000" w:rsidRDefault="00000000" w:rsidRPr="00000000" w14:paraId="0000000E">
      <w:pPr>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000F">
      <w:pPr>
        <w:rPr>
          <w:b w:val="1"/>
          <w:bCs w:val="1"/>
          <w:i w:val="1"/>
          <w:iCs w:val="1"/>
        </w:rPr>
      </w:pPr>
      <w:r w:rsidDel="00000000" w:rsidR="00000000" w:rsidRPr="00000000">
        <w:rPr>
          <w:rtl w:val="0"/>
        </w:rPr>
      </w:r>
    </w:p>
    <w:p w:rsidR="00000000" w:rsidDel="00000000" w:rsidP="00000000" w:rsidRDefault="00000000" w:rsidRPr="00000000" w14:paraId="00000010">
      <w:pPr>
        <w:rPr>
          <w:b w:val="1"/>
          <w:bCs w:val="1"/>
          <w:i w:val="1"/>
          <w:iCs w:val="1"/>
        </w:rPr>
      </w:pPr>
      <w:r w:rsidDel="00000000" w:rsidR="00000000" w:rsidRPr="00000000">
        <w:rPr>
          <w:rtl w:val="0"/>
        </w:rPr>
      </w:r>
    </w:p>
    <w:p w:rsidR="00000000" w:rsidDel="00000000" w:rsidP="00000000" w:rsidRDefault="00000000" w:rsidRPr="00000000" w14:paraId="00000011">
      <w:pPr>
        <w:rPr>
          <w:b w:val="1"/>
          <w:bCs w:val="1"/>
          <w:i w:val="1"/>
          <w:iCs w:val="1"/>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1oopdug3o5x8" w:id="0"/>
      <w:bookmarkEnd w:id="0"/>
      <w:r w:rsidDel="00000000" w:rsidR="00000000" w:rsidRPr="00000000">
        <w:rPr>
          <w:b w:val="1"/>
          <w:bCs w:val="1"/>
          <w:sz w:val="46"/>
          <w:szCs w:val="46"/>
          <w:rtl w:val="0"/>
        </w:rPr>
        <w:t xml:space="preserve">Justificación del Proyecto</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5dxpncqyuja" w:id="1"/>
      <w:bookmarkEnd w:id="1"/>
      <w:r w:rsidDel="00000000" w:rsidR="00000000" w:rsidRPr="00000000">
        <w:rPr>
          <w:b w:val="1"/>
          <w:bCs w:val="1"/>
          <w:sz w:val="34"/>
          <w:szCs w:val="34"/>
          <w:rtl w:val="0"/>
        </w:rPr>
        <w:t xml:space="preserve">1. Contexto</w:t>
      </w:r>
    </w:p>
    <w:p w:rsidR="00000000" w:rsidDel="00000000" w:rsidP="00000000" w:rsidRDefault="00000000" w:rsidRPr="00000000" w14:paraId="00000014">
      <w:pPr>
        <w:spacing w:after="240" w:before="240" w:lineRule="auto"/>
        <w:rPr/>
      </w:pPr>
      <w:r w:rsidDel="00000000" w:rsidR="00000000" w:rsidRPr="00000000">
        <w:rPr>
          <w:rtl w:val="0"/>
        </w:rPr>
        <w:t xml:space="preserve">La agricultura de la zona central de Chile está compuesta en gran parte por pequeños agricultores, muchos de ellos dependientes del apoyo técnico de INDAP (Instituto de Desarrollo Agropecuario). Este apoyo abarca desde la recomendación de insumos agrícolas (fertilizantes, insecticidas, fungicidas) hasta orientación en la planificación de siembras y expectativas de cosecha.</w:t>
      </w:r>
    </w:p>
    <w:p w:rsidR="00000000" w:rsidDel="00000000" w:rsidP="00000000" w:rsidRDefault="00000000" w:rsidRPr="00000000" w14:paraId="00000015">
      <w:pPr>
        <w:spacing w:after="240" w:before="240" w:lineRule="auto"/>
        <w:rPr/>
      </w:pPr>
      <w:r w:rsidDel="00000000" w:rsidR="00000000" w:rsidRPr="00000000">
        <w:rPr>
          <w:rtl w:val="0"/>
        </w:rPr>
        <w:t xml:space="preserve">Actualmente, el acceso a esta asesoría depende casi exclusivamente de la disponibilidad de un especialista: el agricultor debe llamar a la sucursal correspondiente o contactar a INDAP por redes sociales, y esperar una respuesta que no siempre es inmediata. Esta dependencia genera fricción en decisiones que, muchas veces, son urgentes (por ejemplo, ante una plaga detectada a tiempo) o repetitivas y de baja complejidad (como calcular cuánta semilla se necesita para una superficie determinada).</w:t>
      </w:r>
    </w:p>
    <w:p w:rsidR="00000000" w:rsidDel="00000000" w:rsidP="00000000" w:rsidRDefault="00000000" w:rsidRPr="00000000" w14:paraId="00000016">
      <w:pPr>
        <w:spacing w:after="240" w:before="240" w:lineRule="auto"/>
        <w:rPr/>
      </w:pPr>
      <w:r w:rsidDel="00000000" w:rsidR="00000000" w:rsidRPr="00000000">
        <w:rPr>
          <w:rtl w:val="0"/>
        </w:rPr>
        <w:t xml:space="preserve">Esta problemática no es solo una observación externa: nace de una experiencia familiar directa. El padre del desarrollador principal del proyecto es un pequeño agricultor, y el equipo ha sido testigo de primera mano de la dificultad de encontrar información técnica centralizada y confiable — especialmente al buscar fichas técnicas de insumos, donde la información aparece repartida entre múltiples sitios y es difícil saber cuál fuente es la correcta o vigente. En la práctica, la experiencia del equipo confirma que la fuente que más consistentemente aparece y se considera confiable es el registro oficial del SAG (Servicio Agrícola y Ganadero), lo que valida la decisión de usarlo como fuente primaria de datos del sistema.</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kcqpwl983sr0" w:id="2"/>
      <w:bookmarkEnd w:id="2"/>
      <w:r w:rsidDel="00000000" w:rsidR="00000000" w:rsidRPr="00000000">
        <w:rPr>
          <w:b w:val="1"/>
          <w:bCs w:val="1"/>
          <w:sz w:val="34"/>
          <w:szCs w:val="34"/>
          <w:rtl w:val="0"/>
        </w:rPr>
        <w:t xml:space="preserve">2. Problemática</w:t>
      </w:r>
    </w:p>
    <w:p w:rsidR="00000000" w:rsidDel="00000000" w:rsidP="00000000" w:rsidRDefault="00000000" w:rsidRPr="00000000" w14:paraId="00000018">
      <w:pPr>
        <w:spacing w:after="240" w:before="240" w:lineRule="auto"/>
        <w:rPr/>
      </w:pPr>
      <w:r w:rsidDel="00000000" w:rsidR="00000000" w:rsidRPr="00000000">
        <w:rPr>
          <w:rtl w:val="0"/>
        </w:rPr>
        <w:t xml:space="preserve">Se identifican los siguientes problemas concretos:</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b w:val="1"/>
          <w:bCs w:val="1"/>
          <w:rtl w:val="0"/>
        </w:rPr>
        <w:t xml:space="preserve">Dependencia de contacto humano para consultas rutinarias</w:t>
      </w:r>
      <w:r w:rsidDel="00000000" w:rsidR="00000000" w:rsidRPr="00000000">
        <w:rPr>
          <w:rtl w:val="0"/>
        </w:rPr>
        <w:t xml:space="preserve">: gran parte de las consultas que reciben los especialistas de INDAP son de baja complejidad y podrían resolverse con información estandarizada (dosis de insumos, densidades de siembra), pero actualmente consumen tiempo de un profesional especializado.</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Tiempos de espera</w:t>
      </w:r>
      <w:r w:rsidDel="00000000" w:rsidR="00000000" w:rsidRPr="00000000">
        <w:rPr>
          <w:rtl w:val="0"/>
        </w:rPr>
        <w:t xml:space="preserve">: la respuesta no es inmediata, lo que puede ser crítico en decisiones sensibles al tiempo, como el control de plagas o enfermedades.</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Falta de herramientas de planificación accesibles</w:t>
      </w:r>
      <w:r w:rsidDel="00000000" w:rsidR="00000000" w:rsidRPr="00000000">
        <w:rPr>
          <w:rtl w:val="0"/>
        </w:rPr>
        <w:t xml:space="preserve">: no existe una herramienta simple y de acceso libre que permita al pequeño agricultor estimar cuánta semilla necesita o proyectar el rendimiento esperado de su cultivo antes de sembrar.</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Sobrecarga de especialistas</w:t>
      </w:r>
      <w:r w:rsidDel="00000000" w:rsidR="00000000" w:rsidRPr="00000000">
        <w:rPr>
          <w:rtl w:val="0"/>
        </w:rPr>
        <w:t xml:space="preserve">: al no existir un filtro previo, los especialistas de INDAP atienden tanto consultas simples como complejas, sin poder priorizar los casos que realmente requieren su criterio experto.</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b w:val="1"/>
          <w:bCs w:val="1"/>
          <w:rtl w:val="0"/>
        </w:rPr>
        <w:t xml:space="preserve">Brecha digital parcial</w:t>
      </w:r>
      <w:r w:rsidDel="00000000" w:rsidR="00000000" w:rsidRPr="00000000">
        <w:rPr>
          <w:rtl w:val="0"/>
        </w:rPr>
        <w:t xml:space="preserve">: si bien existen datos agrícolas abiertos (ODEPA, INIA), no están traducidos en herramientas prácticas y accesibles para el agricultor final; el dato existe, pero no está democratizado en un formato utilizable.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dzrh5jxqfvce" w:id="3"/>
      <w:bookmarkEnd w:id="3"/>
      <w:r w:rsidDel="00000000" w:rsidR="00000000" w:rsidRPr="00000000">
        <w:rPr>
          <w:b w:val="1"/>
          <w:bCs w:val="1"/>
          <w:sz w:val="34"/>
          <w:szCs w:val="34"/>
          <w:rtl w:val="0"/>
        </w:rPr>
        <w:t xml:space="preserve">3. Solución propuesta</w:t>
      </w:r>
    </w:p>
    <w:p w:rsidR="00000000" w:rsidDel="00000000" w:rsidP="00000000" w:rsidRDefault="00000000" w:rsidRPr="00000000" w14:paraId="0000001F">
      <w:pPr>
        <w:spacing w:after="240" w:before="240" w:lineRule="auto"/>
        <w:rPr/>
      </w:pPr>
      <w:r w:rsidDel="00000000" w:rsidR="00000000" w:rsidRPr="00000000">
        <w:rPr>
          <w:rtl w:val="0"/>
        </w:rPr>
        <w:t xml:space="preserve">Se propone el desarrollo de una </w:t>
      </w:r>
      <w:r w:rsidDel="00000000" w:rsidR="00000000" w:rsidRPr="00000000">
        <w:rPr>
          <w:b w:val="1"/>
          <w:bCs w:val="1"/>
          <w:rtl w:val="0"/>
        </w:rPr>
        <w:t xml:space="preserve">plataforma web</w:t>
      </w:r>
      <w:r w:rsidDel="00000000" w:rsidR="00000000" w:rsidRPr="00000000">
        <w:rPr>
          <w:rtl w:val="0"/>
        </w:rPr>
        <w:t xml:space="preserve"> que actúe como primer nivel de asesoría técnica para pequeños agricultores de la zona central de Chile, dependientes de INDAP. La plataforma no busca reemplazar al especialista humano, sino resolver de forma autónoma las consultas de menor complejidad y dejar a los especialistas disponibles para los casos que realmente lo requieran.</w:t>
      </w:r>
    </w:p>
    <w:p w:rsidR="00000000" w:rsidDel="00000000" w:rsidP="00000000" w:rsidRDefault="00000000" w:rsidRPr="00000000" w14:paraId="00000020">
      <w:pPr>
        <w:spacing w:after="240" w:before="240" w:lineRule="auto"/>
        <w:rPr/>
      </w:pPr>
      <w:r w:rsidDel="00000000" w:rsidR="00000000" w:rsidRPr="00000000">
        <w:rPr>
          <w:rtl w:val="0"/>
        </w:rPr>
        <w:t xml:space="preserve">La solución se estructura en tres funcionalidades centrales: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Asesor de insumos agrícolas</w:t>
      </w:r>
      <w:r w:rsidDel="00000000" w:rsidR="00000000" w:rsidRPr="00000000">
        <w:rPr>
          <w:rtl w:val="0"/>
        </w:rPr>
        <w:t xml:space="preserve">: recomienda fertilizante, insecticida o fungicida según el cultivo y problema indicado por el agricultor, basado en reglas técnicas validadas.</w:t>
      </w:r>
      <w:r w:rsidDel="00000000" w:rsidR="00000000" w:rsidRPr="00000000">
        <w:rPr>
          <w:highlight w:val="red"/>
          <w:rtl w:val="0"/>
        </w:rPr>
        <w:t xml:space="preserve">  (Podría ponerse que tambien se pueda poner la cantidad de liquido que es necesario dependiendo el terreno a tratar )</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Calculadora de semilla</w:t>
      </w:r>
      <w:r w:rsidDel="00000000" w:rsidR="00000000" w:rsidRPr="00000000">
        <w:rPr>
          <w:rtl w:val="0"/>
        </w:rPr>
        <w:t xml:space="preserve">: determina la cantidad de semilla necesaria según el cultivo y la superficie del terreno disponible.</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Predictor de cosecha</w:t>
      </w:r>
      <w:r w:rsidDel="00000000" w:rsidR="00000000" w:rsidRPr="00000000">
        <w:rPr>
          <w:rtl w:val="0"/>
        </w:rPr>
        <w:t xml:space="preserve">: entrega una estimación de rendimiento esperado según cultivo, superficie y zona, utilizando datos históricos abiertos (ODEPA, INIA). (</w:t>
      </w:r>
      <w:r w:rsidDel="00000000" w:rsidR="00000000" w:rsidRPr="00000000">
        <w:rPr>
          <w:highlight w:val="red"/>
          <w:rtl w:val="0"/>
        </w:rPr>
        <w:t xml:space="preserve">machine??</w:t>
      </w:r>
      <w:r w:rsidDel="00000000" w:rsidR="00000000" w:rsidRPr="00000000">
        <w:rPr>
          <w:rtl w:val="0"/>
        </w:rPr>
        <w:t xml:space="preserv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il4tcc0wpcl" w:id="4"/>
      <w:bookmarkEnd w:id="4"/>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vrq0aii29vq4" w:id="5"/>
      <w:bookmarkEnd w:id="5"/>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bti3oyu0x6s5" w:id="6"/>
      <w:bookmarkEnd w:id="6"/>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eezlioj9ab6r" w:id="7"/>
      <w:bookmarkEnd w:id="7"/>
      <w:r w:rsidDel="00000000" w:rsidR="00000000" w:rsidRPr="00000000">
        <w:rPr>
          <w:b w:val="1"/>
          <w:bCs w:val="1"/>
          <w:sz w:val="34"/>
          <w:szCs w:val="34"/>
          <w:rtl w:val="0"/>
        </w:rPr>
        <w:t xml:space="preserve">4. Propuesta de valor</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6.257967754031"/>
        <w:gridCol w:w="2884.3434570678664"/>
        <w:gridCol w:w="3084.910386201725"/>
        <w:tblGridChange w:id="0">
          <w:tblGrid>
            <w:gridCol w:w="3056.257967754031"/>
            <w:gridCol w:w="2884.3434570678664"/>
            <w:gridCol w:w="3084.9103862017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Para el agricultor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Para INDAP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Para el ecosistema agrícola</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Respuestas inmediatas, sin esperar disponibilidad de un especialista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Reduce la carga de consultas rutinarias sobre su personal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Democratiza el acceso a datos agrícolas abiertos (ODEPA, INIA) que hoy son subutilizados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Herramientas de planificación (semilla, cosecha) antes inexistentes de forma accesible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Permite priorizar casos complejos que realmente necesitan criterio experto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Sienta una base técnica que puede escalar a otras zonas o cultivos a futuro</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Disponible desde cualquier dispositivo con navegador, sin costos de instalación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Puede posicionarse como una herramienta de apoyo institucional, no de reemplazo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¿Por qué es viable como proyecto?</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rtl w:val="0"/>
        </w:rPr>
        <w:t xml:space="preserve">Usa datos públicos y abiertos ya existentes (ODEPA, INIA), reduciendo la barrera de entrada de información.</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No requiere tecnología experimental: motores de reglas y modelos estadísticos simples son suficientes para el MVP, lo que reduce el riesgo técnico.</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El problema es validable con actores reales (agricultores, oficinas INDAP) antes de invertir grandes esfuerzos de desarrollo.</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Es escalable: el mismo enfoque puede extenderse a más cultivos, más zonas geográficas, o más tipos de asesoría en el futuro.</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x6yh3nyifygy" w:id="8"/>
      <w:bookmarkEnd w:id="8"/>
      <w:r w:rsidDel="00000000" w:rsidR="00000000" w:rsidRPr="00000000">
        <w:rPr>
          <w:b w:val="1"/>
          <w:bCs w:val="1"/>
          <w:sz w:val="34"/>
          <w:szCs w:val="34"/>
          <w:rtl w:val="0"/>
        </w:rPr>
        <w:t xml:space="preserve">5. Objetivos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Objetivo general</w:t>
      </w:r>
      <w:r w:rsidDel="00000000" w:rsidR="00000000" w:rsidRPr="00000000">
        <w:rPr>
          <w:rtl w:val="0"/>
        </w:rPr>
        <w:t xml:space="preserve"> Desarrollar una plataforma web que entregue asesoría técnica agrícola de primer nivel a pequeños agricultores de la zona central de Chile, reduciendo su dependencia de contacto directo con especialistas de INDAP para consultas de baja y media complejidad.</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Diseñar un motor de recomendación de insumos agrícolas basado en reglas técnicas validadas por cultivo y problema.</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Implementar una calculadora de requerimiento de semilla según cultivo y superficie de terreno.</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Construir un modelo predictivo de rendimiento de cosecha basado en datos históricos abiertos.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Desarrollar una arquitectura de software modular, documentada (vistas 4+1) y desplegable en contenedores, que permita su evolución y mantenimiento futuro.</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Validar la solución con datos y, en la medida de lo posible, con retroalimentación de agricultores o representantes de INDAP.</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3tn250dkzwx7" w:id="9"/>
      <w:bookmarkEnd w:id="9"/>
      <w:r w:rsidDel="00000000" w:rsidR="00000000" w:rsidRPr="00000000">
        <w:rPr>
          <w:b w:val="1"/>
          <w:bCs w:val="1"/>
          <w:sz w:val="34"/>
          <w:szCs w:val="34"/>
          <w:rtl w:val="0"/>
        </w:rPr>
        <w:t xml:space="preserve">6. Tecnologías consideradas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151095977868"/>
        <w:gridCol w:w="2802.8351464016127"/>
        <w:gridCol w:w="4352.525568644142"/>
        <w:tblGridChange w:id="0">
          <w:tblGrid>
            <w:gridCol w:w="1870.151095977868"/>
            <w:gridCol w:w="2802.8351464016127"/>
            <w:gridCol w:w="4352.52556864414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Tecnología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Java 21 + Spring Boot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Stack conocido por el equipo, robusto, con amplio soporte para proyectos empresariales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Relacional, madura, con soporte geoespacial opcional (PostGIS) si se requiere trabajar por zonas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Servicio de predicción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Python (FastAPI o Flask) + modelo de regresión/árbol de decisión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Python es el estándar para trabajo de datos y modelos simples; se aísla como servicio independiente del monolito Java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React o Thymeleaf (a definir según tiempo 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Interfaz web responsive, accesible desde cualquier dispositivo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Autenticación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Spring Security + 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Estándar de la industria para APIs REST seguras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Contenedores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Docker + Docker Compose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Portabilidad y despliegue reproducible entre ambientes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Documentación de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OpenAPI / Swagger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Estándar profesional para documentar contratos de API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Control de versiones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Git +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Trabajo colaborativo en equipo, historial de cambios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Metodología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Permite entregas incrementales y visibilidad de avance frente al equipo docente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Fuentes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ODEPA, INIA (datos abiertos)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Fuentes oficiales, trazables, sin costo de licenciamiento para uso académico</w:t>
            </w:r>
          </w:p>
        </w:tc>
      </w:tr>
    </w:tbl>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r9tjthgi3fm2" w:id="10"/>
      <w:bookmarkEnd w:id="10"/>
      <w:r w:rsidDel="00000000" w:rsidR="00000000" w:rsidRPr="00000000">
        <w:rPr>
          <w:b w:val="1"/>
          <w:bCs w:val="1"/>
          <w:sz w:val="34"/>
          <w:szCs w:val="34"/>
          <w:rtl w:val="0"/>
        </w:rPr>
        <w:t xml:space="preserve">7. Fuentes de datos y trazabilidad</w:t>
      </w:r>
    </w:p>
    <w:p w:rsidR="00000000" w:rsidDel="00000000" w:rsidP="00000000" w:rsidRDefault="00000000" w:rsidRPr="00000000" w14:paraId="00000064">
      <w:pPr>
        <w:spacing w:after="240" w:before="240" w:lineRule="auto"/>
        <w:rPr/>
      </w:pPr>
      <w:r w:rsidDel="00000000" w:rsidR="00000000" w:rsidRPr="00000000">
        <w:rPr>
          <w:rtl w:val="0"/>
        </w:rPr>
        <w:t xml:space="preserve">Dado que el sistema entrega recomendaciones técnicas que pueden implicar un costo económico o un riesgo si se aplican mal (uso de fertilizantes, insecticidas, fungicidas), la confiabilidad de los datos no puede depender del criterio propio del equipo desarrollador. Se define lo siguiente:</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b w:val="1"/>
          <w:bCs w:val="1"/>
          <w:rtl w:val="0"/>
        </w:rPr>
        <w:t xml:space="preserve">Fuente primaria para insumos</w:t>
      </w:r>
      <w:r w:rsidDel="00000000" w:rsidR="00000000" w:rsidRPr="00000000">
        <w:rPr>
          <w:rtl w:val="0"/>
        </w:rPr>
        <w:t xml:space="preserve">: el </w:t>
      </w:r>
      <w:r w:rsidDel="00000000" w:rsidR="00000000" w:rsidRPr="00000000">
        <w:rPr>
          <w:b w:val="1"/>
          <w:bCs w:val="1"/>
          <w:rtl w:val="0"/>
        </w:rPr>
        <w:t xml:space="preserve">registro oficial del SAG (Servicio Agrícola y Ganadero)</w:t>
      </w:r>
      <w:r w:rsidDel="00000000" w:rsidR="00000000" w:rsidRPr="00000000">
        <w:rPr>
          <w:rtl w:val="0"/>
        </w:rPr>
        <w:t xml:space="preserve">, entidad que regula y registra legalmente los plaguicidas y fertilizantes comercializados en Chile. Toda ficha técnica de insumo cargada al sistema (dosis por hectárea, cultivo autorizado, plaga que combate, restricciones de uso) debe basarse en este registro.</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b w:val="1"/>
          <w:bCs w:val="1"/>
          <w:rtl w:val="0"/>
        </w:rPr>
        <w:t xml:space="preserve">Fuente complementaria</w:t>
      </w:r>
      <w:r w:rsidDel="00000000" w:rsidR="00000000" w:rsidRPr="00000000">
        <w:rPr>
          <w:rtl w:val="0"/>
        </w:rPr>
        <w:t xml:space="preserve">: la ficha técnica publicada por el fabricante del producto, usada como apoyo cuando el registro SAG no detalla suficiente información de aplicación práctica.</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b w:val="1"/>
          <w:bCs w:val="1"/>
          <w:rtl w:val="0"/>
        </w:rPr>
        <w:t xml:space="preserve">Fuentes para el predictor de cosecha</w:t>
      </w:r>
      <w:r w:rsidDel="00000000" w:rsidR="00000000" w:rsidRPr="00000000">
        <w:rPr>
          <w:rtl w:val="0"/>
        </w:rPr>
        <w:t xml:space="preserve">: datos históricos abiertos de ODEPA e INIA.</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b w:val="1"/>
          <w:bCs w:val="1"/>
          <w:rtl w:val="0"/>
        </w:rPr>
        <w:t xml:space="preserve">Trazabilidad obligatoria</w:t>
      </w:r>
      <w:r w:rsidDel="00000000" w:rsidR="00000000" w:rsidRPr="00000000">
        <w:rPr>
          <w:rtl w:val="0"/>
        </w:rPr>
        <w:t xml:space="preserve">: cada insumo registrado en el sistema debe indicar la fuente y fecha de la información cargada.</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b w:val="1"/>
          <w:bCs w:val="1"/>
          <w:rtl w:val="0"/>
        </w:rPr>
        <w:t xml:space="preserve">Vigencia</w:t>
      </w:r>
      <w:r w:rsidDel="00000000" w:rsidR="00000000" w:rsidRPr="00000000">
        <w:rPr>
          <w:rtl w:val="0"/>
        </w:rPr>
        <w:t xml:space="preserve">: el panel administrativo debe permitir marcar un insumo como vigente o no vigente, ya que los registros del SAG pueden cambiar, renovarse o revocarse en el tiempo.</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njobpp2ax3sb" w:id="11"/>
      <w:bookmarkEnd w:id="11"/>
      <w:r w:rsidDel="00000000" w:rsidR="00000000" w:rsidRPr="00000000">
        <w:rPr>
          <w:b w:val="1"/>
          <w:bCs w:val="1"/>
          <w:sz w:val="34"/>
          <w:szCs w:val="34"/>
          <w:rtl w:val="0"/>
        </w:rPr>
        <w:t xml:space="preserve">8. Alcance del proyecto (MVP)</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Incluido en la primera versión:</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tl w:val="0"/>
        </w:rPr>
        <w:t xml:space="preserve">Registro y autenticación de agricultores</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Gestión de perfil de terreno (ubicación, superficie)</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Asesor de insumos agrícolas (motor de reglas), incluyendo ficha técnica del insumo (dosis por hectárea, modo de aplicación, consideraciones de seguridad) y precio referencial</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Calculadora de semilla</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Predictor de cosecha (modelo estadístico simple)</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Panel administrativo básico para mantener tablas de referencia</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Calendario de siembra por cultivo y zona (mes óptimo de siembra y cosecha)</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Alerta de dosis máxima / seguridad cuando el insumo solicitado supera lo recomendado para la superficie ingresada</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Exportación en PDF de fichas técnicas y cálculos (semilla, costo estimado)</w:t>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rtl w:val="0"/>
        </w:rPr>
        <w:t xml:space="preserve">Buscador con filtros combinados (cultivo, tipo de problema, rango de precio)</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Objetivo stretch (se intenta si el tiempo y los datos lo permiten, no compromete la entrega de noviembre):</w:t>
      </w:r>
    </w:p>
    <w:p w:rsidR="00000000" w:rsidDel="00000000" w:rsidP="00000000" w:rsidRDefault="00000000" w:rsidRPr="00000000" w14:paraId="00000077">
      <w:pPr>
        <w:numPr>
          <w:ilvl w:val="0"/>
          <w:numId w:val="5"/>
        </w:numPr>
        <w:spacing w:after="240" w:before="240" w:lineRule="auto"/>
        <w:ind w:left="720" w:hanging="360"/>
      </w:pPr>
      <w:r w:rsidDel="00000000" w:rsidR="00000000" w:rsidRPr="00000000">
        <w:rPr>
          <w:rtl w:val="0"/>
        </w:rPr>
        <w:t xml:space="preserve">Clasificador de riesgo de plaga según temporada y cultivo (modelo de clasificación simple, tipo árbol de decisión o Naive Bayes), con salida acotada a niveles de riesgo (bajo/medio/alto) en vez de predicción específica de plaga</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Fuera de alcance (fase posterior):</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rtl w:val="0"/>
        </w:rPr>
        <w:t xml:space="preserve">Reconocimiento de plagas por imagen (visión computacional)</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Chat en tiempo real con especialistas INDAP</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Alertas climáticas automatizadas</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Aplicación móvil nativa</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Roles múltiples avanzados (especialista dentro del sistema)</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rtl w:val="0"/>
        </w:rPr>
        <w:t xml:space="preserve">Comparación de precios en tiempo real entre múltiples tiendas (se reemplaza por precio referencial curado por el equipo)</w:t>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