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rFonts w:ascii="Times New Roman" w:cs="Times New Roman" w:eastAsia="Times New Roman" w:hAnsi="Times New Roman"/>
          <w:color w:val="000000"/>
          <w:sz w:val="24"/>
          <w:szCs w:val="24"/>
        </w:rPr>
        <w:t xml:space="preserve"/>
      </w:r>
    </w:p>
    <w:p>
      <w:pPr>
        <w:spacing w:after="0"/>
      </w:pPr>
      <w:r>
        <w:rPr>
          <w:rFonts w:ascii="Times New Roman" w:cs="Times New Roman" w:eastAsia="Times New Roman" w:hAnsi="Times New Roman"/>
          <w:color w:val="000000"/>
          <w:sz w:val="24"/>
          <w:szCs w:val="24"/>
        </w:rPr>
        <w:t xml:space="preserve"/>
      </w:r>
    </w:p>
    <w:p>
      <w:pPr>
        <w:spacing w:after="0"/>
      </w:pPr>
      <w:r>
        <w:rPr>
          <w:rFonts w:ascii="Times New Roman" w:cs="Times New Roman" w:eastAsia="Times New Roman" w:hAnsi="Times New Roman"/>
          <w:color w:val="000000"/>
          <w:sz w:val="24"/>
          <w:szCs w:val="24"/>
        </w:rPr>
        <w:t xml:space="preserve"/>
      </w:r>
    </w:p>
    <w:p>
      <w:pPr>
        <w:spacing w:after="120"/>
        <w:jc w:val="center"/>
      </w:pPr>
      <w:r>
        <w:rPr>
          <w:rFonts w:ascii="Times New Roman" w:cs="Times New Roman" w:eastAsia="Times New Roman" w:hAnsi="Times New Roman"/>
          <w:b/>
          <w:bCs/>
          <w:color w:val="000000"/>
          <w:sz w:val="28"/>
          <w:szCs w:val="28"/>
        </w:rPr>
        <w:t xml:space="preserve">PONTIFICIA UNIVERSIDAD CATÓLICA DEL PERÚ</w:t>
      </w:r>
    </w:p>
    <w:p>
      <w:pPr>
        <w:spacing w:after="900"/>
        <w:jc w:val="center"/>
      </w:pPr>
      <w:r>
        <w:rPr>
          <w:rFonts w:ascii="Times New Roman" w:cs="Times New Roman" w:eastAsia="Times New Roman" w:hAnsi="Times New Roman"/>
          <w:color w:val="000000"/>
          <w:sz w:val="24"/>
          <w:szCs w:val="24"/>
        </w:rPr>
        <w:t xml:space="preserve">FACULTAD DE CIENCIAS E INGENIERÍA</w:t>
      </w:r>
    </w:p>
    <w:p>
      <w:pPr>
        <w:spacing w:after="200"/>
        <w:jc w:val="center"/>
      </w:pPr>
      <w:r>
        <w:rPr>
          <w:rFonts w:ascii="Times New Roman" w:cs="Times New Roman" w:eastAsia="Times New Roman" w:hAnsi="Times New Roman"/>
          <w:b/>
          <w:bCs/>
          <w:color w:val="000000"/>
          <w:sz w:val="24"/>
          <w:szCs w:val="24"/>
        </w:rPr>
        <w:t xml:space="preserve">INFORME TÉCNICO</w:t>
      </w:r>
    </w:p>
    <w:p>
      <w:pPr>
        <w:spacing w:after="160" w:line="340"/>
        <w:jc w:val="center"/>
      </w:pPr>
      <w:r>
        <w:rPr>
          <w:rFonts w:ascii="Times New Roman" w:cs="Times New Roman" w:eastAsia="Times New Roman" w:hAnsi="Times New Roman"/>
          <w:b/>
          <w:bCs/>
          <w:color w:val="000000"/>
          <w:sz w:val="32"/>
          <w:szCs w:val="32"/>
        </w:rPr>
        <w:t xml:space="preserve">CLASIFICACIÓN AUTOMÁTICA DE REPORTES CIUDADANOS</w:t>
      </w:r>
    </w:p>
    <w:p>
      <w:pPr>
        <w:spacing w:after="900" w:line="340"/>
        <w:jc w:val="center"/>
      </w:pPr>
      <w:r>
        <w:rPr>
          <w:rFonts w:ascii="Times New Roman" w:cs="Times New Roman" w:eastAsia="Times New Roman" w:hAnsi="Times New Roman"/>
          <w:b/>
          <w:bCs/>
          <w:color w:val="000000"/>
          <w:sz w:val="32"/>
          <w:szCs w:val="32"/>
        </w:rPr>
        <w:t xml:space="preserve">SOBRE INCIDENTES EN LA VÍA PÚBLICA MEDIANTE TRANSFER LEARNING CON BETO</w:t>
      </w:r>
    </w:p>
    <w:p>
      <w:pPr>
        <w:spacing w:after="700"/>
        <w:jc w:val="center"/>
      </w:pPr>
      <w:r>
        <w:rPr>
          <w:rFonts w:ascii="Times New Roman" w:cs="Times New Roman" w:eastAsia="Times New Roman" w:hAnsi="Times New Roman"/>
          <w:i/>
          <w:iCs/>
          <w:color w:val="000000"/>
          <w:sz w:val="24"/>
          <w:szCs w:val="24"/>
        </w:rPr>
        <w:t xml:space="preserve">Proyecto desarrollado en el marco del Hackatón</w:t>
      </w:r>
    </w:p>
    <w:p>
      <w:pPr>
        <w:spacing w:after="100"/>
        <w:jc w:val="center"/>
      </w:pPr>
      <w:r>
        <w:rPr>
          <w:rFonts w:ascii="Times New Roman" w:cs="Times New Roman" w:eastAsia="Times New Roman" w:hAnsi="Times New Roman"/>
          <w:b/>
          <w:bCs/>
          <w:color w:val="000000"/>
          <w:sz w:val="24"/>
          <w:szCs w:val="24"/>
        </w:rPr>
        <w:t xml:space="preserve">EQUIPO</w:t>
      </w:r>
    </w:p>
    <w:p>
      <w:pPr>
        <w:spacing w:after="700"/>
        <w:jc w:val="center"/>
      </w:pPr>
      <w:r>
        <w:rPr>
          <w:rFonts w:ascii="Times New Roman" w:cs="Times New Roman" w:eastAsia="Times New Roman" w:hAnsi="Times New Roman"/>
          <w:color w:val="000000"/>
          <w:sz w:val="24"/>
          <w:szCs w:val="24"/>
        </w:rPr>
        <w:t xml:space="preserve">[Integrantes del equipo]</w:t>
      </w:r>
    </w:p>
    <w:p>
      <w:pPr>
        <w:spacing w:after="60"/>
        <w:jc w:val="center"/>
      </w:pPr>
      <w:r>
        <w:rPr>
          <w:rFonts w:ascii="Times New Roman" w:cs="Times New Roman" w:eastAsia="Times New Roman" w:hAnsi="Times New Roman"/>
          <w:color w:val="000000"/>
          <w:sz w:val="24"/>
          <w:szCs w:val="24"/>
        </w:rPr>
        <w:t xml:space="preserve">Lima, Perú</w:t>
      </w:r>
    </w:p>
    <w:p>
      <w:pPr>
        <w:spacing w:after="0"/>
        <w:jc w:val="center"/>
      </w:pPr>
      <w:r>
        <w:rPr>
          <w:rFonts w:ascii="Times New Roman" w:cs="Times New Roman" w:eastAsia="Times New Roman" w:hAnsi="Times New Roman"/>
          <w:color w:val="000000"/>
          <w:sz w:val="24"/>
          <w:szCs w:val="24"/>
        </w:rPr>
        <w:t xml:space="preserve">2026</w:t>
      </w:r>
    </w:p>
    <w:p>
      <w:pPr>
        <w:sectPr>
          <w:pgSz w:w="11906" w:h="16838" w:orient="portrait"/>
          <w:pgMar w:top="1440" w:right="1440" w:bottom="1440" w:left="1440" w:header="708" w:footer="708" w:gutter="0"/>
          <w:pgNumType/>
          <w:titlePg w:val="false"/>
          <w:docGrid w:linePitch="360"/>
        </w:sectPr>
      </w:pPr>
    </w:p>
    <w:p>
      <w:pPr>
        <w:pStyle w:val="Heading1"/>
        <w:spacing w:after="180" w:before="320"/>
      </w:pPr>
      <w:r>
        <w:rPr>
          <w:rFonts w:ascii="Times New Roman" w:cs="Times New Roman" w:eastAsia="Times New Roman" w:hAnsi="Times New Roman"/>
          <w:b/>
          <w:bCs/>
          <w:color w:val="000000"/>
          <w:sz w:val="28"/>
          <w:szCs w:val="28"/>
        </w:rPr>
        <w:t xml:space="preserve">1. Descripción del problema</w:t>
      </w:r>
    </w:p>
    <w:p>
      <w:pPr>
        <w:pStyle w:val="Heading2"/>
        <w:spacing w:after="140" w:before="240"/>
      </w:pPr>
      <w:r>
        <w:rPr>
          <w:rFonts w:ascii="Times New Roman" w:cs="Times New Roman" w:eastAsia="Times New Roman" w:hAnsi="Times New Roman"/>
          <w:b/>
          <w:bCs/>
          <w:color w:val="000000"/>
          <w:sz w:val="24"/>
          <w:szCs w:val="24"/>
        </w:rPr>
        <w:t xml:space="preserve">1.1. Contexto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 atención de incidentes ocurridos en la vía pública —baches, alumbrado inoperativo, acumulación de residuos, fugas de agua, semáforos malogrados, entre otros— constituye una de las principales interacciones entre la ciudadanía y las entidades del Estado a nivel local. En el Perú, los canales de reporte existentes (plataformas web, aplicativos móviles, centrales telefónicas y mesas de partes presenciales) recogen la incidencia en formato de texto libre: el ciudadano describe con sus propias palabras qué ocurre y dónde ocurre.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Este formato es el correcto desde la perspectiva del usuario, porque no le exige conocer la estructura administrativa del Estado ni la taxonomía interna de la entidad. Sin embargo, traslada íntegramente el costo de interpretación al lado receptor.</w:t>
      </w:r>
    </w:p>
    <w:p>
      <w:pPr>
        <w:pStyle w:val="Heading2"/>
        <w:spacing w:after="140" w:before="240"/>
      </w:pPr>
      <w:r>
        <w:rPr>
          <w:rFonts w:ascii="Times New Roman" w:cs="Times New Roman" w:eastAsia="Times New Roman" w:hAnsi="Times New Roman"/>
          <w:b/>
          <w:bCs/>
          <w:color w:val="000000"/>
          <w:sz w:val="24"/>
          <w:szCs w:val="24"/>
        </w:rPr>
        <w:t xml:space="preserve">1.2. Problema identificado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Una vez recibido el reporte, un operador humano debe leerlo y ejecutar dos decisiones antes de que el caso pueda avanzar:</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Determinar a qué categoría de incidente corresponde, y por consiguiente qué área o entidad es competente para atenderlo (municipalidad distrital, municipalidad provincial, empresa concesionaria de electricidad, empresa prestadora de servicios de saneamiento, serenazgo, entre otras).</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Determinar la prioridad de atención, es decir, cuán urgente es respecto de los demás reportes en cola.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Este triaje manual presenta cuatro limitaciones concretas:</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Latencia. El reporte permanece sin clasificar hasta que un operador lo revisa, tiempo que se suma íntegramente al plazo de atención y que es especialmente crítico en incidentes de riesgo inmediato, como un cable de energía caído o un buzón sin tapa.</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Inconsistencia. La clasificación depende del criterio del operador de turno. Reportes equivalentes reciben categorías o prioridades distintas, lo que degrada la calidad de los indicadores de gestión construidos sobre esa información.</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Escalabilidad. El costo de operación crece linealmente con el volumen de reportes, mientras que la capacidad de la mesa de atención es fija.</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Derivación incorrecta. Un error de clasificación deriva el caso a un área no competente, que lo devuelve o lo reasigna, reiniciando el ciclo y generando reprocesos.</w:t>
      </w:r>
    </w:p>
    <w:p>
      <w:pPr>
        <w:pStyle w:val="Heading2"/>
        <w:spacing w:after="140" w:before="240"/>
      </w:pPr>
      <w:r>
        <w:rPr>
          <w:rFonts w:ascii="Times New Roman" w:cs="Times New Roman" w:eastAsia="Times New Roman" w:hAnsi="Times New Roman"/>
          <w:b/>
          <w:bCs/>
          <w:color w:val="000000"/>
          <w:sz w:val="24"/>
          <w:szCs w:val="24"/>
        </w:rPr>
        <w:t xml:space="preserve">1.3. Objetivo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Desarrollar un sistema que, a partir únicamente del texto libre redactado por el ciudadano, prediga automáticamente la categoría del incidente y su prioridad de atención, permitiendo la derivación inmediata al área competente sin intervención humana en el triaje.</w:t>
      </w:r>
    </w:p>
    <w:p>
      <w:pPr>
        <w:pStyle w:val="Heading2"/>
        <w:spacing w:after="140" w:before="240"/>
      </w:pPr>
      <w:r>
        <w:rPr>
          <w:rFonts w:ascii="Times New Roman" w:cs="Times New Roman" w:eastAsia="Times New Roman" w:hAnsi="Times New Roman"/>
          <w:b/>
          <w:bCs/>
          <w:color w:val="000000"/>
          <w:sz w:val="24"/>
          <w:szCs w:val="24"/>
        </w:rPr>
        <w:t xml:space="preserve">1.4. Formulación técnica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problema se formula como dos tareas independientes de clasificación de texto en español, ambas sobre la misma entrada:</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Modelo 1 — Clasificación de categoría. Entrada: texto libre. Salida: una de 8 categorías de incidente (vía pública, alumbrado público, limpieza pública, agua y saneamiento, transporte y tránsito, seguridad ciudadana, contaminación y ruido, áreas verdes). De la categoría se deriva la entidad competente.</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Modelo 2 — Clasificación de prioridad. Entrada: texto libre. Salida: nivel de prioridad (ALTA, MEDIA, BAJA).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Ambas tareas comparten la misma naturaleza: clasificación multiclase de secuencias cortas en español, con clases desbalanceadas. Esta simetría es la que permite resolverlas con un mismo procedimiento de entrenamiento, ejecutado dos veces.</w:t>
      </w:r>
    </w:p>
    <w:p>
      <w:pPr>
        <w:pStyle w:val="Heading2"/>
        <w:spacing w:after="140" w:before="240"/>
      </w:pPr>
      <w:r>
        <w:rPr>
          <w:rFonts w:ascii="Times New Roman" w:cs="Times New Roman" w:eastAsia="Times New Roman" w:hAnsi="Times New Roman"/>
          <w:b/>
          <w:bCs/>
          <w:color w:val="000000"/>
          <w:sz w:val="24"/>
          <w:szCs w:val="24"/>
        </w:rPr>
        <w:t xml:space="preserve">1.5. Restricciones y desafíos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texto ciudadano real presenta características que descartan enfoques basados en reglas o en coincidencia de palabras clave:</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Variabilidad de registro. El mismo incidente se expresa en registro formal ("Comunico la existencia de un bache de considerable magnitud en la calzada"), coloquial ("hay un hueco grande en la pista") o informal ("hueco enorme q ya lleva meses").</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Ruido ortográfico. Ausencia de tildes, abreviaturas, escritura íntegra en minúsculas o mayúsculas, y errores de tipeo propios de la escritura desde dispositivos móviles.</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Léxico regional. Términos de uso local (pista, vereda, buzón, combi, serenazgo) que no aparecen en recursos de español genérico o de otras variedades del idioma.</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Ausencia de la categoría en el texto. El ciudadano describe el hecho, no la categoría administrativa. La clasificación exige inferencia semántica, no coincidencia léxica.</w:t>
      </w:r>
    </w:p>
    <w:p>
      <w:pPr>
        <w:pStyle w:val="ListParagraph"/>
        <w:numPr>
          <w:ilvl w:val="0"/>
          <w:numId w:val="2"/>
        </w:numPr>
        <w:spacing w:after="100" w:line="276"/>
        <w:jc w:val="both"/>
      </w:pPr>
      <w:r>
        <w:rPr>
          <w:rFonts w:ascii="Times New Roman" w:cs="Times New Roman" w:eastAsia="Times New Roman" w:hAnsi="Times New Roman"/>
          <w:color w:val="000000"/>
          <w:sz w:val="24"/>
          <w:szCs w:val="24"/>
        </w:rPr>
        <w:t xml:space="preserve">Desbalance de clases. Las categorías no se distribuyen uniformemente y la prioridad MEDIA concentra la mayoría de los registros, lo que invalida la exactitud (accuracy) como métrica de evaluación.</w:t>
      </w:r>
    </w:p>
    <w:p>
      <w:r>
        <w:br w:type="page"/>
      </w:r>
    </w:p>
    <w:p>
      <w:pPr>
        <w:pStyle w:val="Heading1"/>
        <w:spacing w:after="180" w:before="320"/>
      </w:pPr>
      <w:r>
        <w:rPr>
          <w:rFonts w:ascii="Times New Roman" w:cs="Times New Roman" w:eastAsia="Times New Roman" w:hAnsi="Times New Roman"/>
          <w:b/>
          <w:bCs/>
          <w:color w:val="000000"/>
          <w:sz w:val="28"/>
          <w:szCs w:val="28"/>
        </w:rPr>
        <w:t xml:space="preserve">2. Arquitectura</w:t>
      </w:r>
    </w:p>
    <w:p>
      <w:pPr>
        <w:pStyle w:val="Heading2"/>
        <w:spacing w:after="140" w:before="240"/>
      </w:pPr>
      <w:r>
        <w:rPr>
          <w:rFonts w:ascii="Times New Roman" w:cs="Times New Roman" w:eastAsia="Times New Roman" w:hAnsi="Times New Roman"/>
          <w:b/>
          <w:bCs/>
          <w:color w:val="000000"/>
          <w:sz w:val="24"/>
          <w:szCs w:val="24"/>
        </w:rPr>
        <w:t xml:space="preserve">2.1. Descripción general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 solución se organiza en cuatro etapas secuenciales: ingesta, preprocesamiento, inferencia dual y salida estructurada. El punto central del diseño es que ambos modelos de clasificación consumen exactamente la misma entrada —el texto libre del reporte— y operan en paralelo sobre ella, sin dependencia entre sí.</w:t>
      </w:r>
    </w:p>
    <w:p>
      <w:pPr>
        <w:spacing w:after="120" w:before="200"/>
        <w:jc w:val="center"/>
      </w:pPr>
      <w:r>
        <w:rPr>
          <w:rFonts w:ascii="Times New Roman" w:cs="Times New Roman" w:eastAsia="Times New Roman" w:hAnsi="Times New Roman"/>
          <w:i/>
          <w:iCs/>
          <w:color w:val="000000"/>
          <w:sz w:val="24"/>
          <w:szCs w:val="24"/>
        </w:rPr>
        <w:t xml:space="preserve">[ Insertar aquí el diagrama de arquitectura ]</w:t>
      </w:r>
    </w:p>
    <w:p>
      <w:pPr>
        <w:spacing w:after="240"/>
        <w:jc w:val="center"/>
      </w:pPr>
      <w:r>
        <w:rPr>
          <w:rFonts w:ascii="Times New Roman" w:cs="Times New Roman" w:eastAsia="Times New Roman" w:hAnsi="Times New Roman"/>
          <w:i/>
          <w:iCs/>
          <w:color w:val="000000"/>
          <w:sz w:val="20"/>
          <w:szCs w:val="20"/>
        </w:rPr>
        <w:t xml:space="preserve">Figura 1. Arquitectura de la solución.</w:t>
      </w:r>
    </w:p>
    <w:p>
      <w:pPr>
        <w:pStyle w:val="Heading2"/>
        <w:spacing w:after="140" w:before="240"/>
      </w:pPr>
      <w:r>
        <w:rPr>
          <w:rFonts w:ascii="Times New Roman" w:cs="Times New Roman" w:eastAsia="Times New Roman" w:hAnsi="Times New Roman"/>
          <w:b/>
          <w:bCs/>
          <w:color w:val="000000"/>
          <w:sz w:val="24"/>
          <w:szCs w:val="24"/>
        </w:rPr>
        <w:t xml:space="preserve">2.2. Etapas</w:t>
      </w:r>
    </w:p>
    <w:p>
      <w:pPr>
        <w:spacing w:after="80" w:before="160"/>
      </w:pPr>
      <w:r>
        <w:rPr>
          <w:rFonts w:ascii="Times New Roman" w:cs="Times New Roman" w:eastAsia="Times New Roman" w:hAnsi="Times New Roman"/>
          <w:b/>
          <w:bCs/>
          <w:color w:val="000000"/>
          <w:sz w:val="24"/>
          <w:szCs w:val="24"/>
        </w:rPr>
        <w:t xml:space="preserve">Ingesta.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Una interfaz web de registro de incidentes recoge el reporte del ciudadano. El campo relevante para el modelo es la descripción en texto libre; los campos de ubicación y contacto acompañan al caso pero no participan en la clasificación.</w:t>
      </w:r>
    </w:p>
    <w:p>
      <w:pPr>
        <w:spacing w:after="80" w:before="160"/>
      </w:pPr>
      <w:r>
        <w:rPr>
          <w:rFonts w:ascii="Times New Roman" w:cs="Times New Roman" w:eastAsia="Times New Roman" w:hAnsi="Times New Roman"/>
          <w:b/>
          <w:bCs/>
          <w:color w:val="000000"/>
          <w:sz w:val="24"/>
          <w:szCs w:val="24"/>
        </w:rPr>
        <w:t xml:space="preserve">Preprocesamiento.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Normalización mínima y no destructiva: unificación de la representación de acentos (NFC), reemplazo de espacios duros, eliminación de caracteres de control y colapso de espacios en blanco redundantes. Deliberadamente no se aplica el preprocesamiento clásico de PLN —conversión a minúsculas, eliminación de palabras vacías, lematización o supresión de puntuación— porque el modelo base es sensible a mayúsculas y su tokenizador de subpalabras ya gestiona el vocabulario desconocido. Aplicar esas transformaciones destruiría señal aprovechable. La misma función de limpieza se aplica en entrenamiento y en inferencia, garantizando consistencia.</w:t>
      </w:r>
    </w:p>
    <w:p>
      <w:pPr>
        <w:spacing w:after="80" w:before="160"/>
      </w:pPr>
      <w:r>
        <w:rPr>
          <w:rFonts w:ascii="Times New Roman" w:cs="Times New Roman" w:eastAsia="Times New Roman" w:hAnsi="Times New Roman"/>
          <w:b/>
          <w:bCs/>
          <w:color w:val="000000"/>
          <w:sz w:val="24"/>
          <w:szCs w:val="24"/>
        </w:rPr>
        <w:t xml:space="preserve">Inferencia dual.</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texto normalizado se tokeniza y se envía en paralelo a dos clasificadores independientes, ambos derivados por transfer learning del mismo modelo base preentrenado en español (BETO). Cada uno consiste en el codificador de 12 capas del modelo base, cuyos pesos preentrenados se transfieren y se ajustan finamente, más una capa lineal de clasificación inicializada aleatoriamente y entrenada desde cero sobre el vector del token [CLS]. El primer clasificador predice la categoría del incidente sobre 8 clases; el segundo predice la prioridad sobre 3 clases. Los modelos no comparten pesos ni se comunican entre sí: son dos artefactos entrenados de forma separada e invocados de manera concurrente.</w:t>
      </w:r>
    </w:p>
    <w:p>
      <w:pPr>
        <w:spacing w:after="80" w:before="160"/>
      </w:pPr>
      <w:r>
        <w:rPr>
          <w:rFonts w:ascii="Times New Roman" w:cs="Times New Roman" w:eastAsia="Times New Roman" w:hAnsi="Times New Roman"/>
          <w:b/>
          <w:bCs/>
          <w:color w:val="000000"/>
          <w:sz w:val="24"/>
          <w:szCs w:val="24"/>
        </w:rPr>
        <w:t xml:space="preserve">Salida estructurada.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Cada clasificador devuelve una distribución de probabilidad sobre sus clases mediante softmax. Se toma la clase de mayor probabilidad junto con su nivel de confianza y las k alternativas más probables. La categoría predicha se mapea a la entidad competente mediante una tabla de correspondencia determinista. El resultado final es un registro estructurado —categoría, entidad responsable, prioridad y confianza de cada predicción— listo para ser encolado y derivado. El valor de confianza permite, adicionalmente, definir un umbral por debajo del cual el caso se remite a revisión humana.</w:t>
      </w:r>
    </w:p>
    <w:p>
      <w:pPr>
        <w:pStyle w:val="Heading2"/>
        <w:spacing w:after="140" w:before="240"/>
      </w:pPr>
      <w:r>
        <w:rPr>
          <w:rFonts w:ascii="Times New Roman" w:cs="Times New Roman" w:eastAsia="Times New Roman" w:hAnsi="Times New Roman"/>
          <w:b/>
          <w:bCs/>
          <w:color w:val="000000"/>
          <w:sz w:val="24"/>
          <w:szCs w:val="24"/>
        </w:rPr>
        <w:t xml:space="preserve">2.3. Justificación de las decisiones de diseño</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2400"/>
        <w:gridCol w:w="6400"/>
      </w:tblGrid>
      <w:tr>
        <w:trPr>
          <w:tblHeader/>
        </w:trPr>
        <w:tc>
          <w:tcPr>
            <w:tcW w:type="dxa" w:w="2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Decisión</w:t>
            </w:r>
          </w:p>
        </w:tc>
        <w:tc>
          <w:tcPr>
            <w:tcW w:type="dxa" w:w="6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Justificación</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Transfer learning en lugar de entrenamiento desde cero</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El modelo base ya comprende la gramática y la semántica del español. Entrenar un transformador desde cero exigiría un volumen de datos y un presupuesto de cómputo incompatibles con el alcance del proyecto.</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BETO como modelo base</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Preentrenado específicamente sobre corpus en español, no sobre traducciones ni sobre un modelo multilingüe. Se emplea el checkpoint sensible a mayúsculas, dado que la capitalización es señal ("URGENTE", nombres de vías).</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Dos modelos independientes en lugar de uno multitarea</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Un codificador compartido con dos cabezas sería más eficiente en cómputo, pero exige implementar un módulo propio. Dos modelos separados permiten reutilizar el mismo procedimiento de entrenamiento cambiando un único parámetro, lo que reduce el riesgo de implementación bajo la restricción de tiempo del hackatón.</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El texto libre como única entrada</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El resto de columnas del conjunto de datos filtra la respuesta (la subcategoría y la entidad se derivan de la categoría) o no existe al momento de clasificar (fecha de cierre, estado, días de resolución). El escenario real es: llega un texto y hay que clasificarlo.</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Ponderación de clases en la función de pérdida</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Con clases desbalanceadas, la red aprende que predecir siempre la clase mayoritaria ya produce buena exactitud. Los pesos inversos a la frecuencia encarecen el error sobre las clases minoritarias.</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F1 macro como criterio de selección</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Promedia el desempeño por clase sin ponderar por tamaño, penalizando el abandono de las clases minoritarias. La exactitud, con este desbalance, no es informativa.</w:t>
            </w:r>
          </w:p>
        </w:tc>
      </w:tr>
      <w:tr>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Partición en tres conjuntos</w:t>
            </w:r>
          </w:p>
        </w:tc>
        <w:tc>
          <w:tcPr>
            <w:tcW w:type="dxa" w:w="6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La validación guía la selección del mejor punto de control durante el entrenamiento; el conjunto de prueba se emplea una sola vez al final. Evaluar sobre el mismo conjunto usado para seleccionar el punto de control produce métricas infladas.</w:t>
            </w:r>
          </w:p>
        </w:tc>
      </w:tr>
    </w:tbl>
    <w:p>
      <w:pPr>
        <w:spacing w:after="220" w:before="80"/>
        <w:jc w:val="left"/>
      </w:pPr>
      <w:r>
        <w:rPr>
          <w:rFonts w:ascii="Times New Roman" w:cs="Times New Roman" w:eastAsia="Times New Roman" w:hAnsi="Times New Roman"/>
          <w:i/>
          <w:iCs/>
          <w:color w:val="000000"/>
          <w:sz w:val="20"/>
          <w:szCs w:val="20"/>
        </w:rPr>
        <w:t xml:space="preserve">Tabla 1. Decisiones de diseño de la arquitectura y su justificación.</w:t>
      </w:r>
    </w:p>
    <w:p>
      <w:r>
        <w:br w:type="page"/>
      </w:r>
    </w:p>
    <w:p>
      <w:pPr>
        <w:pStyle w:val="Heading1"/>
        <w:spacing w:after="180" w:before="320"/>
      </w:pPr>
      <w:r>
        <w:rPr>
          <w:rFonts w:ascii="Times New Roman" w:cs="Times New Roman" w:eastAsia="Times New Roman" w:hAnsi="Times New Roman"/>
          <w:b/>
          <w:bCs/>
          <w:color w:val="000000"/>
          <w:sz w:val="28"/>
          <w:szCs w:val="28"/>
        </w:rPr>
        <w:t xml:space="preserve">3. Recursos utilizados</w:t>
      </w:r>
    </w:p>
    <w:p>
      <w:pPr>
        <w:pStyle w:val="Heading2"/>
        <w:spacing w:after="140" w:before="240"/>
      </w:pPr>
      <w:r>
        <w:rPr>
          <w:rFonts w:ascii="Times New Roman" w:cs="Times New Roman" w:eastAsia="Times New Roman" w:hAnsi="Times New Roman"/>
          <w:b/>
          <w:bCs/>
          <w:color w:val="000000"/>
          <w:sz w:val="24"/>
          <w:szCs w:val="24"/>
        </w:rPr>
        <w:t xml:space="preserve">3.1. Búsqueda de conjuntos de datos públicos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primer recurso buscado fue un conjunto de datos real de atención ciudadana que contuviera el texto crudo del reporte junto con las etiquetas de clasificación necesarias. La búsqueda se realizó mediante motores de búsqueda asistidos por inteligencia artificial, cubriendo portales de datos abiertos de Estados Unidos, Argentina y México.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hallazgo principal fue que ninguna de las alternativas evaluadas expone contenido público utilizable para esta tarea. Los portales de datos abiertos de atención ciudadana publican el caso ya clasificado —tipo de solicitud, entidad responsable, ubicación, fechas— pero omiten sistemáticamente la descripción redactada por el ciudadano, por razones de protección de datos personales. Sin ese campo, el conjunto de datos es inservible para entrenar un modelo de procesamiento de lenguaje natural: se dispone de las etiquetas, pero no de la entrada.</w:t>
      </w:r>
    </w:p>
    <w:tbl>
      <w:tblPr>
        <w:tblW w:type="dxa" w:w="78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1500"/>
        <w:gridCol w:w="2400"/>
        <w:gridCol w:w="1400"/>
      </w:tblGrid>
      <w:tr>
        <w:trPr>
          <w:tblHeader/>
        </w:trPr>
        <w:tc>
          <w:tcPr>
            <w:tcW w:type="dxa" w:w="25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Fuente evaluada</w:t>
            </w:r>
          </w:p>
        </w:tc>
        <w:tc>
          <w:tcPr>
            <w:tcW w:type="dxa" w:w="15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Texto crudo</w:t>
            </w:r>
          </w:p>
        </w:tc>
        <w:tc>
          <w:tcPr>
            <w:tcW w:type="dxa" w:w="2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Etiquetas requeridas</w:t>
            </w:r>
          </w:p>
        </w:tc>
        <w:tc>
          <w:tcPr>
            <w:tcW w:type="dxa" w:w="1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Resultado</w:t>
            </w:r>
          </w:p>
        </w:tc>
      </w:tr>
      <w:tr>
        <w:tc>
          <w:tcPr>
            <w:tcW w:type="dxa" w:w="2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Portales de datos abiertos de EE. UU. (NYC, Chicago, San Francisco)</w:t>
            </w:r>
          </w:p>
        </w:tc>
        <w:tc>
          <w:tcPr>
            <w:tcW w:type="dxa" w:w="1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disponible</w:t>
            </w:r>
          </w:p>
        </w:tc>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Categoría sí; prioridad no</w:t>
            </w:r>
          </w:p>
        </w:tc>
        <w:tc>
          <w:tcPr>
            <w:tcW w:type="dxa" w:w="1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Descartado</w:t>
            </w:r>
          </w:p>
        </w:tc>
      </w:tr>
      <w:tr>
        <w:tc>
          <w:tcPr>
            <w:tcW w:type="dxa" w:w="2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Portales de datos abiertos de Argentina</w:t>
            </w:r>
          </w:p>
        </w:tc>
        <w:tc>
          <w:tcPr>
            <w:tcW w:type="dxa" w:w="1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disponible</w:t>
            </w:r>
          </w:p>
        </w:tc>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Parciales</w:t>
            </w:r>
          </w:p>
        </w:tc>
        <w:tc>
          <w:tcPr>
            <w:tcW w:type="dxa" w:w="1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Descartado</w:t>
            </w:r>
          </w:p>
        </w:tc>
      </w:tr>
      <w:tr>
        <w:tc>
          <w:tcPr>
            <w:tcW w:type="dxa" w:w="2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Portales de datos abiertos de México (Ciudad de México)</w:t>
            </w:r>
          </w:p>
        </w:tc>
        <w:tc>
          <w:tcPr>
            <w:tcW w:type="dxa" w:w="1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disponible</w:t>
            </w:r>
          </w:p>
        </w:tc>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Solo catálogo de trámite</w:t>
            </w:r>
          </w:p>
        </w:tc>
        <w:tc>
          <w:tcPr>
            <w:tcW w:type="dxa" w:w="1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Descartado</w:t>
            </w:r>
          </w:p>
        </w:tc>
      </w:tr>
      <w:tr>
        <w:tc>
          <w:tcPr>
            <w:tcW w:type="dxa" w:w="2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Conjunto de datos publicado en Kaggle</w:t>
            </w:r>
          </w:p>
        </w:tc>
        <w:tc>
          <w:tcPr>
            <w:tcW w:type="dxa" w:w="1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Disponible</w:t>
            </w:r>
          </w:p>
        </w:tc>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incluye prioridad ni área responsable</w:t>
            </w:r>
          </w:p>
        </w:tc>
        <w:tc>
          <w:tcPr>
            <w:tcW w:type="dxa" w:w="1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Descartado</w:t>
            </w:r>
          </w:p>
        </w:tc>
      </w:tr>
      <w:tr>
        <w:tc>
          <w:tcPr>
            <w:tcW w:type="dxa" w:w="2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Interfaces de programación de aplicaciones (API) de plataformas de atención ciudadana</w:t>
            </w:r>
          </w:p>
        </w:tc>
        <w:tc>
          <w:tcPr>
            <w:tcW w:type="dxa" w:w="15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expuesto públicamente</w:t>
            </w:r>
          </w:p>
        </w:tc>
        <w:tc>
          <w:tcPr>
            <w:tcW w:type="dxa" w:w="2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No aplica</w:t>
            </w:r>
          </w:p>
        </w:tc>
        <w:tc>
          <w:tcPr>
            <w:tcW w:type="dxa" w:w="1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Descartado</w:t>
            </w:r>
          </w:p>
        </w:tc>
      </w:tr>
    </w:tbl>
    <w:p>
      <w:pPr>
        <w:spacing w:after="220" w:before="80"/>
        <w:jc w:val="left"/>
      </w:pPr>
      <w:r>
        <w:rPr>
          <w:rFonts w:ascii="Times New Roman" w:cs="Times New Roman" w:eastAsia="Times New Roman" w:hAnsi="Times New Roman"/>
          <w:i/>
          <w:iCs/>
          <w:color w:val="000000"/>
          <w:sz w:val="20"/>
          <w:szCs w:val="20"/>
        </w:rPr>
        <w:t xml:space="preserve">Tabla 2. Conjuntos de datos y API evaluados. Ninguna alternativa reunía simultáneamente el texto crudo y las etiquetas de clasificación requeridas.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único conjunto de datos encontrado que sí contenía la descripción del incidente fue el publicado en Kaggle. Sin embargo, tampoco resultó utilizable: carecía de las columnas de clasificación que el proyecto necesitaba, específicamente la prioridad del incidente y el área que debía atenderlo. Sus etiquetas correspondían a variables de participación ciudadana, no a la taxonomía de triaje requerida.</w:t>
      </w:r>
    </w:p>
    <w:p>
      <w:pPr>
        <w:pStyle w:val="Heading2"/>
        <w:spacing w:after="140" w:before="240"/>
      </w:pPr>
      <w:r>
        <w:rPr>
          <w:rFonts w:ascii="Times New Roman" w:cs="Times New Roman" w:eastAsia="Times New Roman" w:hAnsi="Times New Roman"/>
          <w:b/>
          <w:bCs/>
          <w:color w:val="000000"/>
          <w:sz w:val="24"/>
          <w:szCs w:val="24"/>
        </w:rPr>
        <w:t xml:space="preserve">3.2. Generación de datos sintéticos</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Ante la ausencia de una fuente pública viable, se optó por construir un conjunto de datos íntegramente sintético que incluyera las columnas necesarias y, adicionalmente, otras vinculadas al contexto peruano: ubigeo, distrito, canal de ingreso, sector del reportante y ciclo de vida del caso.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Durante el desarrollo se constató que buena parte de esas columnas adicionales no llegaría a emplearse en el entrenamiento, dado que la interfaz de registro definida en paralelo no recopilaría dicha información. El conjunto de datos conservó, no obstante, los campos efectivamente utilizados: el texto crudo del reporte y las dos etiquetas objetivo.</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5600"/>
      </w:tblGrid>
      <w:tr>
        <w:trPr>
          <w:tblHeader/>
        </w:trPr>
        <w:tc>
          <w:tcPr>
            <w:tcW w:type="dxa" w:w="32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Característica</w:t>
            </w:r>
          </w:p>
        </w:tc>
        <w:tc>
          <w:tcPr>
            <w:tcW w:type="dxa" w:w="56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Valor</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Registros generados</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5 000</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Categorías de incidente</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8</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Subcategorías</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34</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Niveles de prioridad</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3 (ALTA, MEDIA, BAJA)</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Registros de escritura simulados</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Formal, coloquial e informal</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Longitud media del texto</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Aproximadamente 146 caracteres</w:t>
            </w:r>
          </w:p>
        </w:tc>
      </w:tr>
      <w:tr>
        <w:tc>
          <w:tcPr>
            <w:tcW w:type="dxa" w:w="3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Campos efectivamente usados en el entrenamiento</w:t>
            </w:r>
          </w:p>
        </w:tc>
        <w:tc>
          <w:tcPr>
            <w:tcW w:type="dxa" w:w="5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Texto del reporte, categoría, prioridad</w:t>
            </w:r>
          </w:p>
        </w:tc>
      </w:tr>
    </w:tbl>
    <w:p>
      <w:pPr>
        <w:spacing w:after="220" w:before="80"/>
        <w:jc w:val="left"/>
      </w:pPr>
      <w:r>
        <w:rPr>
          <w:rFonts w:ascii="Times New Roman" w:cs="Times New Roman" w:eastAsia="Times New Roman" w:hAnsi="Times New Roman"/>
          <w:i/>
          <w:iCs/>
          <w:color w:val="000000"/>
          <w:sz w:val="20"/>
          <w:szCs w:val="20"/>
        </w:rPr>
        <w:t xml:space="preserve">Tabla 3. Características del conjunto de datos sintético generado.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 reconoce como limitación que un modelo entrenado exclusivamente con datos generados a partir de plantillas puede sobreajustarse a las estructuras sintácticas de estas y degradar su desempeño frente a texto ciudadano real. El conjunto sintético cumple la función de permitir la validación del pipeline y de la arquitectura; su reemplazo o ampliación con reportes reales etiquetados manualmente queda identificado como trabajo posterior.</w:t>
      </w:r>
    </w:p>
    <w:p>
      <w:pPr>
        <w:pStyle w:val="Heading2"/>
        <w:spacing w:after="140" w:before="240"/>
      </w:pPr>
      <w:r>
        <w:rPr>
          <w:rFonts w:ascii="Times New Roman" w:cs="Times New Roman" w:eastAsia="Times New Roman" w:hAnsi="Times New Roman"/>
          <w:b/>
          <w:bCs/>
          <w:color w:val="000000"/>
          <w:sz w:val="24"/>
          <w:szCs w:val="24"/>
        </w:rPr>
        <w:t xml:space="preserve">3.3. Revisión bibliográfica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 realizó una investigación asistida por inteligencia artificial orientada a identificar publicaciones académicas que hubieran abordado problemas equivalentes de clasificación de reportes ciudadanos. Los hallazgos sustentaron las decisiones de arquitectura descritas en la sección anterior, en particular la adopción de transfer learning sobre un modelo preentrenado en español y la conveniencia de un ajuste fino breve, de dos a cuatro épocas, frente a un entrenamiento extenso.</w:t>
      </w:r>
    </w:p>
    <w:p>
      <w:pPr>
        <w:pStyle w:val="Heading2"/>
        <w:spacing w:after="140" w:before="240"/>
      </w:pPr>
      <w:r>
        <w:rPr>
          <w:rFonts w:ascii="Times New Roman" w:cs="Times New Roman" w:eastAsia="Times New Roman" w:hAnsi="Times New Roman"/>
          <w:b/>
          <w:bCs/>
          <w:color w:val="000000"/>
          <w:sz w:val="24"/>
          <w:szCs w:val="24"/>
        </w:rPr>
        <w:t xml:space="preserve">3.4. Entorno de desarrollo y cómputo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 seleccionó Google Colab como entorno de entrenamiento por tres razones: es una herramienta gratuita, el equipo cuenta con experiencia previa en su uso, y ofrece acceso a aceleración por hardware mediante GPU NVIDIA T4, capacidad suficiente para el ajuste fino de un modelo de esta escala. Con el volumen de datos manejado y textos cortos, cada época de entrenamiento se completa en pocos minutos.</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6200"/>
      </w:tblGrid>
      <w:tr>
        <w:trPr>
          <w:tblHeader/>
        </w:trPr>
        <w:tc>
          <w:tcPr>
            <w:tcW w:type="dxa" w:w="26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Recurso</w:t>
            </w:r>
          </w:p>
        </w:tc>
        <w:tc>
          <w:tcPr>
            <w:tcW w:type="dxa" w:w="62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Detalle</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Entorno de ejecución</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Google Colab (gratuito)</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Aceleración por hardware</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GPU NVIDIA T4</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Lenguaje</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Python 3</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Marcos de trabajo</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PyTorch, Hugging Face Transformers, Hugging Face Datasets</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Bibliotecas de apoyo</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scikit-learn, pandas, NumPy, Matplotlib, Seaborn</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Modelo base</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BETO — dccuchile/bert-base-spanish-wwm-cased</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Almacenamiento de pesos</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Google Drive</w:t>
            </w:r>
          </w:p>
        </w:tc>
      </w:tr>
      <w:tr>
        <w:tc>
          <w:tcPr>
            <w:tcW w:type="dxa" w:w="26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Despliegue</w:t>
            </w:r>
          </w:p>
        </w:tc>
        <w:tc>
          <w:tcPr>
            <w:tcW w:type="dxa" w:w="62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Local</w:t>
            </w:r>
          </w:p>
        </w:tc>
      </w:tr>
    </w:tbl>
    <w:p>
      <w:pPr>
        <w:spacing w:after="220" w:before="80"/>
        <w:jc w:val="left"/>
      </w:pPr>
      <w:r>
        <w:rPr>
          <w:rFonts w:ascii="Times New Roman" w:cs="Times New Roman" w:eastAsia="Times New Roman" w:hAnsi="Times New Roman"/>
          <w:i/>
          <w:iCs/>
          <w:color w:val="000000"/>
          <w:sz w:val="20"/>
          <w:szCs w:val="20"/>
        </w:rPr>
        <w:t xml:space="preserve">Tabla 4. Recursos técnicos empleados.</w:t>
      </w:r>
    </w:p>
    <w:p>
      <w:pPr>
        <w:pStyle w:val="Heading2"/>
        <w:spacing w:after="140" w:before="240"/>
      </w:pPr>
      <w:r>
        <w:rPr>
          <w:rFonts w:ascii="Times New Roman" w:cs="Times New Roman" w:eastAsia="Times New Roman" w:hAnsi="Times New Roman"/>
          <w:b/>
          <w:bCs/>
          <w:color w:val="000000"/>
          <w:sz w:val="24"/>
          <w:szCs w:val="24"/>
        </w:rPr>
        <w:t xml:space="preserve">3.5. Modelo preentrenado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 evaluó qué modelo preentrenado permitía aplicar transfer learning en lugar de entrenar desde cero. La elección recayó en BETO, un modelo tipo BERT preentrenado sobre corpus en español, que ya comprende la gramática y la semántica del idioma.</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Para adaptarlo a la clasificación de reportes de incidencias urbanas basta con incorporar una capa final de clasificación y entrenarlo durante dos a cuatro épocas sobre un conjunto de datos municipal reducido, obteniendo resultados de vanguardia. Los pesos del codificador llegan preentrenados y se transfieren íntegramente; únicamente la cabeza de clasificación se inicializa de forma aleatoria y se entrena desde cero.</w:t>
      </w:r>
    </w:p>
    <w:p>
      <w:pPr>
        <w:pStyle w:val="Heading2"/>
        <w:spacing w:after="140" w:before="240"/>
      </w:pPr>
      <w:r>
        <w:rPr>
          <w:rFonts w:ascii="Times New Roman" w:cs="Times New Roman" w:eastAsia="Times New Roman" w:hAnsi="Times New Roman"/>
          <w:b/>
          <w:bCs/>
          <w:color w:val="000000"/>
          <w:sz w:val="24"/>
          <w:szCs w:val="24"/>
        </w:rPr>
        <w:t xml:space="preserve">3.6. Procedimiento de entrenamiento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Se empleó un único cuaderno de trabajo, ejecutado dos veces. Entre una ejecución y otra se modificó exclusivamente el parámetro que indica la variable objetivo a predecir: en la primera pasada, la categoría del incidente; en la segunda, la prioridad. El resto de la configuración —número de clases, pesos de clase y métricas— se ajusta automáticamente a partir de la variable seleccionada, lo que evita duplicar código y reduce la probabilidad de error.</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De cada ejecución se descargaron los pesos del modelo entrenado, obteniéndose así los dos artefactos independientes que la arquitectura requiere.</w:t>
      </w:r>
    </w:p>
    <w:tbl>
      <w:tblPr>
        <w:tblW w:type="dxa" w:w="88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5400"/>
      </w:tblGrid>
      <w:tr>
        <w:trPr>
          <w:tblHeader/>
        </w:trPr>
        <w:tc>
          <w:tcPr>
            <w:tcW w:type="dxa" w:w="3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Parámetro</w:t>
            </w:r>
          </w:p>
        </w:tc>
        <w:tc>
          <w:tcPr>
            <w:tcW w:type="dxa" w:w="5400"/>
            <w:shd w:fill="D9D9D9" w:color="auto" w:val="clear"/>
            <w:tcMar>
              <w:top w:type="dxa" w:w="80"/>
              <w:left w:type="dxa" w:w="110"/>
              <w:bottom w:type="dxa" w:w="80"/>
              <w:right w:type="dxa" w:w="110"/>
            </w:tcMar>
          </w:tcPr>
          <w:p>
            <w:pPr>
              <w:spacing w:after="0" w:line="260"/>
              <w:jc w:val="left"/>
            </w:pPr>
            <w:r>
              <w:rPr>
                <w:rFonts w:ascii="Times New Roman" w:cs="Times New Roman" w:eastAsia="Times New Roman" w:hAnsi="Times New Roman"/>
                <w:b/>
                <w:bCs/>
                <w:color w:val="000000"/>
                <w:sz w:val="22"/>
                <w:szCs w:val="22"/>
              </w:rPr>
              <w:t xml:space="preserve">Valor</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Épocas</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4</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Tasa de aprendizaje</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2 × 10⁻⁵</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Tamaño de lote (entrenamiento)</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16</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Tamaño de lote (evaluación)</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32</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Longitud máxima de secuencia</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128 tokens</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Decaimiento de pesos</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0.01</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Proporción de calentamiento</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0.1</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Ponderación de clases</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Activada (inversa a la frecuencia)</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Partición</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70 % entrenamiento / 15 % validación / 15 % prueba, estratificada</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Métrica de selección</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F1 macro</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Precisión mixta</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Activada (FP16 en GPU)</w:t>
            </w:r>
          </w:p>
        </w:tc>
      </w:tr>
      <w:tr>
        <w:tc>
          <w:tcPr>
            <w:tcW w:type="dxa" w:w="3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Semilla</w:t>
            </w:r>
          </w:p>
        </w:tc>
        <w:tc>
          <w:tcPr>
            <w:tcW w:type="dxa" w:w="5400"/>
            <w:tcMar>
              <w:top w:type="dxa" w:w="80"/>
              <w:left w:type="dxa" w:w="110"/>
              <w:bottom w:type="dxa" w:w="80"/>
              <w:right w:type="dxa" w:w="110"/>
            </w:tcMar>
          </w:tcPr>
          <w:p>
            <w:pPr>
              <w:spacing w:after="0" w:line="260"/>
              <w:jc w:val="left"/>
            </w:pPr>
            <w:r>
              <w:rPr>
                <w:rFonts w:ascii="Times New Roman" w:cs="Times New Roman" w:eastAsia="Times New Roman" w:hAnsi="Times New Roman"/>
                <w:b w:val="false"/>
                <w:bCs w:val="false"/>
                <w:color w:val="000000"/>
                <w:sz w:val="22"/>
                <w:szCs w:val="22"/>
              </w:rPr>
              <w:t xml:space="preserve">42</w:t>
            </w:r>
          </w:p>
        </w:tc>
      </w:tr>
    </w:tbl>
    <w:p>
      <w:pPr>
        <w:spacing w:after="220" w:before="80"/>
        <w:jc w:val="left"/>
      </w:pPr>
      <w:r>
        <w:rPr>
          <w:rFonts w:ascii="Times New Roman" w:cs="Times New Roman" w:eastAsia="Times New Roman" w:hAnsi="Times New Roman"/>
          <w:i/>
          <w:iCs/>
          <w:color w:val="000000"/>
          <w:sz w:val="20"/>
          <w:szCs w:val="20"/>
        </w:rPr>
        <w:t xml:space="preserve">Tabla 5. Configuración de entrenamiento, común a ambos modelos.</w:t>
      </w:r>
    </w:p>
    <w:p>
      <w:pPr>
        <w:pStyle w:val="Heading2"/>
        <w:spacing w:after="140" w:before="240"/>
      </w:pPr>
      <w:r>
        <w:rPr>
          <w:rFonts w:ascii="Times New Roman" w:cs="Times New Roman" w:eastAsia="Times New Roman" w:hAnsi="Times New Roman"/>
          <w:b/>
          <w:bCs/>
          <w:color w:val="000000"/>
          <w:sz w:val="24"/>
          <w:szCs w:val="24"/>
        </w:rPr>
        <w:t xml:space="preserve">3.7. Control de versiones y almacenamiento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El repositorio inicial se alojó en GitHub. Se migró el almacenamiento a Google Drive debido a que el tamaño de los pesos de los modelos entrenados impedía completar las confirmaciones de cambios sobre ellos. GitHub se mantuvo para el código; Drive, para los artefactos de gran tamaño.</w:t>
      </w:r>
    </w:p>
    <w:p>
      <w:pPr>
        <w:pStyle w:val="Heading2"/>
        <w:spacing w:after="140" w:before="240"/>
      </w:pPr>
      <w:r>
        <w:rPr>
          <w:rFonts w:ascii="Times New Roman" w:cs="Times New Roman" w:eastAsia="Times New Roman" w:hAnsi="Times New Roman"/>
          <w:b/>
          <w:bCs/>
          <w:color w:val="000000"/>
          <w:sz w:val="24"/>
          <w:szCs w:val="24"/>
        </w:rPr>
        <w:t xml:space="preserve">3.8. Interfaz de registro</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En paralelo al entrenamiento se definió qué información recopilaría la interfaz de registro de incidentes. Esta decisión, tomada de forma concurrente, determinó retroactivamente que varias columnas del conjunto de datos sintético quedaran fuera del alcance del modelo, al no estar disponibles en el momento de la captura del reporte.</w:t>
      </w:r>
    </w:p>
    <w:p>
      <w:pPr>
        <w:pStyle w:val="Heading2"/>
        <w:spacing w:after="140" w:before="240"/>
      </w:pPr>
      <w:r>
        <w:rPr>
          <w:rFonts w:ascii="Times New Roman" w:cs="Times New Roman" w:eastAsia="Times New Roman" w:hAnsi="Times New Roman"/>
          <w:b/>
          <w:bCs/>
          <w:color w:val="000000"/>
          <w:sz w:val="24"/>
          <w:szCs w:val="24"/>
        </w:rPr>
        <w:t xml:space="preserve">3.9. Despliegue</w:t>
      </w:r>
    </w:p>
    <w:p>
      <w:pPr>
        <w:spacing w:after="120" w:line="276"/>
        <w:jc w:val="both"/>
      </w:pPr>
      <w:r>
        <w:rPr>
          <w:rFonts w:ascii="Times New Roman" w:cs="Times New Roman" w:eastAsia="Times New Roman" w:hAnsi="Times New Roman"/>
          <w:b w:val="false"/>
          <w:bCs w:val="false"/>
          <w:i w:val="false"/>
          <w:iCs w:val="false"/>
          <w:color w:val="000000"/>
          <w:sz w:val="24"/>
          <w:szCs w:val="24"/>
        </w:rPr>
        <w:t xml:space="preserve">La intención original era desplegar la solución en una máquina provista por la Pontificia Universidad Católica del Perú. No fue posible establecer la conexión con dicho recurso, por lo que el despliegue se realizó en entorno local.</w:t>
      </w:r>
    </w:p>
    <w:sectPr>
      <w:footerReference w:type="default" r:id="rId7"/>
      <w:pgSz w:w="11906" w:h="16838" w:orient="portrait"/>
      <w:pgMar w:top="1440" w:right="1440" w:bottom="1440" w:left="1440"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120"/>
      <w:jc w:val="center"/>
    </w:pPr>
    <w:r>
      <w:rPr>
        <w:rFonts w:ascii="Times New Roman" w:cs="Times New Roman" w:eastAsia="Times New Roman" w:hAnsi="Times New Roman"/>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4" w:hanging="288"/>
      </w:pPr>
      <w:rPr>
        <w:rFonts w:ascii="Times New Roman" w:cs="Times New Roman" w:eastAsia="Times New Roman" w:hAnsi="Times New Roman"/>
        <w:color w:val="000000"/>
      </w:rPr>
    </w:lvl>
    <w:lvl w:ilvl="1" w15:tentative="1">
      <w:start w:val="1"/>
      <w:numFmt w:val="bullet"/>
      <w:lvlText w:val="–"/>
      <w:lvlJc w:val="left"/>
      <w:pPr>
        <w:ind w:left="1008" w:hanging="288"/>
      </w:pPr>
      <w:rPr>
        <w:rFonts w:ascii="Times New Roman" w:cs="Times New Roman" w:eastAsia="Times New Roman" w:hAnsi="Times New Roman"/>
        <w:color w:val="000000"/>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80" w:before="32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spacing w:after="140" w:before="240"/>
    </w:pPr>
    <w:rPr>
      <w:rFonts w:ascii="Times New Roman" w:cs="Times New Roman" w:eastAsia="Times New Roman" w:hAnsi="Times New Roman"/>
      <w:b/>
      <w:bCs/>
      <w:color w:val="000000"/>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76"/>
    </w:pPr>
    <w:rPr>
      <w:rFonts w:ascii="Times New Roman" w:cs="Times New Roman" w:eastAsia="Times New Roman" w:hAnsi="Times New Roman"/>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técnico — Clasificación automática de reportes ciudadanos</dc:title>
  <dc:creator>Equipo Hackatón</dc:creator>
  <cp:lastModifiedBy>Un-named</cp:lastModifiedBy>
  <cp:revision>1</cp:revision>
  <dcterms:created xsi:type="dcterms:W3CDTF">2026-07-16T15:12:30.851Z</dcterms:created>
  <dcterms:modified xsi:type="dcterms:W3CDTF">2026-07-16T15:12:30.867Z</dcterms:modified>
</cp:coreProperties>
</file>

<file path=docProps/custom.xml><?xml version="1.0" encoding="utf-8"?>
<Properties xmlns="http://schemas.openxmlformats.org/officeDocument/2006/custom-properties" xmlns:vt="http://schemas.openxmlformats.org/officeDocument/2006/docPropsVTypes"/>
</file>