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211E" w:rsidRDefault="0004129F">
      <w:pPr>
        <w:spacing w:after="0"/>
      </w:pPr>
      <w:r>
        <w:rPr>
          <w:noProof/>
        </w:rPr>
        <w:drawing>
          <wp:anchor distT="0" distB="0" distL="114300" distR="114300" simplePos="0" relativeHeight="251658240" behindDoc="0" locked="0" layoutInCell="1" allowOverlap="1">
            <wp:simplePos x="0" y="0"/>
            <wp:positionH relativeFrom="page">
              <wp:posOffset>6067738</wp:posOffset>
            </wp:positionH>
            <wp:positionV relativeFrom="paragraph">
              <wp:posOffset>-504520</wp:posOffset>
            </wp:positionV>
            <wp:extent cx="1086592" cy="1241645"/>
            <wp:effectExtent l="0" t="0" r="0" b="0"/>
            <wp:wrapNone/>
            <wp:docPr id="1" name="Imagen 1" descr="La Facultad - Facultad de Dere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Facultad - Facultad de Derech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6592" cy="124164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2211E" w:rsidRDefault="00C2211E">
      <w:pPr>
        <w:spacing w:after="0"/>
      </w:pPr>
    </w:p>
    <w:p w:rsidR="00C2211E" w:rsidRDefault="00C2211E">
      <w:pPr>
        <w:spacing w:after="0"/>
      </w:pPr>
    </w:p>
    <w:p w:rsidR="00C2211E" w:rsidRDefault="004D514E">
      <w:pPr>
        <w:jc w:val="center"/>
      </w:pPr>
      <w:r>
        <w:rPr>
          <w:b/>
          <w:bCs/>
          <w:sz w:val="28"/>
          <w:szCs w:val="28"/>
        </w:rPr>
        <w:t>PONTIFICIA UNIVERSIDAD CATÓLICA DEL PERÚ</w:t>
      </w:r>
    </w:p>
    <w:p w:rsidR="00C2211E" w:rsidRDefault="004D514E">
      <w:pPr>
        <w:spacing w:after="900"/>
        <w:jc w:val="center"/>
      </w:pPr>
      <w:r>
        <w:t>FACULTAD DE CIENCIAS E INGENIERÍA</w:t>
      </w:r>
    </w:p>
    <w:p w:rsidR="00C2211E" w:rsidRDefault="004D514E">
      <w:pPr>
        <w:spacing w:after="200"/>
        <w:jc w:val="center"/>
      </w:pPr>
      <w:r>
        <w:rPr>
          <w:b/>
          <w:bCs/>
        </w:rPr>
        <w:t>INFORME TÉCNICO</w:t>
      </w:r>
    </w:p>
    <w:p w:rsidR="00C2211E" w:rsidRDefault="004D514E">
      <w:pPr>
        <w:spacing w:after="160" w:line="340" w:lineRule="auto"/>
        <w:jc w:val="center"/>
      </w:pPr>
      <w:r>
        <w:rPr>
          <w:b/>
          <w:bCs/>
          <w:sz w:val="32"/>
          <w:szCs w:val="32"/>
        </w:rPr>
        <w:t>CLASIFICACIÓN AUTOMÁTICA DE REPORTES CIUDADANOS</w:t>
      </w:r>
    </w:p>
    <w:p w:rsidR="00C2211E" w:rsidRDefault="004D514E">
      <w:pPr>
        <w:spacing w:after="900" w:line="340" w:lineRule="auto"/>
        <w:jc w:val="center"/>
      </w:pPr>
      <w:r>
        <w:rPr>
          <w:b/>
          <w:bCs/>
          <w:sz w:val="32"/>
          <w:szCs w:val="32"/>
        </w:rPr>
        <w:t>SOBRE INCIDENTES EN LA VÍA PÚBLICA MEDIANTE TRANSFER LEARNING CON BETO</w:t>
      </w:r>
    </w:p>
    <w:p w:rsidR="00C2211E" w:rsidRDefault="004D514E">
      <w:pPr>
        <w:spacing w:after="700"/>
        <w:jc w:val="center"/>
      </w:pPr>
      <w:r>
        <w:rPr>
          <w:i/>
          <w:iCs/>
        </w:rPr>
        <w:t xml:space="preserve">Proyecto desarrollado en el marco del </w:t>
      </w:r>
      <w:proofErr w:type="spellStart"/>
      <w:r>
        <w:rPr>
          <w:i/>
          <w:iCs/>
        </w:rPr>
        <w:t>Hackatón</w:t>
      </w:r>
      <w:proofErr w:type="spellEnd"/>
    </w:p>
    <w:p w:rsidR="00C2211E" w:rsidRDefault="004D514E">
      <w:pPr>
        <w:spacing w:after="100"/>
        <w:jc w:val="center"/>
      </w:pPr>
      <w:r>
        <w:rPr>
          <w:b/>
          <w:bCs/>
        </w:rPr>
        <w:t>EQUIPO</w:t>
      </w:r>
    </w:p>
    <w:p w:rsidR="0004129F" w:rsidRDefault="0004129F" w:rsidP="0004129F">
      <w:pPr>
        <w:spacing w:after="60"/>
        <w:jc w:val="center"/>
      </w:pPr>
      <w:r>
        <w:t>20222031 Benny Baca</w:t>
      </w:r>
    </w:p>
    <w:p w:rsidR="0004129F" w:rsidRDefault="0004129F" w:rsidP="0004129F">
      <w:pPr>
        <w:spacing w:after="60"/>
        <w:jc w:val="center"/>
      </w:pPr>
      <w:r>
        <w:t>20221466 Rodrigo Holguín</w:t>
      </w:r>
    </w:p>
    <w:p w:rsidR="0004129F" w:rsidRDefault="0004129F" w:rsidP="0004129F">
      <w:pPr>
        <w:spacing w:after="60"/>
        <w:jc w:val="center"/>
      </w:pPr>
      <w:r>
        <w:t>20220293 Alonso Reyes</w:t>
      </w:r>
    </w:p>
    <w:p w:rsidR="0004129F" w:rsidRDefault="0004129F" w:rsidP="0004129F">
      <w:pPr>
        <w:spacing w:after="60"/>
        <w:jc w:val="center"/>
      </w:pPr>
      <w:r>
        <w:t>20212129 Julián Lino</w:t>
      </w:r>
    </w:p>
    <w:p w:rsidR="0004129F" w:rsidRDefault="0004129F" w:rsidP="0004129F">
      <w:pPr>
        <w:spacing w:after="60"/>
        <w:jc w:val="center"/>
      </w:pPr>
      <w:r>
        <w:t>20221386 Reynaldo Mamani</w:t>
      </w:r>
    </w:p>
    <w:p w:rsidR="0004129F" w:rsidRDefault="0004129F" w:rsidP="0004129F">
      <w:pPr>
        <w:spacing w:after="60"/>
        <w:jc w:val="center"/>
      </w:pPr>
    </w:p>
    <w:p w:rsidR="0004129F" w:rsidRDefault="0004129F" w:rsidP="0004129F">
      <w:pPr>
        <w:spacing w:after="60"/>
        <w:jc w:val="center"/>
      </w:pPr>
    </w:p>
    <w:p w:rsidR="00C2211E" w:rsidRDefault="004D514E">
      <w:pPr>
        <w:spacing w:after="60"/>
        <w:jc w:val="center"/>
      </w:pPr>
      <w:r>
        <w:t>Lima, Perú</w:t>
      </w:r>
    </w:p>
    <w:p w:rsidR="00C2211E" w:rsidRDefault="004D514E">
      <w:pPr>
        <w:spacing w:after="0"/>
        <w:jc w:val="center"/>
      </w:pPr>
      <w:r>
        <w:t>2026</w:t>
      </w:r>
    </w:p>
    <w:p w:rsidR="00C2211E" w:rsidRDefault="00C2211E">
      <w:pPr>
        <w:sectPr w:rsidR="00C2211E">
          <w:pgSz w:w="11906" w:h="16838"/>
          <w:pgMar w:top="1440" w:right="1440" w:bottom="1440" w:left="1440" w:header="708" w:footer="708" w:gutter="0"/>
          <w:cols w:space="720"/>
          <w:docGrid w:linePitch="360"/>
        </w:sectPr>
      </w:pPr>
    </w:p>
    <w:p w:rsidR="00C2211E" w:rsidRDefault="004D514E">
      <w:pPr>
        <w:pStyle w:val="Ttulo1"/>
      </w:pPr>
      <w:r>
        <w:lastRenderedPageBreak/>
        <w:t>1. Descripción del problema</w:t>
      </w:r>
    </w:p>
    <w:p w:rsidR="00C2211E" w:rsidRDefault="004D514E">
      <w:pPr>
        <w:pStyle w:val="Ttulo2"/>
      </w:pPr>
      <w:r>
        <w:t>1.1. Contexto</w:t>
      </w:r>
    </w:p>
    <w:p w:rsidR="00C2211E" w:rsidRDefault="004D514E">
      <w:pPr>
        <w:jc w:val="both"/>
      </w:pPr>
      <w:r>
        <w:t>La atención de incidentes ocurridos en la vía pública</w:t>
      </w:r>
      <w:r w:rsidR="005F4E83">
        <w:t xml:space="preserve"> (</w:t>
      </w:r>
      <w:r>
        <w:t>baches, alumbrado inoperativo, acumulación de residuos, fugas de agua, semáforos malogrados, entre otros</w:t>
      </w:r>
      <w:r w:rsidR="005F4E83">
        <w:t>)</w:t>
      </w:r>
      <w:r>
        <w:t xml:space="preserve"> constituye una de las principales interacciones entre la ciudadanía y las entidades del Estado a nivel local. En el Perú, los canales de reporte existentes (plataformas web, aplicativos móviles, centrales telefónicas y mesas de partes presenciales) recogen la incidencia en formato de texto libre: el ciudadano describe con sus propias palabras qué ocurre y dónde ocurre.</w:t>
      </w:r>
    </w:p>
    <w:p w:rsidR="00C2211E" w:rsidRDefault="004D514E">
      <w:pPr>
        <w:jc w:val="both"/>
      </w:pPr>
      <w:r>
        <w:t>Este formato es el correcto desde la perspectiva del usuario, porque no le exige conocer la estructura administrativa del Estado ni la taxonomía interna de la entidad. Sin embargo, traslada íntegramente el costo de interpretación al lado receptor.</w:t>
      </w:r>
    </w:p>
    <w:p w:rsidR="00C2211E" w:rsidRDefault="004D514E">
      <w:pPr>
        <w:pStyle w:val="Ttulo2"/>
      </w:pPr>
      <w:r>
        <w:t>1.2. Problema identificado</w:t>
      </w:r>
    </w:p>
    <w:p w:rsidR="00C2211E" w:rsidRDefault="004D514E">
      <w:pPr>
        <w:jc w:val="both"/>
      </w:pPr>
      <w:r>
        <w:t>Una vez recibido el reporte, un operador humano debe leerlo y ejecutar dos decisiones antes de que el caso pueda avanzar:</w:t>
      </w:r>
    </w:p>
    <w:p w:rsidR="00C2211E" w:rsidRDefault="004D514E">
      <w:pPr>
        <w:pStyle w:val="Prrafodelista"/>
        <w:numPr>
          <w:ilvl w:val="0"/>
          <w:numId w:val="2"/>
        </w:numPr>
        <w:spacing w:after="100"/>
        <w:jc w:val="both"/>
      </w:pPr>
      <w:r>
        <w:t>Determinar a qué categoría de incidente corresponde, y por consiguiente qué área o entidad es competente para atenderlo (municipalidad distrital, municipalidad provincial, empresa concesionaria de electricidad, empresa prestadora de servicios de saneamiento, serenazgo, entre otras).</w:t>
      </w:r>
    </w:p>
    <w:p w:rsidR="00C2211E" w:rsidRDefault="004D514E">
      <w:pPr>
        <w:pStyle w:val="Prrafodelista"/>
        <w:numPr>
          <w:ilvl w:val="0"/>
          <w:numId w:val="2"/>
        </w:numPr>
        <w:spacing w:after="100"/>
        <w:jc w:val="both"/>
      </w:pPr>
      <w:r>
        <w:t>Determinar la prioridad de atención, es decir, cuán urgente es respecto de los demás reportes en cola.</w:t>
      </w:r>
    </w:p>
    <w:p w:rsidR="00C2211E" w:rsidRDefault="004D514E">
      <w:pPr>
        <w:jc w:val="both"/>
      </w:pPr>
      <w:r>
        <w:t xml:space="preserve">Este </w:t>
      </w:r>
      <w:proofErr w:type="spellStart"/>
      <w:r>
        <w:t>triaje</w:t>
      </w:r>
      <w:proofErr w:type="spellEnd"/>
      <w:r>
        <w:t xml:space="preserve"> manual presenta cuatro limitaciones concretas:</w:t>
      </w:r>
    </w:p>
    <w:p w:rsidR="00C2211E" w:rsidRDefault="004D514E">
      <w:pPr>
        <w:pStyle w:val="Prrafodelista"/>
        <w:numPr>
          <w:ilvl w:val="0"/>
          <w:numId w:val="2"/>
        </w:numPr>
        <w:spacing w:after="100"/>
        <w:jc w:val="both"/>
      </w:pPr>
      <w:r>
        <w:t>Latencia. El reporte permanece sin clasificar hasta que un operador lo revisa, tiempo que se suma íntegramente al plazo de atención y que es especialmente crítico en incidentes de riesgo inmediato, como un cable de energía caído o un buzón sin tapa.</w:t>
      </w:r>
    </w:p>
    <w:p w:rsidR="00C2211E" w:rsidRDefault="004D514E">
      <w:pPr>
        <w:pStyle w:val="Prrafodelista"/>
        <w:numPr>
          <w:ilvl w:val="0"/>
          <w:numId w:val="2"/>
        </w:numPr>
        <w:spacing w:after="100"/>
        <w:jc w:val="both"/>
      </w:pPr>
      <w:r>
        <w:t>Inconsistencia. La clasificación depende del criterio del operador de turno. Reportes equivalentes reciben categorías o prioridades distintas, lo que degrada la calidad de los indicadores de gestión construidos sobre esa información.</w:t>
      </w:r>
    </w:p>
    <w:p w:rsidR="00C2211E" w:rsidRDefault="004D514E">
      <w:pPr>
        <w:pStyle w:val="Prrafodelista"/>
        <w:numPr>
          <w:ilvl w:val="0"/>
          <w:numId w:val="2"/>
        </w:numPr>
        <w:spacing w:after="100"/>
        <w:jc w:val="both"/>
      </w:pPr>
      <w:r>
        <w:t>Escalabilidad. El costo de operación crece linealmente con el volumen de reportes, mientras que la capacidad de la mesa de atención es fija.</w:t>
      </w:r>
    </w:p>
    <w:p w:rsidR="00C2211E" w:rsidRDefault="004D514E">
      <w:pPr>
        <w:pStyle w:val="Prrafodelista"/>
        <w:numPr>
          <w:ilvl w:val="0"/>
          <w:numId w:val="2"/>
        </w:numPr>
        <w:spacing w:after="100"/>
        <w:jc w:val="both"/>
      </w:pPr>
      <w:r>
        <w:t>Derivación incorrecta. Un error de clasificación deriva el caso a un área no competente, que lo devuelve o lo reasigna, reiniciando el ciclo y generando reprocesos.</w:t>
      </w:r>
    </w:p>
    <w:p w:rsidR="00C2211E" w:rsidRDefault="004D514E">
      <w:pPr>
        <w:pStyle w:val="Ttulo2"/>
      </w:pPr>
      <w:r>
        <w:t>1.3. Objetivo</w:t>
      </w:r>
    </w:p>
    <w:p w:rsidR="00C2211E" w:rsidRDefault="004D514E">
      <w:pPr>
        <w:jc w:val="both"/>
      </w:pPr>
      <w:r>
        <w:t xml:space="preserve">Desarrollar un sistema que, a partir únicamente del texto libre redactado por el ciudadano, prediga automáticamente la categoría del incidente y su prioridad de atención, permitiendo la derivación inmediata al área competente sin intervención humana en el </w:t>
      </w:r>
      <w:proofErr w:type="spellStart"/>
      <w:r>
        <w:t>triaje</w:t>
      </w:r>
      <w:proofErr w:type="spellEnd"/>
      <w:r>
        <w:t>.</w:t>
      </w:r>
    </w:p>
    <w:p w:rsidR="00E27785" w:rsidRDefault="00E27785" w:rsidP="00E27785">
      <w:pPr>
        <w:ind w:left="708" w:hanging="708"/>
        <w:jc w:val="both"/>
      </w:pPr>
    </w:p>
    <w:p w:rsidR="00C2211E" w:rsidRDefault="004D514E">
      <w:pPr>
        <w:pStyle w:val="Ttulo2"/>
      </w:pPr>
      <w:r>
        <w:lastRenderedPageBreak/>
        <w:t>1.4. Formulación técnica</w:t>
      </w:r>
    </w:p>
    <w:p w:rsidR="00C2211E" w:rsidRDefault="004D514E">
      <w:pPr>
        <w:jc w:val="both"/>
      </w:pPr>
      <w:r>
        <w:t>El problema se formula como dos tareas independientes de clasificación de texto en español, ambas sobre la misma entrada:</w:t>
      </w:r>
    </w:p>
    <w:p w:rsidR="00C2211E" w:rsidRDefault="004D514E">
      <w:pPr>
        <w:pStyle w:val="Prrafodelista"/>
        <w:numPr>
          <w:ilvl w:val="0"/>
          <w:numId w:val="2"/>
        </w:numPr>
        <w:spacing w:after="100"/>
        <w:jc w:val="both"/>
      </w:pPr>
      <w:r>
        <w:t xml:space="preserve">Modelo 1 </w:t>
      </w:r>
      <w:r w:rsidR="00CA3E58">
        <w:t>-</w:t>
      </w:r>
      <w:r>
        <w:t xml:space="preserve"> Clasificación de categoría. Entrada: texto libre. Salida: una de 8 categorías de incidente (vía pública, alumbrado público, limpieza pública, agua y saneamiento, transporte y tránsito, seguridad ciudadana, contaminación y ruido, áreas verdes). De la categoría se deriva la entidad competente.</w:t>
      </w:r>
    </w:p>
    <w:p w:rsidR="00C2211E" w:rsidRDefault="004D514E">
      <w:pPr>
        <w:pStyle w:val="Prrafodelista"/>
        <w:numPr>
          <w:ilvl w:val="0"/>
          <w:numId w:val="2"/>
        </w:numPr>
        <w:spacing w:after="100"/>
        <w:jc w:val="both"/>
      </w:pPr>
      <w:r>
        <w:t xml:space="preserve">Modelo 2 </w:t>
      </w:r>
      <w:r w:rsidR="00CA3E58">
        <w:t>-</w:t>
      </w:r>
      <w:r>
        <w:t xml:space="preserve"> Clasificación de prioridad. Entrada: texto libre. Salida: nivel de prioridad (ALTA, MEDIA, BAJA).</w:t>
      </w:r>
    </w:p>
    <w:p w:rsidR="00C2211E" w:rsidRDefault="004D514E">
      <w:pPr>
        <w:jc w:val="both"/>
      </w:pPr>
      <w:r>
        <w:t>Ambas tareas comparten la misma naturaleza: clasificación multiclase de secuencias cortas en español, con clases desbalanceadas. Esta simetría es la que permite resolverlas con un mismo procedimiento de entrenamiento, ejecutado dos veces.</w:t>
      </w:r>
    </w:p>
    <w:p w:rsidR="00C2211E" w:rsidRDefault="004D514E">
      <w:pPr>
        <w:pStyle w:val="Ttulo2"/>
      </w:pPr>
      <w:r>
        <w:t>1.5. Restricciones y desafíos</w:t>
      </w:r>
    </w:p>
    <w:p w:rsidR="00C2211E" w:rsidRDefault="004D514E">
      <w:pPr>
        <w:jc w:val="both"/>
      </w:pPr>
      <w:r>
        <w:t>El texto ciudadano real presenta características que descartan enfoques basados en reglas o en coincidencia de palabras clave:</w:t>
      </w:r>
    </w:p>
    <w:p w:rsidR="00C2211E" w:rsidRDefault="004D514E">
      <w:pPr>
        <w:pStyle w:val="Prrafodelista"/>
        <w:numPr>
          <w:ilvl w:val="0"/>
          <w:numId w:val="2"/>
        </w:numPr>
        <w:spacing w:after="100"/>
        <w:jc w:val="both"/>
      </w:pPr>
      <w:r>
        <w:t>Variabilidad de registro. El mismo incidente se expresa en registro formal ("Comunico la existencia de un bache de considerable magnitud en la calzada"), coloquial ("hay un hueco grande en la pista") o informal ("hueco enorme q ya lleva meses").</w:t>
      </w:r>
    </w:p>
    <w:p w:rsidR="00C2211E" w:rsidRDefault="004D514E">
      <w:pPr>
        <w:pStyle w:val="Prrafodelista"/>
        <w:numPr>
          <w:ilvl w:val="0"/>
          <w:numId w:val="2"/>
        </w:numPr>
        <w:spacing w:after="100"/>
        <w:jc w:val="both"/>
      </w:pPr>
      <w:r>
        <w:t>Ruido ortográfico. Ausencia de tildes, abreviaturas, escritura íntegra en minúsculas o mayúsculas, y errores de tipeo propios de la escritura desde dispositivos móviles.</w:t>
      </w:r>
    </w:p>
    <w:p w:rsidR="00C2211E" w:rsidRDefault="004D514E">
      <w:pPr>
        <w:pStyle w:val="Prrafodelista"/>
        <w:numPr>
          <w:ilvl w:val="0"/>
          <w:numId w:val="2"/>
        </w:numPr>
        <w:spacing w:after="100"/>
        <w:jc w:val="both"/>
      </w:pPr>
      <w:r>
        <w:t>Léxico regional. Términos de uso local (pista, vereda, buzón, combi, serenazgo) que no aparecen en recursos de español genérico o de otras variedades del idioma.</w:t>
      </w:r>
    </w:p>
    <w:p w:rsidR="00C2211E" w:rsidRDefault="004D514E">
      <w:pPr>
        <w:pStyle w:val="Prrafodelista"/>
        <w:numPr>
          <w:ilvl w:val="0"/>
          <w:numId w:val="2"/>
        </w:numPr>
        <w:spacing w:after="100"/>
        <w:jc w:val="both"/>
      </w:pPr>
      <w:r>
        <w:t>Ausencia de la categoría en el texto. El ciudadano describe el hecho, no la categoría administrativa. La clasificación exige inferencia semántica, no coincidencia léxica.</w:t>
      </w:r>
    </w:p>
    <w:p w:rsidR="00C2211E" w:rsidRDefault="004D514E">
      <w:pPr>
        <w:pStyle w:val="Prrafodelista"/>
        <w:numPr>
          <w:ilvl w:val="0"/>
          <w:numId w:val="2"/>
        </w:numPr>
        <w:spacing w:after="100"/>
        <w:jc w:val="both"/>
      </w:pPr>
      <w:r>
        <w:t>Desbalance de clases. Las categorías no se distribuyen uniformemente y la prioridad MEDIA concentra la mayoría de los registros, lo que invalida la exactitud (</w:t>
      </w:r>
      <w:proofErr w:type="spellStart"/>
      <w:r>
        <w:t>accuracy</w:t>
      </w:r>
      <w:proofErr w:type="spellEnd"/>
      <w:r>
        <w:t>) como métrica de evaluación.</w:t>
      </w:r>
    </w:p>
    <w:p w:rsidR="00C2211E" w:rsidRDefault="004D514E">
      <w:r>
        <w:br w:type="page"/>
      </w:r>
    </w:p>
    <w:p w:rsidR="00C2211E" w:rsidRDefault="004D514E">
      <w:pPr>
        <w:pStyle w:val="Ttulo1"/>
      </w:pPr>
      <w:r>
        <w:lastRenderedPageBreak/>
        <w:t>2. Arquitectura</w:t>
      </w:r>
    </w:p>
    <w:p w:rsidR="00C2211E" w:rsidRDefault="004D514E">
      <w:pPr>
        <w:pStyle w:val="Ttulo2"/>
      </w:pPr>
      <w:r>
        <w:t>2.1. Descripción general</w:t>
      </w:r>
    </w:p>
    <w:p w:rsidR="00C2211E" w:rsidRDefault="004D514E">
      <w:pPr>
        <w:jc w:val="both"/>
      </w:pPr>
      <w:r>
        <w:t xml:space="preserve">La solución se organiza en cuatro etapas secuenciales: ingesta, preprocesamiento, inferencia dual y salida estructurada. El punto central del diseño es que ambos modelos de clasificación consumen exactamente la misma entrada </w:t>
      </w:r>
      <w:r w:rsidR="00DC2D8F">
        <w:t>(</w:t>
      </w:r>
      <w:r>
        <w:t>el texto libre del reporte</w:t>
      </w:r>
      <w:r w:rsidR="00DC2D8F">
        <w:t>)</w:t>
      </w:r>
      <w:r>
        <w:t xml:space="preserve"> y operan en paralelo sobre ella, sin dependencia entre sí.</w:t>
      </w:r>
    </w:p>
    <w:p w:rsidR="00C2211E" w:rsidRDefault="00C20E70">
      <w:pPr>
        <w:spacing w:before="200"/>
        <w:jc w:val="center"/>
      </w:pPr>
      <w:r w:rsidRPr="00C20E70">
        <w:rPr>
          <w:i/>
          <w:iCs/>
          <w:noProof/>
        </w:rPr>
        <w:drawing>
          <wp:inline distT="0" distB="0" distL="0" distR="0" wp14:anchorId="33AE1E0B" wp14:editId="46A3B0CD">
            <wp:extent cx="5731510" cy="5461635"/>
            <wp:effectExtent l="0" t="0" r="0" b="0"/>
            <wp:docPr id="2"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5731510" cy="5461635"/>
                    </a:xfrm>
                    <a:prstGeom prst="rect">
                      <a:avLst/>
                    </a:prstGeom>
                  </pic:spPr>
                </pic:pic>
              </a:graphicData>
            </a:graphic>
          </wp:inline>
        </w:drawing>
      </w:r>
    </w:p>
    <w:p w:rsidR="00C2211E" w:rsidRDefault="004D514E">
      <w:pPr>
        <w:spacing w:after="240"/>
        <w:jc w:val="center"/>
      </w:pPr>
      <w:r>
        <w:rPr>
          <w:i/>
          <w:iCs/>
          <w:sz w:val="20"/>
          <w:szCs w:val="20"/>
        </w:rPr>
        <w:t>Figura 1. Arquitectura de la solución.</w:t>
      </w:r>
    </w:p>
    <w:p w:rsidR="00C2211E" w:rsidRDefault="004D514E">
      <w:pPr>
        <w:pStyle w:val="Ttulo2"/>
      </w:pPr>
      <w:r>
        <w:t>2.2. Etapas</w:t>
      </w:r>
    </w:p>
    <w:p w:rsidR="00C2211E" w:rsidRDefault="004D514E">
      <w:pPr>
        <w:spacing w:before="160" w:after="80"/>
      </w:pPr>
      <w:r>
        <w:rPr>
          <w:b/>
          <w:bCs/>
        </w:rPr>
        <w:t>Ingesta.</w:t>
      </w:r>
    </w:p>
    <w:p w:rsidR="00C2211E" w:rsidRDefault="004D514E">
      <w:pPr>
        <w:jc w:val="both"/>
      </w:pPr>
      <w:r>
        <w:t xml:space="preserve">Una interfaz web de registro de incidentes recoge el reporte del ciudadano. El campo relevante para el modelo es la descripción en texto libre; los campos de ubicación y contacto acompañan al </w:t>
      </w:r>
      <w:proofErr w:type="gramStart"/>
      <w:r>
        <w:t>caso</w:t>
      </w:r>
      <w:proofErr w:type="gramEnd"/>
      <w:r>
        <w:t xml:space="preserve"> pero no participan en la clasificación.</w:t>
      </w:r>
    </w:p>
    <w:p w:rsidR="00C2211E" w:rsidRDefault="004D514E">
      <w:pPr>
        <w:spacing w:before="160" w:after="80"/>
      </w:pPr>
      <w:r>
        <w:rPr>
          <w:b/>
          <w:bCs/>
        </w:rPr>
        <w:lastRenderedPageBreak/>
        <w:t>Preprocesamiento.</w:t>
      </w:r>
    </w:p>
    <w:p w:rsidR="00C2211E" w:rsidRDefault="004D514E">
      <w:pPr>
        <w:jc w:val="both"/>
      </w:pPr>
      <w:r>
        <w:t xml:space="preserve">Normalización mínima y no destructiva: unificación de la representación de acentos (NFC), reemplazo de espacios duros, eliminación de caracteres de control y colapso de espacios en blanco redundantes. Deliberadamente no se aplica el preprocesamiento clásico de PLN </w:t>
      </w:r>
      <w:r w:rsidR="00A53F1E">
        <w:t>(</w:t>
      </w:r>
      <w:r>
        <w:t xml:space="preserve">conversión a minúsculas, eliminación de palabras vacías, </w:t>
      </w:r>
      <w:proofErr w:type="spellStart"/>
      <w:r>
        <w:t>lematización</w:t>
      </w:r>
      <w:proofErr w:type="spellEnd"/>
      <w:r>
        <w:t xml:space="preserve"> o supresión de puntuación</w:t>
      </w:r>
      <w:r w:rsidR="00A53F1E">
        <w:t>)</w:t>
      </w:r>
      <w:r>
        <w:t xml:space="preserve"> porque el modelo base es sensible a mayúsculas y su </w:t>
      </w:r>
      <w:proofErr w:type="spellStart"/>
      <w:r>
        <w:t>tokenizador</w:t>
      </w:r>
      <w:proofErr w:type="spellEnd"/>
      <w:r>
        <w:t xml:space="preserve"> de </w:t>
      </w:r>
      <w:proofErr w:type="spellStart"/>
      <w:r>
        <w:t>subpalabras</w:t>
      </w:r>
      <w:proofErr w:type="spellEnd"/>
      <w:r>
        <w:t xml:space="preserve"> ya gestiona el vocabulario desconocido. Aplicar esas transformaciones destruiría señal aprovechable. La misma función de limpieza se aplica en entrenamiento y en inferencia, garantizando consistencia.</w:t>
      </w:r>
    </w:p>
    <w:p w:rsidR="00C2211E" w:rsidRDefault="004D514E">
      <w:pPr>
        <w:spacing w:before="160" w:after="80"/>
      </w:pPr>
      <w:r>
        <w:rPr>
          <w:b/>
          <w:bCs/>
        </w:rPr>
        <w:t>Inferencia dual.</w:t>
      </w:r>
    </w:p>
    <w:p w:rsidR="00C2211E" w:rsidRDefault="004D514E">
      <w:pPr>
        <w:jc w:val="both"/>
      </w:pPr>
      <w:r>
        <w:t xml:space="preserve">El texto normalizado se </w:t>
      </w:r>
      <w:proofErr w:type="spellStart"/>
      <w:r>
        <w:t>tokeniza</w:t>
      </w:r>
      <w:proofErr w:type="spellEnd"/>
      <w:r>
        <w:t xml:space="preserve"> y se envía en paralelo a dos clasificadores independientes, ambos derivados por transfer </w:t>
      </w:r>
      <w:proofErr w:type="spellStart"/>
      <w:r>
        <w:t>learning</w:t>
      </w:r>
      <w:proofErr w:type="spellEnd"/>
      <w:r>
        <w:t xml:space="preserve"> del mismo modelo base </w:t>
      </w:r>
      <w:proofErr w:type="spellStart"/>
      <w:r>
        <w:t>preentrenado</w:t>
      </w:r>
      <w:proofErr w:type="spellEnd"/>
      <w:r>
        <w:t xml:space="preserve"> en español (BETO). Cada uno consiste en el codificador de 12 capas del modelo base, cuyos pesos </w:t>
      </w:r>
      <w:proofErr w:type="spellStart"/>
      <w:r>
        <w:t>preentrenados</w:t>
      </w:r>
      <w:proofErr w:type="spellEnd"/>
      <w:r>
        <w:t xml:space="preserve"> se transfieren y se ajustan finamente, más una capa lineal de clasificación inicializada aleatoriamente y entrenada desde cero sobre el vector del token [CLS]. El primer clasificador predice la categoría del incidente sobre 8 clases; el segundo predice la prioridad sobre 3 clases. Los modelos no comparten pesos ni se comunican entre sí: son dos artefactos entrenados de forma separada e invocados de manera concurrente.</w:t>
      </w:r>
    </w:p>
    <w:p w:rsidR="00C2211E" w:rsidRDefault="004D514E">
      <w:pPr>
        <w:spacing w:before="160" w:after="80"/>
      </w:pPr>
      <w:r>
        <w:rPr>
          <w:b/>
          <w:bCs/>
        </w:rPr>
        <w:t>Salida estructurada.</w:t>
      </w:r>
    </w:p>
    <w:p w:rsidR="00C2211E" w:rsidRDefault="004D514E">
      <w:pPr>
        <w:jc w:val="both"/>
      </w:pPr>
      <w:r>
        <w:t xml:space="preserve">Cada clasificador devuelve una distribución de probabilidad sobre sus clases mediante </w:t>
      </w:r>
      <w:proofErr w:type="spellStart"/>
      <w:r>
        <w:t>softmax</w:t>
      </w:r>
      <w:proofErr w:type="spellEnd"/>
      <w:r>
        <w:t xml:space="preserve">. Se toma la clase de mayor probabilidad junto con su nivel de confianza y las k alternativas más probables. La categoría predicha se mapea a la entidad competente mediante una tabla de correspondencia determinista. El resultado final es un registro estructurado </w:t>
      </w:r>
      <w:r w:rsidR="009F05E5">
        <w:t>(</w:t>
      </w:r>
      <w:r>
        <w:t>categoría, entidad responsable, prioridad y confianza de cada predicción</w:t>
      </w:r>
      <w:r w:rsidR="009F05E5">
        <w:t>)</w:t>
      </w:r>
      <w:r>
        <w:t xml:space="preserve"> listo para ser encolado y derivado. El valor de confianza permite, adicionalmente, definir un umbral por debajo del cual el caso se remite a revisión humana.</w:t>
      </w:r>
    </w:p>
    <w:p w:rsidR="00C2211E" w:rsidRDefault="004D514E">
      <w:pPr>
        <w:pStyle w:val="Ttulo2"/>
      </w:pPr>
      <w:r>
        <w:t>2.3. Justificación de las decisiones de diseño</w:t>
      </w:r>
    </w:p>
    <w:tbl>
      <w:tblPr>
        <w:tblW w:w="8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400"/>
        <w:gridCol w:w="6400"/>
      </w:tblGrid>
      <w:tr w:rsidR="00C2211E">
        <w:trPr>
          <w:tblHeader/>
        </w:trPr>
        <w:tc>
          <w:tcPr>
            <w:tcW w:w="2400" w:type="dxa"/>
            <w:shd w:val="clear" w:color="auto" w:fill="D9D9D9"/>
            <w:tcMar>
              <w:top w:w="80" w:type="dxa"/>
              <w:left w:w="110" w:type="dxa"/>
              <w:bottom w:w="80" w:type="dxa"/>
              <w:right w:w="110" w:type="dxa"/>
            </w:tcMar>
          </w:tcPr>
          <w:p w:rsidR="00C2211E" w:rsidRDefault="004D514E">
            <w:pPr>
              <w:spacing w:after="0" w:line="260" w:lineRule="auto"/>
            </w:pPr>
            <w:r>
              <w:rPr>
                <w:b/>
                <w:bCs/>
                <w:sz w:val="22"/>
                <w:szCs w:val="22"/>
              </w:rPr>
              <w:t>Decisión</w:t>
            </w:r>
          </w:p>
        </w:tc>
        <w:tc>
          <w:tcPr>
            <w:tcW w:w="6400" w:type="dxa"/>
            <w:shd w:val="clear" w:color="auto" w:fill="D9D9D9"/>
            <w:tcMar>
              <w:top w:w="80" w:type="dxa"/>
              <w:left w:w="110" w:type="dxa"/>
              <w:bottom w:w="80" w:type="dxa"/>
              <w:right w:w="110" w:type="dxa"/>
            </w:tcMar>
          </w:tcPr>
          <w:p w:rsidR="00C2211E" w:rsidRDefault="004D514E">
            <w:pPr>
              <w:spacing w:after="0" w:line="260" w:lineRule="auto"/>
            </w:pPr>
            <w:r>
              <w:rPr>
                <w:b/>
                <w:bCs/>
                <w:sz w:val="22"/>
                <w:szCs w:val="22"/>
              </w:rPr>
              <w:t>Justificación</w:t>
            </w:r>
          </w:p>
        </w:tc>
      </w:tr>
      <w:tr w:rsidR="00C2211E">
        <w:tc>
          <w:tcPr>
            <w:tcW w:w="2400" w:type="dxa"/>
            <w:tcMar>
              <w:top w:w="80" w:type="dxa"/>
              <w:left w:w="110" w:type="dxa"/>
              <w:bottom w:w="80" w:type="dxa"/>
              <w:right w:w="110" w:type="dxa"/>
            </w:tcMar>
          </w:tcPr>
          <w:p w:rsidR="00C2211E" w:rsidRDefault="004D514E">
            <w:pPr>
              <w:spacing w:after="0" w:line="260" w:lineRule="auto"/>
            </w:pPr>
            <w:r>
              <w:rPr>
                <w:sz w:val="22"/>
                <w:szCs w:val="22"/>
              </w:rPr>
              <w:t xml:space="preserve">Transfer </w:t>
            </w:r>
            <w:proofErr w:type="spellStart"/>
            <w:r>
              <w:rPr>
                <w:sz w:val="22"/>
                <w:szCs w:val="22"/>
              </w:rPr>
              <w:t>learning</w:t>
            </w:r>
            <w:proofErr w:type="spellEnd"/>
            <w:r>
              <w:rPr>
                <w:sz w:val="22"/>
                <w:szCs w:val="22"/>
              </w:rPr>
              <w:t xml:space="preserve"> en lugar de entrenamiento desde cero</w:t>
            </w:r>
          </w:p>
        </w:tc>
        <w:tc>
          <w:tcPr>
            <w:tcW w:w="6400" w:type="dxa"/>
            <w:tcMar>
              <w:top w:w="80" w:type="dxa"/>
              <w:left w:w="110" w:type="dxa"/>
              <w:bottom w:w="80" w:type="dxa"/>
              <w:right w:w="110" w:type="dxa"/>
            </w:tcMar>
          </w:tcPr>
          <w:p w:rsidR="00C2211E" w:rsidRDefault="004D514E">
            <w:pPr>
              <w:spacing w:after="0" w:line="260" w:lineRule="auto"/>
            </w:pPr>
            <w:r>
              <w:rPr>
                <w:sz w:val="22"/>
                <w:szCs w:val="22"/>
              </w:rPr>
              <w:t>El modelo base ya comprende la gramática y la semántica del español. Entrenar un transformador desde cero exigiría un volumen de datos y un presupuesto de cómputo incompatibles con el alcance del proyecto.</w:t>
            </w:r>
          </w:p>
        </w:tc>
      </w:tr>
      <w:tr w:rsidR="00C2211E">
        <w:tc>
          <w:tcPr>
            <w:tcW w:w="2400" w:type="dxa"/>
            <w:tcMar>
              <w:top w:w="80" w:type="dxa"/>
              <w:left w:w="110" w:type="dxa"/>
              <w:bottom w:w="80" w:type="dxa"/>
              <w:right w:w="110" w:type="dxa"/>
            </w:tcMar>
          </w:tcPr>
          <w:p w:rsidR="00C2211E" w:rsidRDefault="004D514E">
            <w:pPr>
              <w:spacing w:after="0" w:line="260" w:lineRule="auto"/>
            </w:pPr>
            <w:r>
              <w:rPr>
                <w:sz w:val="22"/>
                <w:szCs w:val="22"/>
              </w:rPr>
              <w:t>BETO como modelo base</w:t>
            </w:r>
          </w:p>
        </w:tc>
        <w:tc>
          <w:tcPr>
            <w:tcW w:w="6400" w:type="dxa"/>
            <w:tcMar>
              <w:top w:w="80" w:type="dxa"/>
              <w:left w:w="110" w:type="dxa"/>
              <w:bottom w:w="80" w:type="dxa"/>
              <w:right w:w="110" w:type="dxa"/>
            </w:tcMar>
          </w:tcPr>
          <w:p w:rsidR="00C2211E" w:rsidRDefault="004D514E">
            <w:pPr>
              <w:spacing w:after="0" w:line="260" w:lineRule="auto"/>
            </w:pPr>
            <w:proofErr w:type="spellStart"/>
            <w:r>
              <w:rPr>
                <w:sz w:val="22"/>
                <w:szCs w:val="22"/>
              </w:rPr>
              <w:t>Preentrenado</w:t>
            </w:r>
            <w:proofErr w:type="spellEnd"/>
            <w:r>
              <w:rPr>
                <w:sz w:val="22"/>
                <w:szCs w:val="22"/>
              </w:rPr>
              <w:t xml:space="preserve"> específicamente sobre corpus en español, no sobre traducciones ni sobre un modelo multilingüe. Se emplea el </w:t>
            </w:r>
            <w:proofErr w:type="spellStart"/>
            <w:r>
              <w:rPr>
                <w:sz w:val="22"/>
                <w:szCs w:val="22"/>
              </w:rPr>
              <w:t>checkpoint</w:t>
            </w:r>
            <w:proofErr w:type="spellEnd"/>
            <w:r>
              <w:rPr>
                <w:sz w:val="22"/>
                <w:szCs w:val="22"/>
              </w:rPr>
              <w:t xml:space="preserve"> sensible a mayúsculas, dado que la capitalización es señal ("URGENTE", nombres de vías).</w:t>
            </w:r>
          </w:p>
        </w:tc>
      </w:tr>
      <w:tr w:rsidR="00C2211E">
        <w:tc>
          <w:tcPr>
            <w:tcW w:w="2400" w:type="dxa"/>
            <w:tcMar>
              <w:top w:w="80" w:type="dxa"/>
              <w:left w:w="110" w:type="dxa"/>
              <w:bottom w:w="80" w:type="dxa"/>
              <w:right w:w="110" w:type="dxa"/>
            </w:tcMar>
          </w:tcPr>
          <w:p w:rsidR="00C2211E" w:rsidRDefault="004D514E">
            <w:pPr>
              <w:spacing w:after="0" w:line="260" w:lineRule="auto"/>
            </w:pPr>
            <w:r>
              <w:rPr>
                <w:sz w:val="22"/>
                <w:szCs w:val="22"/>
              </w:rPr>
              <w:t>Dos modelos independientes en lugar de uno multitarea</w:t>
            </w:r>
          </w:p>
        </w:tc>
        <w:tc>
          <w:tcPr>
            <w:tcW w:w="6400" w:type="dxa"/>
            <w:tcMar>
              <w:top w:w="80" w:type="dxa"/>
              <w:left w:w="110" w:type="dxa"/>
              <w:bottom w:w="80" w:type="dxa"/>
              <w:right w:w="110" w:type="dxa"/>
            </w:tcMar>
          </w:tcPr>
          <w:p w:rsidR="00C2211E" w:rsidRDefault="004D514E">
            <w:pPr>
              <w:spacing w:after="0" w:line="260" w:lineRule="auto"/>
            </w:pPr>
            <w:r>
              <w:rPr>
                <w:sz w:val="22"/>
                <w:szCs w:val="22"/>
              </w:rPr>
              <w:t xml:space="preserve">Un codificador compartido con dos cabezas sería más eficiente en cómputo, pero exige implementar un módulo propio. Dos modelos separados permiten reutilizar el mismo procedimiento de </w:t>
            </w:r>
            <w:r>
              <w:rPr>
                <w:sz w:val="22"/>
                <w:szCs w:val="22"/>
              </w:rPr>
              <w:lastRenderedPageBreak/>
              <w:t xml:space="preserve">entrenamiento cambiando un único parámetro, lo que reduce el riesgo de implementación bajo la restricción de tiempo del </w:t>
            </w:r>
            <w:proofErr w:type="spellStart"/>
            <w:r>
              <w:rPr>
                <w:sz w:val="22"/>
                <w:szCs w:val="22"/>
              </w:rPr>
              <w:t>hackatón</w:t>
            </w:r>
            <w:proofErr w:type="spellEnd"/>
            <w:r>
              <w:rPr>
                <w:sz w:val="22"/>
                <w:szCs w:val="22"/>
              </w:rPr>
              <w:t>.</w:t>
            </w:r>
          </w:p>
        </w:tc>
      </w:tr>
      <w:tr w:rsidR="00C2211E">
        <w:tc>
          <w:tcPr>
            <w:tcW w:w="2400" w:type="dxa"/>
            <w:tcMar>
              <w:top w:w="80" w:type="dxa"/>
              <w:left w:w="110" w:type="dxa"/>
              <w:bottom w:w="80" w:type="dxa"/>
              <w:right w:w="110" w:type="dxa"/>
            </w:tcMar>
          </w:tcPr>
          <w:p w:rsidR="00C2211E" w:rsidRDefault="004D514E">
            <w:pPr>
              <w:spacing w:after="0" w:line="260" w:lineRule="auto"/>
            </w:pPr>
            <w:r>
              <w:rPr>
                <w:sz w:val="22"/>
                <w:szCs w:val="22"/>
              </w:rPr>
              <w:lastRenderedPageBreak/>
              <w:t>El texto libre como única entrada</w:t>
            </w:r>
          </w:p>
        </w:tc>
        <w:tc>
          <w:tcPr>
            <w:tcW w:w="6400" w:type="dxa"/>
            <w:tcMar>
              <w:top w:w="80" w:type="dxa"/>
              <w:left w:w="110" w:type="dxa"/>
              <w:bottom w:w="80" w:type="dxa"/>
              <w:right w:w="110" w:type="dxa"/>
            </w:tcMar>
          </w:tcPr>
          <w:p w:rsidR="00C2211E" w:rsidRDefault="004D514E">
            <w:pPr>
              <w:spacing w:after="0" w:line="260" w:lineRule="auto"/>
            </w:pPr>
            <w:r>
              <w:rPr>
                <w:sz w:val="22"/>
                <w:szCs w:val="22"/>
              </w:rPr>
              <w:t>El resto de columnas del conjunto de datos filtra la respuesta (la subcategoría y la entidad se derivan de la categoría) o no existe al momento de clasificar (fecha de cierre, estado, días de resolución). El escenario real es: llega un texto y hay que clasificarlo.</w:t>
            </w:r>
          </w:p>
        </w:tc>
      </w:tr>
      <w:tr w:rsidR="00C2211E">
        <w:tc>
          <w:tcPr>
            <w:tcW w:w="2400" w:type="dxa"/>
            <w:tcMar>
              <w:top w:w="80" w:type="dxa"/>
              <w:left w:w="110" w:type="dxa"/>
              <w:bottom w:w="80" w:type="dxa"/>
              <w:right w:w="110" w:type="dxa"/>
            </w:tcMar>
          </w:tcPr>
          <w:p w:rsidR="00C2211E" w:rsidRDefault="004D514E">
            <w:pPr>
              <w:spacing w:after="0" w:line="260" w:lineRule="auto"/>
            </w:pPr>
            <w:r>
              <w:rPr>
                <w:sz w:val="22"/>
                <w:szCs w:val="22"/>
              </w:rPr>
              <w:t>Ponderación de clases en la función de pérdida</w:t>
            </w:r>
          </w:p>
        </w:tc>
        <w:tc>
          <w:tcPr>
            <w:tcW w:w="6400" w:type="dxa"/>
            <w:tcMar>
              <w:top w:w="80" w:type="dxa"/>
              <w:left w:w="110" w:type="dxa"/>
              <w:bottom w:w="80" w:type="dxa"/>
              <w:right w:w="110" w:type="dxa"/>
            </w:tcMar>
          </w:tcPr>
          <w:p w:rsidR="00C2211E" w:rsidRDefault="004D514E">
            <w:pPr>
              <w:spacing w:after="0" w:line="260" w:lineRule="auto"/>
            </w:pPr>
            <w:r>
              <w:rPr>
                <w:sz w:val="22"/>
                <w:szCs w:val="22"/>
              </w:rPr>
              <w:t>Con clases desbalanceadas, la red aprende que predecir siempre la clase mayoritaria ya produce buena exactitud. Los pesos inversos a la frecuencia encarecen el error sobre las clases minoritarias.</w:t>
            </w:r>
          </w:p>
        </w:tc>
      </w:tr>
      <w:tr w:rsidR="00C2211E">
        <w:tc>
          <w:tcPr>
            <w:tcW w:w="2400" w:type="dxa"/>
            <w:tcMar>
              <w:top w:w="80" w:type="dxa"/>
              <w:left w:w="110" w:type="dxa"/>
              <w:bottom w:w="80" w:type="dxa"/>
              <w:right w:w="110" w:type="dxa"/>
            </w:tcMar>
          </w:tcPr>
          <w:p w:rsidR="00C2211E" w:rsidRDefault="004D514E">
            <w:pPr>
              <w:spacing w:after="0" w:line="260" w:lineRule="auto"/>
            </w:pPr>
            <w:r>
              <w:rPr>
                <w:sz w:val="22"/>
                <w:szCs w:val="22"/>
              </w:rPr>
              <w:t>F1 macro como criterio de selección</w:t>
            </w:r>
          </w:p>
        </w:tc>
        <w:tc>
          <w:tcPr>
            <w:tcW w:w="6400" w:type="dxa"/>
            <w:tcMar>
              <w:top w:w="80" w:type="dxa"/>
              <w:left w:w="110" w:type="dxa"/>
              <w:bottom w:w="80" w:type="dxa"/>
              <w:right w:w="110" w:type="dxa"/>
            </w:tcMar>
          </w:tcPr>
          <w:p w:rsidR="00C2211E" w:rsidRDefault="004D514E">
            <w:pPr>
              <w:spacing w:after="0" w:line="260" w:lineRule="auto"/>
            </w:pPr>
            <w:r>
              <w:rPr>
                <w:sz w:val="22"/>
                <w:szCs w:val="22"/>
              </w:rPr>
              <w:t>Promedia el desempeño por clase sin ponderar por tamaño, penalizando el abandono de las clases minoritarias. La exactitud, con este desbalance, no es informativa.</w:t>
            </w:r>
          </w:p>
        </w:tc>
      </w:tr>
      <w:tr w:rsidR="00C2211E">
        <w:tc>
          <w:tcPr>
            <w:tcW w:w="2400" w:type="dxa"/>
            <w:tcMar>
              <w:top w:w="80" w:type="dxa"/>
              <w:left w:w="110" w:type="dxa"/>
              <w:bottom w:w="80" w:type="dxa"/>
              <w:right w:w="110" w:type="dxa"/>
            </w:tcMar>
          </w:tcPr>
          <w:p w:rsidR="00C2211E" w:rsidRDefault="004D514E">
            <w:pPr>
              <w:spacing w:after="0" w:line="260" w:lineRule="auto"/>
            </w:pPr>
            <w:r>
              <w:rPr>
                <w:sz w:val="22"/>
                <w:szCs w:val="22"/>
              </w:rPr>
              <w:t>Partición en tres conjuntos</w:t>
            </w:r>
          </w:p>
        </w:tc>
        <w:tc>
          <w:tcPr>
            <w:tcW w:w="6400" w:type="dxa"/>
            <w:tcMar>
              <w:top w:w="80" w:type="dxa"/>
              <w:left w:w="110" w:type="dxa"/>
              <w:bottom w:w="80" w:type="dxa"/>
              <w:right w:w="110" w:type="dxa"/>
            </w:tcMar>
          </w:tcPr>
          <w:p w:rsidR="00C2211E" w:rsidRDefault="004D514E">
            <w:pPr>
              <w:spacing w:after="0" w:line="260" w:lineRule="auto"/>
            </w:pPr>
            <w:r>
              <w:rPr>
                <w:sz w:val="22"/>
                <w:szCs w:val="22"/>
              </w:rPr>
              <w:t>La validación guía la selección del mejor punto de control durante el entrenamiento; el conjunto de prueba se emplea una sola vez al final. Evaluar sobre el mismo conjunto usado para seleccionar el punto de control produce métricas infladas.</w:t>
            </w:r>
          </w:p>
        </w:tc>
      </w:tr>
    </w:tbl>
    <w:p w:rsidR="00C2211E" w:rsidRDefault="004D514E">
      <w:pPr>
        <w:spacing w:before="80" w:after="220"/>
      </w:pPr>
      <w:r>
        <w:rPr>
          <w:i/>
          <w:iCs/>
          <w:sz w:val="20"/>
          <w:szCs w:val="20"/>
        </w:rPr>
        <w:t>Tabla 1. Decisiones de diseño de la arquitectura y su justificación.</w:t>
      </w:r>
    </w:p>
    <w:p w:rsidR="00C2211E" w:rsidRDefault="004D514E">
      <w:r>
        <w:br w:type="page"/>
      </w:r>
    </w:p>
    <w:p w:rsidR="00C2211E" w:rsidRDefault="004D514E">
      <w:pPr>
        <w:pStyle w:val="Ttulo1"/>
      </w:pPr>
      <w:r>
        <w:lastRenderedPageBreak/>
        <w:t>3. Recursos utilizados</w:t>
      </w:r>
    </w:p>
    <w:p w:rsidR="00C2211E" w:rsidRDefault="004D514E">
      <w:pPr>
        <w:pStyle w:val="Ttulo2"/>
      </w:pPr>
      <w:r>
        <w:t>3.1. Búsqueda de conjuntos de datos públicos</w:t>
      </w:r>
    </w:p>
    <w:p w:rsidR="00C2211E" w:rsidRDefault="004D514E">
      <w:pPr>
        <w:jc w:val="both"/>
      </w:pPr>
      <w:r>
        <w:t>El primer recurso buscado fue un conjunto de datos real de atención ciudadana que contuviera el texto crudo del reporte junto con las etiquetas de clasificación necesarias. La búsqueda se realizó mediante motores de búsqueda asistidos por inteligencia artificial, cubriendo portales de datos abiertos de Estados Unidos, Argentina y México.</w:t>
      </w:r>
    </w:p>
    <w:p w:rsidR="00C2211E" w:rsidRDefault="004D514E">
      <w:pPr>
        <w:jc w:val="both"/>
      </w:pPr>
      <w:r>
        <w:t xml:space="preserve">El hallazgo principal fue que ninguna de las alternativas evaluadas expone contenido público utilizable para esta tarea. Los portales de datos abiertos de atención ciudadana publican el caso ya clasificado </w:t>
      </w:r>
      <w:r w:rsidR="00F87AB3">
        <w:t>(</w:t>
      </w:r>
      <w:r>
        <w:t>tipo de solicitud, entidad responsable, ubicación, fechas</w:t>
      </w:r>
      <w:r w:rsidR="00F87AB3">
        <w:t>)</w:t>
      </w:r>
      <w:r>
        <w:t xml:space="preserve"> pero omiten sistemáticamente la descripción redactada por el ciudadano, por razones de protección de datos personales. Sin ese campo, el conjunto de datos es inservible para entrenar un modelo de procesamiento de lenguaje natural: se dispone de las etiquetas, pero no de la entrada.</w:t>
      </w:r>
    </w:p>
    <w:tbl>
      <w:tblPr>
        <w:tblW w:w="7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00"/>
        <w:gridCol w:w="1500"/>
        <w:gridCol w:w="2400"/>
        <w:gridCol w:w="1400"/>
      </w:tblGrid>
      <w:tr w:rsidR="00C2211E">
        <w:trPr>
          <w:tblHeader/>
        </w:trPr>
        <w:tc>
          <w:tcPr>
            <w:tcW w:w="2500" w:type="dxa"/>
            <w:shd w:val="clear" w:color="auto" w:fill="D9D9D9"/>
            <w:tcMar>
              <w:top w:w="80" w:type="dxa"/>
              <w:left w:w="110" w:type="dxa"/>
              <w:bottom w:w="80" w:type="dxa"/>
              <w:right w:w="110" w:type="dxa"/>
            </w:tcMar>
          </w:tcPr>
          <w:p w:rsidR="00C2211E" w:rsidRDefault="004D514E">
            <w:pPr>
              <w:spacing w:after="0" w:line="260" w:lineRule="auto"/>
            </w:pPr>
            <w:r>
              <w:rPr>
                <w:b/>
                <w:bCs/>
                <w:sz w:val="22"/>
                <w:szCs w:val="22"/>
              </w:rPr>
              <w:t>Fuente evaluada</w:t>
            </w:r>
          </w:p>
        </w:tc>
        <w:tc>
          <w:tcPr>
            <w:tcW w:w="1500" w:type="dxa"/>
            <w:shd w:val="clear" w:color="auto" w:fill="D9D9D9"/>
            <w:tcMar>
              <w:top w:w="80" w:type="dxa"/>
              <w:left w:w="110" w:type="dxa"/>
              <w:bottom w:w="80" w:type="dxa"/>
              <w:right w:w="110" w:type="dxa"/>
            </w:tcMar>
          </w:tcPr>
          <w:p w:rsidR="00C2211E" w:rsidRDefault="004D514E">
            <w:pPr>
              <w:spacing w:after="0" w:line="260" w:lineRule="auto"/>
            </w:pPr>
            <w:r>
              <w:rPr>
                <w:b/>
                <w:bCs/>
                <w:sz w:val="22"/>
                <w:szCs w:val="22"/>
              </w:rPr>
              <w:t>Texto crudo</w:t>
            </w:r>
          </w:p>
        </w:tc>
        <w:tc>
          <w:tcPr>
            <w:tcW w:w="2400" w:type="dxa"/>
            <w:shd w:val="clear" w:color="auto" w:fill="D9D9D9"/>
            <w:tcMar>
              <w:top w:w="80" w:type="dxa"/>
              <w:left w:w="110" w:type="dxa"/>
              <w:bottom w:w="80" w:type="dxa"/>
              <w:right w:w="110" w:type="dxa"/>
            </w:tcMar>
          </w:tcPr>
          <w:p w:rsidR="00C2211E" w:rsidRDefault="004D514E">
            <w:pPr>
              <w:spacing w:after="0" w:line="260" w:lineRule="auto"/>
            </w:pPr>
            <w:r>
              <w:rPr>
                <w:b/>
                <w:bCs/>
                <w:sz w:val="22"/>
                <w:szCs w:val="22"/>
              </w:rPr>
              <w:t>Etiquetas requeridas</w:t>
            </w:r>
          </w:p>
        </w:tc>
        <w:tc>
          <w:tcPr>
            <w:tcW w:w="1400" w:type="dxa"/>
            <w:shd w:val="clear" w:color="auto" w:fill="D9D9D9"/>
            <w:tcMar>
              <w:top w:w="80" w:type="dxa"/>
              <w:left w:w="110" w:type="dxa"/>
              <w:bottom w:w="80" w:type="dxa"/>
              <w:right w:w="110" w:type="dxa"/>
            </w:tcMar>
          </w:tcPr>
          <w:p w:rsidR="00C2211E" w:rsidRDefault="004D514E">
            <w:pPr>
              <w:spacing w:after="0" w:line="260" w:lineRule="auto"/>
            </w:pPr>
            <w:r>
              <w:rPr>
                <w:b/>
                <w:bCs/>
                <w:sz w:val="22"/>
                <w:szCs w:val="22"/>
              </w:rPr>
              <w:t>Resultado</w:t>
            </w:r>
          </w:p>
        </w:tc>
      </w:tr>
      <w:tr w:rsidR="00C2211E">
        <w:tc>
          <w:tcPr>
            <w:tcW w:w="2500" w:type="dxa"/>
            <w:tcMar>
              <w:top w:w="80" w:type="dxa"/>
              <w:left w:w="110" w:type="dxa"/>
              <w:bottom w:w="80" w:type="dxa"/>
              <w:right w:w="110" w:type="dxa"/>
            </w:tcMar>
          </w:tcPr>
          <w:p w:rsidR="00C2211E" w:rsidRDefault="004D514E">
            <w:pPr>
              <w:spacing w:after="0" w:line="260" w:lineRule="auto"/>
            </w:pPr>
            <w:r>
              <w:rPr>
                <w:sz w:val="22"/>
                <w:szCs w:val="22"/>
              </w:rPr>
              <w:t>Portales de datos abiertos de EE. UU. (NYC, Chicago, San Francisco)</w:t>
            </w:r>
          </w:p>
        </w:tc>
        <w:tc>
          <w:tcPr>
            <w:tcW w:w="1500" w:type="dxa"/>
            <w:tcMar>
              <w:top w:w="80" w:type="dxa"/>
              <w:left w:w="110" w:type="dxa"/>
              <w:bottom w:w="80" w:type="dxa"/>
              <w:right w:w="110" w:type="dxa"/>
            </w:tcMar>
          </w:tcPr>
          <w:p w:rsidR="00C2211E" w:rsidRDefault="004D514E">
            <w:pPr>
              <w:spacing w:after="0" w:line="260" w:lineRule="auto"/>
            </w:pPr>
            <w:r>
              <w:rPr>
                <w:sz w:val="22"/>
                <w:szCs w:val="22"/>
              </w:rPr>
              <w:t>No disponible</w:t>
            </w:r>
          </w:p>
        </w:tc>
        <w:tc>
          <w:tcPr>
            <w:tcW w:w="2400" w:type="dxa"/>
            <w:tcMar>
              <w:top w:w="80" w:type="dxa"/>
              <w:left w:w="110" w:type="dxa"/>
              <w:bottom w:w="80" w:type="dxa"/>
              <w:right w:w="110" w:type="dxa"/>
            </w:tcMar>
          </w:tcPr>
          <w:p w:rsidR="00C2211E" w:rsidRDefault="004D514E">
            <w:pPr>
              <w:spacing w:after="0" w:line="260" w:lineRule="auto"/>
            </w:pPr>
            <w:r>
              <w:rPr>
                <w:sz w:val="22"/>
                <w:szCs w:val="22"/>
              </w:rPr>
              <w:t>Categoría sí; prioridad no</w:t>
            </w:r>
          </w:p>
        </w:tc>
        <w:tc>
          <w:tcPr>
            <w:tcW w:w="1400" w:type="dxa"/>
            <w:tcMar>
              <w:top w:w="80" w:type="dxa"/>
              <w:left w:w="110" w:type="dxa"/>
              <w:bottom w:w="80" w:type="dxa"/>
              <w:right w:w="110" w:type="dxa"/>
            </w:tcMar>
          </w:tcPr>
          <w:p w:rsidR="00C2211E" w:rsidRDefault="004D514E">
            <w:pPr>
              <w:spacing w:after="0" w:line="260" w:lineRule="auto"/>
            </w:pPr>
            <w:r>
              <w:rPr>
                <w:sz w:val="22"/>
                <w:szCs w:val="22"/>
              </w:rPr>
              <w:t>Descartado</w:t>
            </w:r>
          </w:p>
        </w:tc>
      </w:tr>
      <w:tr w:rsidR="00C2211E">
        <w:tc>
          <w:tcPr>
            <w:tcW w:w="2500" w:type="dxa"/>
            <w:tcMar>
              <w:top w:w="80" w:type="dxa"/>
              <w:left w:w="110" w:type="dxa"/>
              <w:bottom w:w="80" w:type="dxa"/>
              <w:right w:w="110" w:type="dxa"/>
            </w:tcMar>
          </w:tcPr>
          <w:p w:rsidR="00C2211E" w:rsidRDefault="004D514E">
            <w:pPr>
              <w:spacing w:after="0" w:line="260" w:lineRule="auto"/>
            </w:pPr>
            <w:r>
              <w:rPr>
                <w:sz w:val="22"/>
                <w:szCs w:val="22"/>
              </w:rPr>
              <w:t>Portales de datos abiertos de Argentina</w:t>
            </w:r>
          </w:p>
        </w:tc>
        <w:tc>
          <w:tcPr>
            <w:tcW w:w="1500" w:type="dxa"/>
            <w:tcMar>
              <w:top w:w="80" w:type="dxa"/>
              <w:left w:w="110" w:type="dxa"/>
              <w:bottom w:w="80" w:type="dxa"/>
              <w:right w:w="110" w:type="dxa"/>
            </w:tcMar>
          </w:tcPr>
          <w:p w:rsidR="00C2211E" w:rsidRDefault="004D514E">
            <w:pPr>
              <w:spacing w:after="0" w:line="260" w:lineRule="auto"/>
            </w:pPr>
            <w:r>
              <w:rPr>
                <w:sz w:val="22"/>
                <w:szCs w:val="22"/>
              </w:rPr>
              <w:t>No disponible</w:t>
            </w:r>
          </w:p>
        </w:tc>
        <w:tc>
          <w:tcPr>
            <w:tcW w:w="2400" w:type="dxa"/>
            <w:tcMar>
              <w:top w:w="80" w:type="dxa"/>
              <w:left w:w="110" w:type="dxa"/>
              <w:bottom w:w="80" w:type="dxa"/>
              <w:right w:w="110" w:type="dxa"/>
            </w:tcMar>
          </w:tcPr>
          <w:p w:rsidR="00C2211E" w:rsidRDefault="004D514E">
            <w:pPr>
              <w:spacing w:after="0" w:line="260" w:lineRule="auto"/>
            </w:pPr>
            <w:r>
              <w:rPr>
                <w:sz w:val="22"/>
                <w:szCs w:val="22"/>
              </w:rPr>
              <w:t>Parciales</w:t>
            </w:r>
          </w:p>
        </w:tc>
        <w:tc>
          <w:tcPr>
            <w:tcW w:w="1400" w:type="dxa"/>
            <w:tcMar>
              <w:top w:w="80" w:type="dxa"/>
              <w:left w:w="110" w:type="dxa"/>
              <w:bottom w:w="80" w:type="dxa"/>
              <w:right w:w="110" w:type="dxa"/>
            </w:tcMar>
          </w:tcPr>
          <w:p w:rsidR="00C2211E" w:rsidRDefault="004D514E">
            <w:pPr>
              <w:spacing w:after="0" w:line="260" w:lineRule="auto"/>
            </w:pPr>
            <w:r>
              <w:rPr>
                <w:sz w:val="22"/>
                <w:szCs w:val="22"/>
              </w:rPr>
              <w:t>Descartado</w:t>
            </w:r>
          </w:p>
        </w:tc>
      </w:tr>
      <w:tr w:rsidR="00C2211E">
        <w:tc>
          <w:tcPr>
            <w:tcW w:w="2500" w:type="dxa"/>
            <w:tcMar>
              <w:top w:w="80" w:type="dxa"/>
              <w:left w:w="110" w:type="dxa"/>
              <w:bottom w:w="80" w:type="dxa"/>
              <w:right w:w="110" w:type="dxa"/>
            </w:tcMar>
          </w:tcPr>
          <w:p w:rsidR="00C2211E" w:rsidRDefault="004D514E">
            <w:pPr>
              <w:spacing w:after="0" w:line="260" w:lineRule="auto"/>
            </w:pPr>
            <w:r>
              <w:rPr>
                <w:sz w:val="22"/>
                <w:szCs w:val="22"/>
              </w:rPr>
              <w:t>Portales de datos abiertos de México (Ciudad de México)</w:t>
            </w:r>
          </w:p>
        </w:tc>
        <w:tc>
          <w:tcPr>
            <w:tcW w:w="1500" w:type="dxa"/>
            <w:tcMar>
              <w:top w:w="80" w:type="dxa"/>
              <w:left w:w="110" w:type="dxa"/>
              <w:bottom w:w="80" w:type="dxa"/>
              <w:right w:w="110" w:type="dxa"/>
            </w:tcMar>
          </w:tcPr>
          <w:p w:rsidR="00C2211E" w:rsidRDefault="004D514E">
            <w:pPr>
              <w:spacing w:after="0" w:line="260" w:lineRule="auto"/>
            </w:pPr>
            <w:r>
              <w:rPr>
                <w:sz w:val="22"/>
                <w:szCs w:val="22"/>
              </w:rPr>
              <w:t>No disponible</w:t>
            </w:r>
          </w:p>
        </w:tc>
        <w:tc>
          <w:tcPr>
            <w:tcW w:w="2400" w:type="dxa"/>
            <w:tcMar>
              <w:top w:w="80" w:type="dxa"/>
              <w:left w:w="110" w:type="dxa"/>
              <w:bottom w:w="80" w:type="dxa"/>
              <w:right w:w="110" w:type="dxa"/>
            </w:tcMar>
          </w:tcPr>
          <w:p w:rsidR="00C2211E" w:rsidRDefault="004D514E">
            <w:pPr>
              <w:spacing w:after="0" w:line="260" w:lineRule="auto"/>
            </w:pPr>
            <w:r>
              <w:rPr>
                <w:sz w:val="22"/>
                <w:szCs w:val="22"/>
              </w:rPr>
              <w:t>Solo catálogo de trámite</w:t>
            </w:r>
          </w:p>
        </w:tc>
        <w:tc>
          <w:tcPr>
            <w:tcW w:w="1400" w:type="dxa"/>
            <w:tcMar>
              <w:top w:w="80" w:type="dxa"/>
              <w:left w:w="110" w:type="dxa"/>
              <w:bottom w:w="80" w:type="dxa"/>
              <w:right w:w="110" w:type="dxa"/>
            </w:tcMar>
          </w:tcPr>
          <w:p w:rsidR="00C2211E" w:rsidRDefault="004D514E">
            <w:pPr>
              <w:spacing w:after="0" w:line="260" w:lineRule="auto"/>
            </w:pPr>
            <w:r>
              <w:rPr>
                <w:sz w:val="22"/>
                <w:szCs w:val="22"/>
              </w:rPr>
              <w:t>Descartado</w:t>
            </w:r>
          </w:p>
        </w:tc>
      </w:tr>
      <w:tr w:rsidR="00C2211E">
        <w:tc>
          <w:tcPr>
            <w:tcW w:w="2500" w:type="dxa"/>
            <w:tcMar>
              <w:top w:w="80" w:type="dxa"/>
              <w:left w:w="110" w:type="dxa"/>
              <w:bottom w:w="80" w:type="dxa"/>
              <w:right w:w="110" w:type="dxa"/>
            </w:tcMar>
          </w:tcPr>
          <w:p w:rsidR="00C2211E" w:rsidRDefault="004D514E">
            <w:pPr>
              <w:spacing w:after="0" w:line="260" w:lineRule="auto"/>
            </w:pPr>
            <w:r>
              <w:rPr>
                <w:sz w:val="22"/>
                <w:szCs w:val="22"/>
              </w:rPr>
              <w:t xml:space="preserve">Conjunto de datos publicado en </w:t>
            </w:r>
            <w:proofErr w:type="spellStart"/>
            <w:r>
              <w:rPr>
                <w:sz w:val="22"/>
                <w:szCs w:val="22"/>
              </w:rPr>
              <w:t>Kaggle</w:t>
            </w:r>
            <w:proofErr w:type="spellEnd"/>
          </w:p>
        </w:tc>
        <w:tc>
          <w:tcPr>
            <w:tcW w:w="1500" w:type="dxa"/>
            <w:tcMar>
              <w:top w:w="80" w:type="dxa"/>
              <w:left w:w="110" w:type="dxa"/>
              <w:bottom w:w="80" w:type="dxa"/>
              <w:right w:w="110" w:type="dxa"/>
            </w:tcMar>
          </w:tcPr>
          <w:p w:rsidR="00C2211E" w:rsidRDefault="004D514E">
            <w:pPr>
              <w:spacing w:after="0" w:line="260" w:lineRule="auto"/>
            </w:pPr>
            <w:r>
              <w:rPr>
                <w:sz w:val="22"/>
                <w:szCs w:val="22"/>
              </w:rPr>
              <w:t>Disponible</w:t>
            </w:r>
          </w:p>
        </w:tc>
        <w:tc>
          <w:tcPr>
            <w:tcW w:w="2400" w:type="dxa"/>
            <w:tcMar>
              <w:top w:w="80" w:type="dxa"/>
              <w:left w:w="110" w:type="dxa"/>
              <w:bottom w:w="80" w:type="dxa"/>
              <w:right w:w="110" w:type="dxa"/>
            </w:tcMar>
          </w:tcPr>
          <w:p w:rsidR="00C2211E" w:rsidRDefault="004D514E">
            <w:pPr>
              <w:spacing w:after="0" w:line="260" w:lineRule="auto"/>
            </w:pPr>
            <w:r>
              <w:rPr>
                <w:sz w:val="22"/>
                <w:szCs w:val="22"/>
              </w:rPr>
              <w:t>No incluye prioridad ni área responsable</w:t>
            </w:r>
          </w:p>
        </w:tc>
        <w:tc>
          <w:tcPr>
            <w:tcW w:w="1400" w:type="dxa"/>
            <w:tcMar>
              <w:top w:w="80" w:type="dxa"/>
              <w:left w:w="110" w:type="dxa"/>
              <w:bottom w:w="80" w:type="dxa"/>
              <w:right w:w="110" w:type="dxa"/>
            </w:tcMar>
          </w:tcPr>
          <w:p w:rsidR="00C2211E" w:rsidRDefault="004D514E">
            <w:pPr>
              <w:spacing w:after="0" w:line="260" w:lineRule="auto"/>
            </w:pPr>
            <w:r>
              <w:rPr>
                <w:sz w:val="22"/>
                <w:szCs w:val="22"/>
              </w:rPr>
              <w:t>Descartado</w:t>
            </w:r>
          </w:p>
        </w:tc>
      </w:tr>
      <w:tr w:rsidR="00C2211E">
        <w:tc>
          <w:tcPr>
            <w:tcW w:w="2500" w:type="dxa"/>
            <w:tcMar>
              <w:top w:w="80" w:type="dxa"/>
              <w:left w:w="110" w:type="dxa"/>
              <w:bottom w:w="80" w:type="dxa"/>
              <w:right w:w="110" w:type="dxa"/>
            </w:tcMar>
          </w:tcPr>
          <w:p w:rsidR="00C2211E" w:rsidRDefault="004D514E">
            <w:pPr>
              <w:spacing w:after="0" w:line="260" w:lineRule="auto"/>
            </w:pPr>
            <w:r>
              <w:rPr>
                <w:sz w:val="22"/>
                <w:szCs w:val="22"/>
              </w:rPr>
              <w:t>Interfaces de programación de aplicaciones (API) de plataformas de atención ciudadana</w:t>
            </w:r>
          </w:p>
        </w:tc>
        <w:tc>
          <w:tcPr>
            <w:tcW w:w="1500" w:type="dxa"/>
            <w:tcMar>
              <w:top w:w="80" w:type="dxa"/>
              <w:left w:w="110" w:type="dxa"/>
              <w:bottom w:w="80" w:type="dxa"/>
              <w:right w:w="110" w:type="dxa"/>
            </w:tcMar>
          </w:tcPr>
          <w:p w:rsidR="00C2211E" w:rsidRDefault="004D514E">
            <w:pPr>
              <w:spacing w:after="0" w:line="260" w:lineRule="auto"/>
            </w:pPr>
            <w:r>
              <w:rPr>
                <w:sz w:val="22"/>
                <w:szCs w:val="22"/>
              </w:rPr>
              <w:t>No expuesto públicamente</w:t>
            </w:r>
          </w:p>
        </w:tc>
        <w:tc>
          <w:tcPr>
            <w:tcW w:w="2400" w:type="dxa"/>
            <w:tcMar>
              <w:top w:w="80" w:type="dxa"/>
              <w:left w:w="110" w:type="dxa"/>
              <w:bottom w:w="80" w:type="dxa"/>
              <w:right w:w="110" w:type="dxa"/>
            </w:tcMar>
          </w:tcPr>
          <w:p w:rsidR="00C2211E" w:rsidRDefault="004D514E">
            <w:pPr>
              <w:spacing w:after="0" w:line="260" w:lineRule="auto"/>
            </w:pPr>
            <w:r>
              <w:rPr>
                <w:sz w:val="22"/>
                <w:szCs w:val="22"/>
              </w:rPr>
              <w:t>No aplica</w:t>
            </w:r>
          </w:p>
        </w:tc>
        <w:tc>
          <w:tcPr>
            <w:tcW w:w="1400" w:type="dxa"/>
            <w:tcMar>
              <w:top w:w="80" w:type="dxa"/>
              <w:left w:w="110" w:type="dxa"/>
              <w:bottom w:w="80" w:type="dxa"/>
              <w:right w:w="110" w:type="dxa"/>
            </w:tcMar>
          </w:tcPr>
          <w:p w:rsidR="00C2211E" w:rsidRDefault="004D514E">
            <w:pPr>
              <w:spacing w:after="0" w:line="260" w:lineRule="auto"/>
            </w:pPr>
            <w:r>
              <w:rPr>
                <w:sz w:val="22"/>
                <w:szCs w:val="22"/>
              </w:rPr>
              <w:t>Descartado</w:t>
            </w:r>
          </w:p>
        </w:tc>
      </w:tr>
    </w:tbl>
    <w:p w:rsidR="00C2211E" w:rsidRDefault="004D514E">
      <w:pPr>
        <w:spacing w:before="80" w:after="220"/>
      </w:pPr>
      <w:r>
        <w:rPr>
          <w:i/>
          <w:iCs/>
          <w:sz w:val="20"/>
          <w:szCs w:val="20"/>
        </w:rPr>
        <w:t>Tabla 2. Conjuntos de datos y API evaluados. Ninguna alternativa reunía simultáneamente el texto crudo y las etiquetas de clasificación requeridas.</w:t>
      </w:r>
    </w:p>
    <w:p w:rsidR="00C2211E" w:rsidRDefault="004D514E">
      <w:pPr>
        <w:jc w:val="both"/>
      </w:pPr>
      <w:r>
        <w:t xml:space="preserve">El único conjunto de datos encontrado que sí contenía la descripción del incidente fue el publicado en </w:t>
      </w:r>
      <w:proofErr w:type="spellStart"/>
      <w:r>
        <w:t>Kaggle</w:t>
      </w:r>
      <w:proofErr w:type="spellEnd"/>
      <w:r>
        <w:t xml:space="preserve">. Sin embargo, tampoco resultó utilizable: carecía de las columnas de clasificación que el proyecto necesitaba, específicamente la prioridad del incidente y el área que debía atenderlo. Sus etiquetas correspondían a variables de participación ciudadana, no a la taxonomía de </w:t>
      </w:r>
      <w:proofErr w:type="spellStart"/>
      <w:r>
        <w:t>triaje</w:t>
      </w:r>
      <w:proofErr w:type="spellEnd"/>
      <w:r>
        <w:t xml:space="preserve"> requerida.</w:t>
      </w:r>
    </w:p>
    <w:p w:rsidR="00C2211E" w:rsidRDefault="004D514E">
      <w:pPr>
        <w:pStyle w:val="Ttulo2"/>
      </w:pPr>
      <w:r>
        <w:t>3.2. Generación de datos sintéticos</w:t>
      </w:r>
    </w:p>
    <w:p w:rsidR="00C2211E" w:rsidRDefault="004D514E">
      <w:pPr>
        <w:jc w:val="both"/>
      </w:pPr>
      <w:r>
        <w:t xml:space="preserve">Ante la ausencia de una fuente pública viable, se optó por construir un conjunto de datos íntegramente sintético que incluyera las columnas necesarias y, adicionalmente, otras </w:t>
      </w:r>
      <w:r>
        <w:lastRenderedPageBreak/>
        <w:t xml:space="preserve">vinculadas al contexto peruano: </w:t>
      </w:r>
      <w:proofErr w:type="spellStart"/>
      <w:r>
        <w:t>ubigeo</w:t>
      </w:r>
      <w:proofErr w:type="spellEnd"/>
      <w:r>
        <w:t xml:space="preserve">, distrito, canal de ingreso, sector del </w:t>
      </w:r>
      <w:proofErr w:type="spellStart"/>
      <w:r>
        <w:t>reportante</w:t>
      </w:r>
      <w:proofErr w:type="spellEnd"/>
      <w:r>
        <w:t xml:space="preserve"> y ciclo de vida del caso.</w:t>
      </w:r>
    </w:p>
    <w:p w:rsidR="00C2211E" w:rsidRDefault="004D514E">
      <w:pPr>
        <w:jc w:val="both"/>
      </w:pPr>
      <w:r>
        <w:t>Durante el desarrollo se constató que buena parte de esas columnas adicionales no llegaría a emplearse en el entrenamiento, dado que la interfaz de registro definida en paralelo no recopilaría dicha información. El conjunto de datos conservó, no obstante, los campos efectivamente utilizados: el texto crudo del reporte y las dos etiquetas objetivo.</w:t>
      </w:r>
    </w:p>
    <w:tbl>
      <w:tblPr>
        <w:tblW w:w="8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200"/>
        <w:gridCol w:w="5600"/>
      </w:tblGrid>
      <w:tr w:rsidR="00C2211E">
        <w:trPr>
          <w:tblHeader/>
        </w:trPr>
        <w:tc>
          <w:tcPr>
            <w:tcW w:w="3200" w:type="dxa"/>
            <w:shd w:val="clear" w:color="auto" w:fill="D9D9D9"/>
            <w:tcMar>
              <w:top w:w="80" w:type="dxa"/>
              <w:left w:w="110" w:type="dxa"/>
              <w:bottom w:w="80" w:type="dxa"/>
              <w:right w:w="110" w:type="dxa"/>
            </w:tcMar>
          </w:tcPr>
          <w:p w:rsidR="00C2211E" w:rsidRDefault="004D514E">
            <w:pPr>
              <w:spacing w:after="0" w:line="260" w:lineRule="auto"/>
            </w:pPr>
            <w:r>
              <w:rPr>
                <w:b/>
                <w:bCs/>
                <w:sz w:val="22"/>
                <w:szCs w:val="22"/>
              </w:rPr>
              <w:t>Característica</w:t>
            </w:r>
          </w:p>
        </w:tc>
        <w:tc>
          <w:tcPr>
            <w:tcW w:w="5600" w:type="dxa"/>
            <w:shd w:val="clear" w:color="auto" w:fill="D9D9D9"/>
            <w:tcMar>
              <w:top w:w="80" w:type="dxa"/>
              <w:left w:w="110" w:type="dxa"/>
              <w:bottom w:w="80" w:type="dxa"/>
              <w:right w:w="110" w:type="dxa"/>
            </w:tcMar>
          </w:tcPr>
          <w:p w:rsidR="00C2211E" w:rsidRDefault="004D514E">
            <w:pPr>
              <w:spacing w:after="0" w:line="260" w:lineRule="auto"/>
            </w:pPr>
            <w:r>
              <w:rPr>
                <w:b/>
                <w:bCs/>
                <w:sz w:val="22"/>
                <w:szCs w:val="22"/>
              </w:rPr>
              <w:t>Valor</w:t>
            </w:r>
          </w:p>
        </w:tc>
      </w:tr>
      <w:tr w:rsidR="00C2211E">
        <w:tc>
          <w:tcPr>
            <w:tcW w:w="3200" w:type="dxa"/>
            <w:tcMar>
              <w:top w:w="80" w:type="dxa"/>
              <w:left w:w="110" w:type="dxa"/>
              <w:bottom w:w="80" w:type="dxa"/>
              <w:right w:w="110" w:type="dxa"/>
            </w:tcMar>
          </w:tcPr>
          <w:p w:rsidR="00C2211E" w:rsidRDefault="004D514E">
            <w:pPr>
              <w:spacing w:after="0" w:line="260" w:lineRule="auto"/>
            </w:pPr>
            <w:r>
              <w:rPr>
                <w:sz w:val="22"/>
                <w:szCs w:val="22"/>
              </w:rPr>
              <w:t>Registros generados</w:t>
            </w:r>
          </w:p>
        </w:tc>
        <w:tc>
          <w:tcPr>
            <w:tcW w:w="5600" w:type="dxa"/>
            <w:tcMar>
              <w:top w:w="80" w:type="dxa"/>
              <w:left w:w="110" w:type="dxa"/>
              <w:bottom w:w="80" w:type="dxa"/>
              <w:right w:w="110" w:type="dxa"/>
            </w:tcMar>
          </w:tcPr>
          <w:p w:rsidR="00C2211E" w:rsidRDefault="004D514E">
            <w:pPr>
              <w:spacing w:after="0" w:line="260" w:lineRule="auto"/>
            </w:pPr>
            <w:r>
              <w:rPr>
                <w:sz w:val="22"/>
                <w:szCs w:val="22"/>
              </w:rPr>
              <w:t>5 000</w:t>
            </w:r>
          </w:p>
        </w:tc>
      </w:tr>
      <w:tr w:rsidR="00C2211E">
        <w:tc>
          <w:tcPr>
            <w:tcW w:w="3200" w:type="dxa"/>
            <w:tcMar>
              <w:top w:w="80" w:type="dxa"/>
              <w:left w:w="110" w:type="dxa"/>
              <w:bottom w:w="80" w:type="dxa"/>
              <w:right w:w="110" w:type="dxa"/>
            </w:tcMar>
          </w:tcPr>
          <w:p w:rsidR="00C2211E" w:rsidRDefault="004D514E">
            <w:pPr>
              <w:spacing w:after="0" w:line="260" w:lineRule="auto"/>
            </w:pPr>
            <w:r>
              <w:rPr>
                <w:sz w:val="22"/>
                <w:szCs w:val="22"/>
              </w:rPr>
              <w:t>Categorías de incidente</w:t>
            </w:r>
          </w:p>
        </w:tc>
        <w:tc>
          <w:tcPr>
            <w:tcW w:w="5600" w:type="dxa"/>
            <w:tcMar>
              <w:top w:w="80" w:type="dxa"/>
              <w:left w:w="110" w:type="dxa"/>
              <w:bottom w:w="80" w:type="dxa"/>
              <w:right w:w="110" w:type="dxa"/>
            </w:tcMar>
          </w:tcPr>
          <w:p w:rsidR="00C2211E" w:rsidRDefault="004D514E">
            <w:pPr>
              <w:spacing w:after="0" w:line="260" w:lineRule="auto"/>
            </w:pPr>
            <w:r>
              <w:rPr>
                <w:sz w:val="22"/>
                <w:szCs w:val="22"/>
              </w:rPr>
              <w:t>8</w:t>
            </w:r>
          </w:p>
        </w:tc>
      </w:tr>
      <w:tr w:rsidR="00C2211E">
        <w:tc>
          <w:tcPr>
            <w:tcW w:w="3200" w:type="dxa"/>
            <w:tcMar>
              <w:top w:w="80" w:type="dxa"/>
              <w:left w:w="110" w:type="dxa"/>
              <w:bottom w:w="80" w:type="dxa"/>
              <w:right w:w="110" w:type="dxa"/>
            </w:tcMar>
          </w:tcPr>
          <w:p w:rsidR="00C2211E" w:rsidRDefault="004D514E">
            <w:pPr>
              <w:spacing w:after="0" w:line="260" w:lineRule="auto"/>
            </w:pPr>
            <w:r>
              <w:rPr>
                <w:sz w:val="22"/>
                <w:szCs w:val="22"/>
              </w:rPr>
              <w:t>Subcategorías</w:t>
            </w:r>
          </w:p>
        </w:tc>
        <w:tc>
          <w:tcPr>
            <w:tcW w:w="5600" w:type="dxa"/>
            <w:tcMar>
              <w:top w:w="80" w:type="dxa"/>
              <w:left w:w="110" w:type="dxa"/>
              <w:bottom w:w="80" w:type="dxa"/>
              <w:right w:w="110" w:type="dxa"/>
            </w:tcMar>
          </w:tcPr>
          <w:p w:rsidR="00C2211E" w:rsidRDefault="004D514E">
            <w:pPr>
              <w:spacing w:after="0" w:line="260" w:lineRule="auto"/>
            </w:pPr>
            <w:r>
              <w:rPr>
                <w:sz w:val="22"/>
                <w:szCs w:val="22"/>
              </w:rPr>
              <w:t>34</w:t>
            </w:r>
          </w:p>
        </w:tc>
      </w:tr>
      <w:tr w:rsidR="00C2211E">
        <w:tc>
          <w:tcPr>
            <w:tcW w:w="3200" w:type="dxa"/>
            <w:tcMar>
              <w:top w:w="80" w:type="dxa"/>
              <w:left w:w="110" w:type="dxa"/>
              <w:bottom w:w="80" w:type="dxa"/>
              <w:right w:w="110" w:type="dxa"/>
            </w:tcMar>
          </w:tcPr>
          <w:p w:rsidR="00C2211E" w:rsidRDefault="004D514E">
            <w:pPr>
              <w:spacing w:after="0" w:line="260" w:lineRule="auto"/>
            </w:pPr>
            <w:r>
              <w:rPr>
                <w:sz w:val="22"/>
                <w:szCs w:val="22"/>
              </w:rPr>
              <w:t>Niveles de prioridad</w:t>
            </w:r>
          </w:p>
        </w:tc>
        <w:tc>
          <w:tcPr>
            <w:tcW w:w="5600" w:type="dxa"/>
            <w:tcMar>
              <w:top w:w="80" w:type="dxa"/>
              <w:left w:w="110" w:type="dxa"/>
              <w:bottom w:w="80" w:type="dxa"/>
              <w:right w:w="110" w:type="dxa"/>
            </w:tcMar>
          </w:tcPr>
          <w:p w:rsidR="00C2211E" w:rsidRDefault="004D514E">
            <w:pPr>
              <w:spacing w:after="0" w:line="260" w:lineRule="auto"/>
            </w:pPr>
            <w:r>
              <w:rPr>
                <w:sz w:val="22"/>
                <w:szCs w:val="22"/>
              </w:rPr>
              <w:t>3 (ALTA, MEDIA, BAJA)</w:t>
            </w:r>
          </w:p>
        </w:tc>
      </w:tr>
      <w:tr w:rsidR="00C2211E">
        <w:tc>
          <w:tcPr>
            <w:tcW w:w="3200" w:type="dxa"/>
            <w:tcMar>
              <w:top w:w="80" w:type="dxa"/>
              <w:left w:w="110" w:type="dxa"/>
              <w:bottom w:w="80" w:type="dxa"/>
              <w:right w:w="110" w:type="dxa"/>
            </w:tcMar>
          </w:tcPr>
          <w:p w:rsidR="00C2211E" w:rsidRDefault="004D514E">
            <w:pPr>
              <w:spacing w:after="0" w:line="260" w:lineRule="auto"/>
            </w:pPr>
            <w:r>
              <w:rPr>
                <w:sz w:val="22"/>
                <w:szCs w:val="22"/>
              </w:rPr>
              <w:t>Registros de escritura simulados</w:t>
            </w:r>
          </w:p>
        </w:tc>
        <w:tc>
          <w:tcPr>
            <w:tcW w:w="5600" w:type="dxa"/>
            <w:tcMar>
              <w:top w:w="80" w:type="dxa"/>
              <w:left w:w="110" w:type="dxa"/>
              <w:bottom w:w="80" w:type="dxa"/>
              <w:right w:w="110" w:type="dxa"/>
            </w:tcMar>
          </w:tcPr>
          <w:p w:rsidR="00C2211E" w:rsidRDefault="004D514E">
            <w:pPr>
              <w:spacing w:after="0" w:line="260" w:lineRule="auto"/>
            </w:pPr>
            <w:r>
              <w:rPr>
                <w:sz w:val="22"/>
                <w:szCs w:val="22"/>
              </w:rPr>
              <w:t>Formal, coloquial e informal</w:t>
            </w:r>
          </w:p>
        </w:tc>
      </w:tr>
      <w:tr w:rsidR="00C2211E">
        <w:tc>
          <w:tcPr>
            <w:tcW w:w="3200" w:type="dxa"/>
            <w:tcMar>
              <w:top w:w="80" w:type="dxa"/>
              <w:left w:w="110" w:type="dxa"/>
              <w:bottom w:w="80" w:type="dxa"/>
              <w:right w:w="110" w:type="dxa"/>
            </w:tcMar>
          </w:tcPr>
          <w:p w:rsidR="00C2211E" w:rsidRDefault="004D514E">
            <w:pPr>
              <w:spacing w:after="0" w:line="260" w:lineRule="auto"/>
            </w:pPr>
            <w:r>
              <w:rPr>
                <w:sz w:val="22"/>
                <w:szCs w:val="22"/>
              </w:rPr>
              <w:t>Longitud media del texto</w:t>
            </w:r>
          </w:p>
        </w:tc>
        <w:tc>
          <w:tcPr>
            <w:tcW w:w="5600" w:type="dxa"/>
            <w:tcMar>
              <w:top w:w="80" w:type="dxa"/>
              <w:left w:w="110" w:type="dxa"/>
              <w:bottom w:w="80" w:type="dxa"/>
              <w:right w:w="110" w:type="dxa"/>
            </w:tcMar>
          </w:tcPr>
          <w:p w:rsidR="00C2211E" w:rsidRDefault="004D514E">
            <w:pPr>
              <w:spacing w:after="0" w:line="260" w:lineRule="auto"/>
            </w:pPr>
            <w:r>
              <w:rPr>
                <w:sz w:val="22"/>
                <w:szCs w:val="22"/>
              </w:rPr>
              <w:t>Aproximadamente 146 caracteres</w:t>
            </w:r>
          </w:p>
        </w:tc>
      </w:tr>
      <w:tr w:rsidR="00C2211E">
        <w:tc>
          <w:tcPr>
            <w:tcW w:w="3200" w:type="dxa"/>
            <w:tcMar>
              <w:top w:w="80" w:type="dxa"/>
              <w:left w:w="110" w:type="dxa"/>
              <w:bottom w:w="80" w:type="dxa"/>
              <w:right w:w="110" w:type="dxa"/>
            </w:tcMar>
          </w:tcPr>
          <w:p w:rsidR="00C2211E" w:rsidRDefault="004D514E">
            <w:pPr>
              <w:spacing w:after="0" w:line="260" w:lineRule="auto"/>
            </w:pPr>
            <w:r>
              <w:rPr>
                <w:sz w:val="22"/>
                <w:szCs w:val="22"/>
              </w:rPr>
              <w:t>Campos efectivamente usados en el entrenamiento</w:t>
            </w:r>
          </w:p>
        </w:tc>
        <w:tc>
          <w:tcPr>
            <w:tcW w:w="5600" w:type="dxa"/>
            <w:tcMar>
              <w:top w:w="80" w:type="dxa"/>
              <w:left w:w="110" w:type="dxa"/>
              <w:bottom w:w="80" w:type="dxa"/>
              <w:right w:w="110" w:type="dxa"/>
            </w:tcMar>
          </w:tcPr>
          <w:p w:rsidR="00C2211E" w:rsidRDefault="004D514E">
            <w:pPr>
              <w:spacing w:after="0" w:line="260" w:lineRule="auto"/>
            </w:pPr>
            <w:r>
              <w:rPr>
                <w:sz w:val="22"/>
                <w:szCs w:val="22"/>
              </w:rPr>
              <w:t>Texto del reporte, categoría, prioridad</w:t>
            </w:r>
          </w:p>
        </w:tc>
      </w:tr>
    </w:tbl>
    <w:p w:rsidR="00C2211E" w:rsidRDefault="004D514E">
      <w:pPr>
        <w:spacing w:before="80" w:after="220"/>
      </w:pPr>
      <w:r>
        <w:rPr>
          <w:i/>
          <w:iCs/>
          <w:sz w:val="20"/>
          <w:szCs w:val="20"/>
        </w:rPr>
        <w:t>Tabla 3. Características del conjunto de datos sintético generado.</w:t>
      </w:r>
    </w:p>
    <w:p w:rsidR="00C2211E" w:rsidRDefault="004D514E">
      <w:pPr>
        <w:jc w:val="both"/>
      </w:pPr>
      <w:r>
        <w:t xml:space="preserve">Se reconoce como limitación que un modelo entrenado exclusivamente con datos generados a partir de plantillas puede </w:t>
      </w:r>
      <w:proofErr w:type="spellStart"/>
      <w:r>
        <w:t>sobreajustarse</w:t>
      </w:r>
      <w:proofErr w:type="spellEnd"/>
      <w:r>
        <w:t xml:space="preserve"> a las estructuras sintácticas de estas y degradar su desempeño frente a texto ciudadano real. El conjunto sintético cumple la función de permitir la validación del pipeline y de la arquitectura; su reemplazo o ampliación con reportes reales etiquetados manualmente queda identificado como trabajo posterior.</w:t>
      </w:r>
    </w:p>
    <w:p w:rsidR="00C2211E" w:rsidRDefault="004D514E">
      <w:pPr>
        <w:pStyle w:val="Ttulo2"/>
      </w:pPr>
      <w:r>
        <w:t>3.3. Revisión bibliográfica</w:t>
      </w:r>
    </w:p>
    <w:p w:rsidR="00C2211E" w:rsidRDefault="004D514E">
      <w:pPr>
        <w:jc w:val="both"/>
      </w:pPr>
      <w:r>
        <w:t xml:space="preserve">Se realizó una investigación asistida por inteligencia artificial orientada a identificar publicaciones académicas que hubieran abordado problemas equivalentes de clasificación de reportes ciudadanos. Los hallazgos sustentaron las decisiones de arquitectura descritas en la sección anterior, en particular la adopción de transfer </w:t>
      </w:r>
      <w:proofErr w:type="spellStart"/>
      <w:r>
        <w:t>learning</w:t>
      </w:r>
      <w:proofErr w:type="spellEnd"/>
      <w:r>
        <w:t xml:space="preserve"> sobre un modelo </w:t>
      </w:r>
      <w:proofErr w:type="spellStart"/>
      <w:r>
        <w:t>preentrenado</w:t>
      </w:r>
      <w:proofErr w:type="spellEnd"/>
      <w:r>
        <w:t xml:space="preserve"> en español y la conveniencia de un ajuste fino breve, de dos a cuatro épocas, frente a un entrenamiento extenso.</w:t>
      </w:r>
    </w:p>
    <w:p w:rsidR="00C2211E" w:rsidRDefault="004D514E">
      <w:pPr>
        <w:pStyle w:val="Ttulo2"/>
      </w:pPr>
      <w:r>
        <w:t>3.4. Entorno de desarrollo y cómputo</w:t>
      </w:r>
    </w:p>
    <w:p w:rsidR="00C2211E" w:rsidRDefault="004D514E">
      <w:pPr>
        <w:jc w:val="both"/>
      </w:pPr>
      <w:r>
        <w:t xml:space="preserve">Se seleccionó Google </w:t>
      </w:r>
      <w:proofErr w:type="spellStart"/>
      <w:r>
        <w:t>Colab</w:t>
      </w:r>
      <w:proofErr w:type="spellEnd"/>
      <w:r>
        <w:t xml:space="preserve"> como entorno de entrenamiento por tres razones: es una herramienta gratuita, el equipo cuenta con experiencia previa en su uso, y ofrece acceso a aceleración por hardware mediante GPU NVIDIA T4, capacidad suficiente para el ajuste fino de un modelo de esta escala. Con el volumen de datos manejado y textos cortos, cada época de entrenamiento se completa en pocos minutos.</w:t>
      </w:r>
    </w:p>
    <w:tbl>
      <w:tblPr>
        <w:tblW w:w="8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00"/>
        <w:gridCol w:w="6200"/>
      </w:tblGrid>
      <w:tr w:rsidR="00C2211E">
        <w:trPr>
          <w:tblHeader/>
        </w:trPr>
        <w:tc>
          <w:tcPr>
            <w:tcW w:w="2600" w:type="dxa"/>
            <w:shd w:val="clear" w:color="auto" w:fill="D9D9D9"/>
            <w:tcMar>
              <w:top w:w="80" w:type="dxa"/>
              <w:left w:w="110" w:type="dxa"/>
              <w:bottom w:w="80" w:type="dxa"/>
              <w:right w:w="110" w:type="dxa"/>
            </w:tcMar>
          </w:tcPr>
          <w:p w:rsidR="00C2211E" w:rsidRDefault="004D514E">
            <w:pPr>
              <w:spacing w:after="0" w:line="260" w:lineRule="auto"/>
            </w:pPr>
            <w:r>
              <w:rPr>
                <w:b/>
                <w:bCs/>
                <w:sz w:val="22"/>
                <w:szCs w:val="22"/>
              </w:rPr>
              <w:lastRenderedPageBreak/>
              <w:t>Recurso</w:t>
            </w:r>
          </w:p>
        </w:tc>
        <w:tc>
          <w:tcPr>
            <w:tcW w:w="6200" w:type="dxa"/>
            <w:shd w:val="clear" w:color="auto" w:fill="D9D9D9"/>
            <w:tcMar>
              <w:top w:w="80" w:type="dxa"/>
              <w:left w:w="110" w:type="dxa"/>
              <w:bottom w:w="80" w:type="dxa"/>
              <w:right w:w="110" w:type="dxa"/>
            </w:tcMar>
          </w:tcPr>
          <w:p w:rsidR="00C2211E" w:rsidRDefault="004D514E">
            <w:pPr>
              <w:spacing w:after="0" w:line="260" w:lineRule="auto"/>
            </w:pPr>
            <w:r>
              <w:rPr>
                <w:b/>
                <w:bCs/>
                <w:sz w:val="22"/>
                <w:szCs w:val="22"/>
              </w:rPr>
              <w:t>Detalle</w:t>
            </w:r>
          </w:p>
        </w:tc>
      </w:tr>
      <w:tr w:rsidR="00C2211E">
        <w:tc>
          <w:tcPr>
            <w:tcW w:w="2600" w:type="dxa"/>
            <w:tcMar>
              <w:top w:w="80" w:type="dxa"/>
              <w:left w:w="110" w:type="dxa"/>
              <w:bottom w:w="80" w:type="dxa"/>
              <w:right w:w="110" w:type="dxa"/>
            </w:tcMar>
          </w:tcPr>
          <w:p w:rsidR="00C2211E" w:rsidRDefault="004D514E">
            <w:pPr>
              <w:spacing w:after="0" w:line="260" w:lineRule="auto"/>
            </w:pPr>
            <w:r>
              <w:rPr>
                <w:sz w:val="22"/>
                <w:szCs w:val="22"/>
              </w:rPr>
              <w:t>Entorno de ejecución</w:t>
            </w:r>
          </w:p>
        </w:tc>
        <w:tc>
          <w:tcPr>
            <w:tcW w:w="6200" w:type="dxa"/>
            <w:tcMar>
              <w:top w:w="80" w:type="dxa"/>
              <w:left w:w="110" w:type="dxa"/>
              <w:bottom w:w="80" w:type="dxa"/>
              <w:right w:w="110" w:type="dxa"/>
            </w:tcMar>
          </w:tcPr>
          <w:p w:rsidR="00C2211E" w:rsidRDefault="004D514E">
            <w:pPr>
              <w:spacing w:after="0" w:line="260" w:lineRule="auto"/>
            </w:pPr>
            <w:r>
              <w:rPr>
                <w:sz w:val="22"/>
                <w:szCs w:val="22"/>
              </w:rPr>
              <w:t xml:space="preserve">Google </w:t>
            </w:r>
            <w:proofErr w:type="spellStart"/>
            <w:r>
              <w:rPr>
                <w:sz w:val="22"/>
                <w:szCs w:val="22"/>
              </w:rPr>
              <w:t>Colab</w:t>
            </w:r>
            <w:proofErr w:type="spellEnd"/>
            <w:r>
              <w:rPr>
                <w:sz w:val="22"/>
                <w:szCs w:val="22"/>
              </w:rPr>
              <w:t xml:space="preserve"> (gratuito)</w:t>
            </w:r>
          </w:p>
        </w:tc>
      </w:tr>
      <w:tr w:rsidR="00C2211E">
        <w:tc>
          <w:tcPr>
            <w:tcW w:w="2600" w:type="dxa"/>
            <w:tcMar>
              <w:top w:w="80" w:type="dxa"/>
              <w:left w:w="110" w:type="dxa"/>
              <w:bottom w:w="80" w:type="dxa"/>
              <w:right w:w="110" w:type="dxa"/>
            </w:tcMar>
          </w:tcPr>
          <w:p w:rsidR="00C2211E" w:rsidRDefault="004D514E">
            <w:pPr>
              <w:spacing w:after="0" w:line="260" w:lineRule="auto"/>
            </w:pPr>
            <w:r>
              <w:rPr>
                <w:sz w:val="22"/>
                <w:szCs w:val="22"/>
              </w:rPr>
              <w:t>Aceleración por hardware</w:t>
            </w:r>
          </w:p>
        </w:tc>
        <w:tc>
          <w:tcPr>
            <w:tcW w:w="6200" w:type="dxa"/>
            <w:tcMar>
              <w:top w:w="80" w:type="dxa"/>
              <w:left w:w="110" w:type="dxa"/>
              <w:bottom w:w="80" w:type="dxa"/>
              <w:right w:w="110" w:type="dxa"/>
            </w:tcMar>
          </w:tcPr>
          <w:p w:rsidR="00C2211E" w:rsidRDefault="004D514E">
            <w:pPr>
              <w:spacing w:after="0" w:line="260" w:lineRule="auto"/>
            </w:pPr>
            <w:r>
              <w:rPr>
                <w:sz w:val="22"/>
                <w:szCs w:val="22"/>
              </w:rPr>
              <w:t>GPU NVIDIA T4</w:t>
            </w:r>
          </w:p>
        </w:tc>
      </w:tr>
      <w:tr w:rsidR="00C2211E">
        <w:tc>
          <w:tcPr>
            <w:tcW w:w="2600" w:type="dxa"/>
            <w:tcMar>
              <w:top w:w="80" w:type="dxa"/>
              <w:left w:w="110" w:type="dxa"/>
              <w:bottom w:w="80" w:type="dxa"/>
              <w:right w:w="110" w:type="dxa"/>
            </w:tcMar>
          </w:tcPr>
          <w:p w:rsidR="00C2211E" w:rsidRDefault="004D514E">
            <w:pPr>
              <w:spacing w:after="0" w:line="260" w:lineRule="auto"/>
            </w:pPr>
            <w:r>
              <w:rPr>
                <w:sz w:val="22"/>
                <w:szCs w:val="22"/>
              </w:rPr>
              <w:t>Lenguaje</w:t>
            </w:r>
          </w:p>
        </w:tc>
        <w:tc>
          <w:tcPr>
            <w:tcW w:w="6200" w:type="dxa"/>
            <w:tcMar>
              <w:top w:w="80" w:type="dxa"/>
              <w:left w:w="110" w:type="dxa"/>
              <w:bottom w:w="80" w:type="dxa"/>
              <w:right w:w="110" w:type="dxa"/>
            </w:tcMar>
          </w:tcPr>
          <w:p w:rsidR="00C2211E" w:rsidRDefault="004D514E">
            <w:pPr>
              <w:spacing w:after="0" w:line="260" w:lineRule="auto"/>
            </w:pPr>
            <w:r>
              <w:rPr>
                <w:sz w:val="22"/>
                <w:szCs w:val="22"/>
              </w:rPr>
              <w:t>Python 3</w:t>
            </w:r>
          </w:p>
        </w:tc>
      </w:tr>
      <w:tr w:rsidR="00C2211E" w:rsidRPr="00584BCA">
        <w:tc>
          <w:tcPr>
            <w:tcW w:w="2600" w:type="dxa"/>
            <w:tcMar>
              <w:top w:w="80" w:type="dxa"/>
              <w:left w:w="110" w:type="dxa"/>
              <w:bottom w:w="80" w:type="dxa"/>
              <w:right w:w="110" w:type="dxa"/>
            </w:tcMar>
          </w:tcPr>
          <w:p w:rsidR="00C2211E" w:rsidRDefault="004D514E">
            <w:pPr>
              <w:spacing w:after="0" w:line="260" w:lineRule="auto"/>
            </w:pPr>
            <w:r>
              <w:rPr>
                <w:sz w:val="22"/>
                <w:szCs w:val="22"/>
              </w:rPr>
              <w:t>Marcos de trabajo</w:t>
            </w:r>
          </w:p>
        </w:tc>
        <w:tc>
          <w:tcPr>
            <w:tcW w:w="6200" w:type="dxa"/>
            <w:tcMar>
              <w:top w:w="80" w:type="dxa"/>
              <w:left w:w="110" w:type="dxa"/>
              <w:bottom w:w="80" w:type="dxa"/>
              <w:right w:w="110" w:type="dxa"/>
            </w:tcMar>
          </w:tcPr>
          <w:p w:rsidR="00C2211E" w:rsidRPr="0004129F" w:rsidRDefault="004D514E">
            <w:pPr>
              <w:spacing w:after="0" w:line="260" w:lineRule="auto"/>
              <w:rPr>
                <w:lang w:val="en-US"/>
              </w:rPr>
            </w:pPr>
            <w:proofErr w:type="spellStart"/>
            <w:r w:rsidRPr="0004129F">
              <w:rPr>
                <w:sz w:val="22"/>
                <w:szCs w:val="22"/>
                <w:lang w:val="en-US"/>
              </w:rPr>
              <w:t>PyTorch</w:t>
            </w:r>
            <w:proofErr w:type="spellEnd"/>
            <w:r w:rsidRPr="0004129F">
              <w:rPr>
                <w:sz w:val="22"/>
                <w:szCs w:val="22"/>
                <w:lang w:val="en-US"/>
              </w:rPr>
              <w:t>, Hugging Face Transformers, Hugging Face Datasets</w:t>
            </w:r>
          </w:p>
        </w:tc>
      </w:tr>
      <w:tr w:rsidR="00C2211E" w:rsidRPr="00584BCA">
        <w:tc>
          <w:tcPr>
            <w:tcW w:w="2600" w:type="dxa"/>
            <w:tcMar>
              <w:top w:w="80" w:type="dxa"/>
              <w:left w:w="110" w:type="dxa"/>
              <w:bottom w:w="80" w:type="dxa"/>
              <w:right w:w="110" w:type="dxa"/>
            </w:tcMar>
          </w:tcPr>
          <w:p w:rsidR="00C2211E" w:rsidRDefault="004D514E">
            <w:pPr>
              <w:spacing w:after="0" w:line="260" w:lineRule="auto"/>
            </w:pPr>
            <w:r>
              <w:rPr>
                <w:sz w:val="22"/>
                <w:szCs w:val="22"/>
              </w:rPr>
              <w:t>Bibliotecas de apoyo</w:t>
            </w:r>
          </w:p>
        </w:tc>
        <w:tc>
          <w:tcPr>
            <w:tcW w:w="6200" w:type="dxa"/>
            <w:tcMar>
              <w:top w:w="80" w:type="dxa"/>
              <w:left w:w="110" w:type="dxa"/>
              <w:bottom w:w="80" w:type="dxa"/>
              <w:right w:w="110" w:type="dxa"/>
            </w:tcMar>
          </w:tcPr>
          <w:p w:rsidR="00C2211E" w:rsidRPr="0004129F" w:rsidRDefault="004D514E">
            <w:pPr>
              <w:spacing w:after="0" w:line="260" w:lineRule="auto"/>
              <w:rPr>
                <w:lang w:val="en-US"/>
              </w:rPr>
            </w:pPr>
            <w:proofErr w:type="spellStart"/>
            <w:r w:rsidRPr="0004129F">
              <w:rPr>
                <w:sz w:val="22"/>
                <w:szCs w:val="22"/>
                <w:lang w:val="en-US"/>
              </w:rPr>
              <w:t>scikit</w:t>
            </w:r>
            <w:proofErr w:type="spellEnd"/>
            <w:r w:rsidRPr="0004129F">
              <w:rPr>
                <w:sz w:val="22"/>
                <w:szCs w:val="22"/>
                <w:lang w:val="en-US"/>
              </w:rPr>
              <w:t>-learn, pandas, NumPy, Matplotlib, Seaborn</w:t>
            </w:r>
          </w:p>
        </w:tc>
      </w:tr>
      <w:tr w:rsidR="00C2211E" w:rsidRPr="00584BCA">
        <w:tc>
          <w:tcPr>
            <w:tcW w:w="2600" w:type="dxa"/>
            <w:tcMar>
              <w:top w:w="80" w:type="dxa"/>
              <w:left w:w="110" w:type="dxa"/>
              <w:bottom w:w="80" w:type="dxa"/>
              <w:right w:w="110" w:type="dxa"/>
            </w:tcMar>
          </w:tcPr>
          <w:p w:rsidR="00C2211E" w:rsidRDefault="004D514E">
            <w:pPr>
              <w:spacing w:after="0" w:line="260" w:lineRule="auto"/>
            </w:pPr>
            <w:r>
              <w:rPr>
                <w:sz w:val="22"/>
                <w:szCs w:val="22"/>
              </w:rPr>
              <w:t>Modelo base</w:t>
            </w:r>
          </w:p>
        </w:tc>
        <w:tc>
          <w:tcPr>
            <w:tcW w:w="6200" w:type="dxa"/>
            <w:tcMar>
              <w:top w:w="80" w:type="dxa"/>
              <w:left w:w="110" w:type="dxa"/>
              <w:bottom w:w="80" w:type="dxa"/>
              <w:right w:w="110" w:type="dxa"/>
            </w:tcMar>
          </w:tcPr>
          <w:p w:rsidR="00C2211E" w:rsidRPr="0004129F" w:rsidRDefault="004D514E">
            <w:pPr>
              <w:spacing w:after="0" w:line="260" w:lineRule="auto"/>
              <w:rPr>
                <w:lang w:val="en-US"/>
              </w:rPr>
            </w:pPr>
            <w:r w:rsidRPr="0004129F">
              <w:rPr>
                <w:sz w:val="22"/>
                <w:szCs w:val="22"/>
                <w:lang w:val="en-US"/>
              </w:rPr>
              <w:t xml:space="preserve">BETO </w:t>
            </w:r>
            <w:r w:rsidR="008739A2">
              <w:rPr>
                <w:sz w:val="22"/>
                <w:szCs w:val="22"/>
                <w:lang w:val="en-US"/>
              </w:rPr>
              <w:t>-</w:t>
            </w:r>
            <w:r w:rsidRPr="0004129F">
              <w:rPr>
                <w:sz w:val="22"/>
                <w:szCs w:val="22"/>
                <w:lang w:val="en-US"/>
              </w:rPr>
              <w:t xml:space="preserve"> </w:t>
            </w:r>
            <w:proofErr w:type="spellStart"/>
            <w:r w:rsidRPr="0004129F">
              <w:rPr>
                <w:sz w:val="22"/>
                <w:szCs w:val="22"/>
                <w:lang w:val="en-US"/>
              </w:rPr>
              <w:t>dccuchile</w:t>
            </w:r>
            <w:proofErr w:type="spellEnd"/>
            <w:r w:rsidRPr="0004129F">
              <w:rPr>
                <w:sz w:val="22"/>
                <w:szCs w:val="22"/>
                <w:lang w:val="en-US"/>
              </w:rPr>
              <w:t>/</w:t>
            </w:r>
            <w:proofErr w:type="spellStart"/>
            <w:r w:rsidRPr="0004129F">
              <w:rPr>
                <w:sz w:val="22"/>
                <w:szCs w:val="22"/>
                <w:lang w:val="en-US"/>
              </w:rPr>
              <w:t>bert</w:t>
            </w:r>
            <w:proofErr w:type="spellEnd"/>
            <w:r w:rsidRPr="0004129F">
              <w:rPr>
                <w:sz w:val="22"/>
                <w:szCs w:val="22"/>
                <w:lang w:val="en-US"/>
              </w:rPr>
              <w:t>-base-</w:t>
            </w:r>
            <w:proofErr w:type="spellStart"/>
            <w:r w:rsidRPr="0004129F">
              <w:rPr>
                <w:sz w:val="22"/>
                <w:szCs w:val="22"/>
                <w:lang w:val="en-US"/>
              </w:rPr>
              <w:t>spanish</w:t>
            </w:r>
            <w:proofErr w:type="spellEnd"/>
            <w:r w:rsidRPr="0004129F">
              <w:rPr>
                <w:sz w:val="22"/>
                <w:szCs w:val="22"/>
                <w:lang w:val="en-US"/>
              </w:rPr>
              <w:t>-</w:t>
            </w:r>
            <w:proofErr w:type="spellStart"/>
            <w:r w:rsidRPr="0004129F">
              <w:rPr>
                <w:sz w:val="22"/>
                <w:szCs w:val="22"/>
                <w:lang w:val="en-US"/>
              </w:rPr>
              <w:t>wwm</w:t>
            </w:r>
            <w:proofErr w:type="spellEnd"/>
            <w:r w:rsidRPr="0004129F">
              <w:rPr>
                <w:sz w:val="22"/>
                <w:szCs w:val="22"/>
                <w:lang w:val="en-US"/>
              </w:rPr>
              <w:t>-cased</w:t>
            </w:r>
          </w:p>
        </w:tc>
      </w:tr>
      <w:tr w:rsidR="00C2211E">
        <w:tc>
          <w:tcPr>
            <w:tcW w:w="2600" w:type="dxa"/>
            <w:tcMar>
              <w:top w:w="80" w:type="dxa"/>
              <w:left w:w="110" w:type="dxa"/>
              <w:bottom w:w="80" w:type="dxa"/>
              <w:right w:w="110" w:type="dxa"/>
            </w:tcMar>
          </w:tcPr>
          <w:p w:rsidR="00C2211E" w:rsidRDefault="004D514E">
            <w:pPr>
              <w:spacing w:after="0" w:line="260" w:lineRule="auto"/>
            </w:pPr>
            <w:r>
              <w:rPr>
                <w:sz w:val="22"/>
                <w:szCs w:val="22"/>
              </w:rPr>
              <w:t>Almacenamiento de pesos</w:t>
            </w:r>
          </w:p>
        </w:tc>
        <w:tc>
          <w:tcPr>
            <w:tcW w:w="6200" w:type="dxa"/>
            <w:tcMar>
              <w:top w:w="80" w:type="dxa"/>
              <w:left w:w="110" w:type="dxa"/>
              <w:bottom w:w="80" w:type="dxa"/>
              <w:right w:w="110" w:type="dxa"/>
            </w:tcMar>
          </w:tcPr>
          <w:p w:rsidR="00C2211E" w:rsidRDefault="004D514E">
            <w:pPr>
              <w:spacing w:after="0" w:line="260" w:lineRule="auto"/>
            </w:pPr>
            <w:r>
              <w:rPr>
                <w:sz w:val="22"/>
                <w:szCs w:val="22"/>
              </w:rPr>
              <w:t>Google Drive</w:t>
            </w:r>
          </w:p>
        </w:tc>
      </w:tr>
      <w:tr w:rsidR="00C2211E">
        <w:tc>
          <w:tcPr>
            <w:tcW w:w="2600" w:type="dxa"/>
            <w:tcMar>
              <w:top w:w="80" w:type="dxa"/>
              <w:left w:w="110" w:type="dxa"/>
              <w:bottom w:w="80" w:type="dxa"/>
              <w:right w:w="110" w:type="dxa"/>
            </w:tcMar>
          </w:tcPr>
          <w:p w:rsidR="00C2211E" w:rsidRDefault="004D514E">
            <w:pPr>
              <w:spacing w:after="0" w:line="260" w:lineRule="auto"/>
            </w:pPr>
            <w:r>
              <w:rPr>
                <w:sz w:val="22"/>
                <w:szCs w:val="22"/>
              </w:rPr>
              <w:t>Despliegue</w:t>
            </w:r>
          </w:p>
        </w:tc>
        <w:tc>
          <w:tcPr>
            <w:tcW w:w="6200" w:type="dxa"/>
            <w:tcMar>
              <w:top w:w="80" w:type="dxa"/>
              <w:left w:w="110" w:type="dxa"/>
              <w:bottom w:w="80" w:type="dxa"/>
              <w:right w:w="110" w:type="dxa"/>
            </w:tcMar>
          </w:tcPr>
          <w:p w:rsidR="00C2211E" w:rsidRDefault="004D514E">
            <w:pPr>
              <w:spacing w:after="0" w:line="260" w:lineRule="auto"/>
            </w:pPr>
            <w:r>
              <w:rPr>
                <w:sz w:val="22"/>
                <w:szCs w:val="22"/>
              </w:rPr>
              <w:t>Local</w:t>
            </w:r>
          </w:p>
        </w:tc>
      </w:tr>
    </w:tbl>
    <w:p w:rsidR="00C2211E" w:rsidRDefault="004D514E">
      <w:pPr>
        <w:spacing w:before="80" w:after="220"/>
      </w:pPr>
      <w:r>
        <w:rPr>
          <w:i/>
          <w:iCs/>
          <w:sz w:val="20"/>
          <w:szCs w:val="20"/>
        </w:rPr>
        <w:t>Tabla 4. Recursos técnicos empleados.</w:t>
      </w:r>
    </w:p>
    <w:p w:rsidR="00C2211E" w:rsidRDefault="004D514E">
      <w:pPr>
        <w:pStyle w:val="Ttulo2"/>
      </w:pPr>
      <w:r>
        <w:t xml:space="preserve">3.5. Modelo </w:t>
      </w:r>
      <w:proofErr w:type="spellStart"/>
      <w:r>
        <w:t>preentrenado</w:t>
      </w:r>
      <w:proofErr w:type="spellEnd"/>
    </w:p>
    <w:p w:rsidR="00C2211E" w:rsidRDefault="004D514E">
      <w:pPr>
        <w:jc w:val="both"/>
      </w:pPr>
      <w:r>
        <w:t xml:space="preserve">Se evaluó qué modelo </w:t>
      </w:r>
      <w:proofErr w:type="spellStart"/>
      <w:r>
        <w:t>preentrenado</w:t>
      </w:r>
      <w:proofErr w:type="spellEnd"/>
      <w:r>
        <w:t xml:space="preserve"> permitía aplicar transfer </w:t>
      </w:r>
      <w:proofErr w:type="spellStart"/>
      <w:r>
        <w:t>learning</w:t>
      </w:r>
      <w:proofErr w:type="spellEnd"/>
      <w:r>
        <w:t xml:space="preserve"> en lugar de entrenar desde cero. La elección recayó en BETO, un modelo tipo BERT </w:t>
      </w:r>
      <w:proofErr w:type="spellStart"/>
      <w:r>
        <w:t>preentrenado</w:t>
      </w:r>
      <w:proofErr w:type="spellEnd"/>
      <w:r>
        <w:t xml:space="preserve"> sobre corpus en español, que ya comprende la gramática y la semántica del idioma.</w:t>
      </w:r>
    </w:p>
    <w:p w:rsidR="00C2211E" w:rsidRDefault="004D514E">
      <w:pPr>
        <w:jc w:val="both"/>
      </w:pPr>
      <w:r>
        <w:t xml:space="preserve">Para adaptarlo a la clasificación de reportes de incidencias urbanas basta con incorporar una capa final de clasificación y entrenarlo durante dos a cuatro épocas sobre un conjunto de datos municipal reducido, obteniendo resultados de vanguardia. Los pesos del codificador llegan </w:t>
      </w:r>
      <w:proofErr w:type="spellStart"/>
      <w:r>
        <w:t>preentrenados</w:t>
      </w:r>
      <w:proofErr w:type="spellEnd"/>
      <w:r>
        <w:t xml:space="preserve"> y se transfieren íntegramente; únicamente la cabeza de clasificación se inicializa de forma aleatoria y se entrena desde cero.</w:t>
      </w:r>
    </w:p>
    <w:p w:rsidR="00C2211E" w:rsidRDefault="004D514E">
      <w:pPr>
        <w:pStyle w:val="Ttulo2"/>
      </w:pPr>
      <w:r>
        <w:t>3.6. Procedimiento de entrenamiento</w:t>
      </w:r>
    </w:p>
    <w:p w:rsidR="00C2211E" w:rsidRDefault="004D514E">
      <w:pPr>
        <w:jc w:val="both"/>
      </w:pPr>
      <w:r>
        <w:t>Se empleó un único cuaderno de trabajo, ejecutado dos veces. Entre una ejecución y otra se modificó exclusivamente el parámetro que indica la variable objetivo a predecir: en la primera pasada, la categoría del incidente; en la segunda, la prioridad. El resto de la configuración —número de clases, pesos de clase y métricas— se ajusta automáticamente a partir de la variable seleccionada, lo que evita duplicar código y reduce la probabilidad de error.</w:t>
      </w:r>
    </w:p>
    <w:p w:rsidR="00C2211E" w:rsidRDefault="004D514E">
      <w:pPr>
        <w:jc w:val="both"/>
      </w:pPr>
      <w:r>
        <w:t>De cada ejecución se descargaron los pesos del modelo entrenado, obteniéndose así los dos artefactos independientes que la arquitectura requiere.</w:t>
      </w:r>
    </w:p>
    <w:tbl>
      <w:tblPr>
        <w:tblW w:w="8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400"/>
        <w:gridCol w:w="5400"/>
      </w:tblGrid>
      <w:tr w:rsidR="00C2211E">
        <w:trPr>
          <w:tblHeader/>
        </w:trPr>
        <w:tc>
          <w:tcPr>
            <w:tcW w:w="3400" w:type="dxa"/>
            <w:shd w:val="clear" w:color="auto" w:fill="D9D9D9"/>
            <w:tcMar>
              <w:top w:w="80" w:type="dxa"/>
              <w:left w:w="110" w:type="dxa"/>
              <w:bottom w:w="80" w:type="dxa"/>
              <w:right w:w="110" w:type="dxa"/>
            </w:tcMar>
          </w:tcPr>
          <w:p w:rsidR="00C2211E" w:rsidRDefault="004D514E">
            <w:pPr>
              <w:spacing w:after="0" w:line="260" w:lineRule="auto"/>
            </w:pPr>
            <w:r>
              <w:rPr>
                <w:b/>
                <w:bCs/>
                <w:sz w:val="22"/>
                <w:szCs w:val="22"/>
              </w:rPr>
              <w:t>Parámetro</w:t>
            </w:r>
          </w:p>
        </w:tc>
        <w:tc>
          <w:tcPr>
            <w:tcW w:w="5400" w:type="dxa"/>
            <w:shd w:val="clear" w:color="auto" w:fill="D9D9D9"/>
            <w:tcMar>
              <w:top w:w="80" w:type="dxa"/>
              <w:left w:w="110" w:type="dxa"/>
              <w:bottom w:w="80" w:type="dxa"/>
              <w:right w:w="110" w:type="dxa"/>
            </w:tcMar>
          </w:tcPr>
          <w:p w:rsidR="00C2211E" w:rsidRDefault="004D514E">
            <w:pPr>
              <w:spacing w:after="0" w:line="260" w:lineRule="auto"/>
            </w:pPr>
            <w:r>
              <w:rPr>
                <w:b/>
                <w:bCs/>
                <w:sz w:val="22"/>
                <w:szCs w:val="22"/>
              </w:rPr>
              <w:t>Valor</w:t>
            </w:r>
          </w:p>
        </w:tc>
      </w:tr>
      <w:tr w:rsidR="00C2211E">
        <w:tc>
          <w:tcPr>
            <w:tcW w:w="3400" w:type="dxa"/>
            <w:tcMar>
              <w:top w:w="80" w:type="dxa"/>
              <w:left w:w="110" w:type="dxa"/>
              <w:bottom w:w="80" w:type="dxa"/>
              <w:right w:w="110" w:type="dxa"/>
            </w:tcMar>
          </w:tcPr>
          <w:p w:rsidR="00C2211E" w:rsidRDefault="004D514E">
            <w:pPr>
              <w:spacing w:after="0" w:line="260" w:lineRule="auto"/>
            </w:pPr>
            <w:r>
              <w:rPr>
                <w:sz w:val="22"/>
                <w:szCs w:val="22"/>
              </w:rPr>
              <w:t>Épocas</w:t>
            </w:r>
          </w:p>
        </w:tc>
        <w:tc>
          <w:tcPr>
            <w:tcW w:w="5400" w:type="dxa"/>
            <w:tcMar>
              <w:top w:w="80" w:type="dxa"/>
              <w:left w:w="110" w:type="dxa"/>
              <w:bottom w:w="80" w:type="dxa"/>
              <w:right w:w="110" w:type="dxa"/>
            </w:tcMar>
          </w:tcPr>
          <w:p w:rsidR="00C2211E" w:rsidRDefault="004D514E">
            <w:pPr>
              <w:spacing w:after="0" w:line="260" w:lineRule="auto"/>
            </w:pPr>
            <w:r>
              <w:rPr>
                <w:sz w:val="22"/>
                <w:szCs w:val="22"/>
              </w:rPr>
              <w:t>4</w:t>
            </w:r>
          </w:p>
        </w:tc>
      </w:tr>
      <w:tr w:rsidR="00C2211E">
        <w:tc>
          <w:tcPr>
            <w:tcW w:w="3400" w:type="dxa"/>
            <w:tcMar>
              <w:top w:w="80" w:type="dxa"/>
              <w:left w:w="110" w:type="dxa"/>
              <w:bottom w:w="80" w:type="dxa"/>
              <w:right w:w="110" w:type="dxa"/>
            </w:tcMar>
          </w:tcPr>
          <w:p w:rsidR="00C2211E" w:rsidRDefault="004D514E">
            <w:pPr>
              <w:spacing w:after="0" w:line="260" w:lineRule="auto"/>
            </w:pPr>
            <w:r>
              <w:rPr>
                <w:sz w:val="22"/>
                <w:szCs w:val="22"/>
              </w:rPr>
              <w:t>Tasa de aprendizaje</w:t>
            </w:r>
          </w:p>
        </w:tc>
        <w:tc>
          <w:tcPr>
            <w:tcW w:w="5400" w:type="dxa"/>
            <w:tcMar>
              <w:top w:w="80" w:type="dxa"/>
              <w:left w:w="110" w:type="dxa"/>
              <w:bottom w:w="80" w:type="dxa"/>
              <w:right w:w="110" w:type="dxa"/>
            </w:tcMar>
          </w:tcPr>
          <w:p w:rsidR="00C2211E" w:rsidRDefault="004D514E">
            <w:pPr>
              <w:spacing w:after="0" w:line="260" w:lineRule="auto"/>
            </w:pPr>
            <w:r>
              <w:rPr>
                <w:sz w:val="22"/>
                <w:szCs w:val="22"/>
              </w:rPr>
              <w:t>2 × 10⁻⁵</w:t>
            </w:r>
          </w:p>
        </w:tc>
      </w:tr>
      <w:tr w:rsidR="00C2211E">
        <w:tc>
          <w:tcPr>
            <w:tcW w:w="3400" w:type="dxa"/>
            <w:tcMar>
              <w:top w:w="80" w:type="dxa"/>
              <w:left w:w="110" w:type="dxa"/>
              <w:bottom w:w="80" w:type="dxa"/>
              <w:right w:w="110" w:type="dxa"/>
            </w:tcMar>
          </w:tcPr>
          <w:p w:rsidR="00C2211E" w:rsidRDefault="004D514E">
            <w:pPr>
              <w:spacing w:after="0" w:line="260" w:lineRule="auto"/>
            </w:pPr>
            <w:r>
              <w:rPr>
                <w:sz w:val="22"/>
                <w:szCs w:val="22"/>
              </w:rPr>
              <w:t>Tamaño de lote (entrenamiento)</w:t>
            </w:r>
          </w:p>
        </w:tc>
        <w:tc>
          <w:tcPr>
            <w:tcW w:w="5400" w:type="dxa"/>
            <w:tcMar>
              <w:top w:w="80" w:type="dxa"/>
              <w:left w:w="110" w:type="dxa"/>
              <w:bottom w:w="80" w:type="dxa"/>
              <w:right w:w="110" w:type="dxa"/>
            </w:tcMar>
          </w:tcPr>
          <w:p w:rsidR="00C2211E" w:rsidRDefault="004D514E">
            <w:pPr>
              <w:spacing w:after="0" w:line="260" w:lineRule="auto"/>
            </w:pPr>
            <w:r>
              <w:rPr>
                <w:sz w:val="22"/>
                <w:szCs w:val="22"/>
              </w:rPr>
              <w:t>16</w:t>
            </w:r>
          </w:p>
        </w:tc>
      </w:tr>
      <w:tr w:rsidR="00C2211E">
        <w:tc>
          <w:tcPr>
            <w:tcW w:w="3400" w:type="dxa"/>
            <w:tcMar>
              <w:top w:w="80" w:type="dxa"/>
              <w:left w:w="110" w:type="dxa"/>
              <w:bottom w:w="80" w:type="dxa"/>
              <w:right w:w="110" w:type="dxa"/>
            </w:tcMar>
          </w:tcPr>
          <w:p w:rsidR="00C2211E" w:rsidRDefault="004D514E">
            <w:pPr>
              <w:spacing w:after="0" w:line="260" w:lineRule="auto"/>
            </w:pPr>
            <w:r>
              <w:rPr>
                <w:sz w:val="22"/>
                <w:szCs w:val="22"/>
              </w:rPr>
              <w:t>Tamaño de lote (evaluación)</w:t>
            </w:r>
          </w:p>
        </w:tc>
        <w:tc>
          <w:tcPr>
            <w:tcW w:w="5400" w:type="dxa"/>
            <w:tcMar>
              <w:top w:w="80" w:type="dxa"/>
              <w:left w:w="110" w:type="dxa"/>
              <w:bottom w:w="80" w:type="dxa"/>
              <w:right w:w="110" w:type="dxa"/>
            </w:tcMar>
          </w:tcPr>
          <w:p w:rsidR="00C2211E" w:rsidRDefault="004D514E">
            <w:pPr>
              <w:spacing w:after="0" w:line="260" w:lineRule="auto"/>
            </w:pPr>
            <w:r>
              <w:rPr>
                <w:sz w:val="22"/>
                <w:szCs w:val="22"/>
              </w:rPr>
              <w:t>32</w:t>
            </w:r>
          </w:p>
        </w:tc>
      </w:tr>
      <w:tr w:rsidR="00C2211E">
        <w:tc>
          <w:tcPr>
            <w:tcW w:w="3400" w:type="dxa"/>
            <w:tcMar>
              <w:top w:w="80" w:type="dxa"/>
              <w:left w:w="110" w:type="dxa"/>
              <w:bottom w:w="80" w:type="dxa"/>
              <w:right w:w="110" w:type="dxa"/>
            </w:tcMar>
          </w:tcPr>
          <w:p w:rsidR="00C2211E" w:rsidRDefault="004D514E">
            <w:pPr>
              <w:spacing w:after="0" w:line="260" w:lineRule="auto"/>
            </w:pPr>
            <w:r>
              <w:rPr>
                <w:sz w:val="22"/>
                <w:szCs w:val="22"/>
              </w:rPr>
              <w:t>Longitud máxima de secuencia</w:t>
            </w:r>
          </w:p>
        </w:tc>
        <w:tc>
          <w:tcPr>
            <w:tcW w:w="5400" w:type="dxa"/>
            <w:tcMar>
              <w:top w:w="80" w:type="dxa"/>
              <w:left w:w="110" w:type="dxa"/>
              <w:bottom w:w="80" w:type="dxa"/>
              <w:right w:w="110" w:type="dxa"/>
            </w:tcMar>
          </w:tcPr>
          <w:p w:rsidR="00C2211E" w:rsidRDefault="004D514E">
            <w:pPr>
              <w:spacing w:after="0" w:line="260" w:lineRule="auto"/>
            </w:pPr>
            <w:r>
              <w:rPr>
                <w:sz w:val="22"/>
                <w:szCs w:val="22"/>
              </w:rPr>
              <w:t>128 tokens</w:t>
            </w:r>
          </w:p>
        </w:tc>
      </w:tr>
      <w:tr w:rsidR="00C2211E">
        <w:tc>
          <w:tcPr>
            <w:tcW w:w="3400" w:type="dxa"/>
            <w:tcMar>
              <w:top w:w="80" w:type="dxa"/>
              <w:left w:w="110" w:type="dxa"/>
              <w:bottom w:w="80" w:type="dxa"/>
              <w:right w:w="110" w:type="dxa"/>
            </w:tcMar>
          </w:tcPr>
          <w:p w:rsidR="00C2211E" w:rsidRDefault="004D514E">
            <w:pPr>
              <w:spacing w:after="0" w:line="260" w:lineRule="auto"/>
            </w:pPr>
            <w:r>
              <w:rPr>
                <w:sz w:val="22"/>
                <w:szCs w:val="22"/>
              </w:rPr>
              <w:lastRenderedPageBreak/>
              <w:t>Decaimiento de pesos</w:t>
            </w:r>
          </w:p>
        </w:tc>
        <w:tc>
          <w:tcPr>
            <w:tcW w:w="5400" w:type="dxa"/>
            <w:tcMar>
              <w:top w:w="80" w:type="dxa"/>
              <w:left w:w="110" w:type="dxa"/>
              <w:bottom w:w="80" w:type="dxa"/>
              <w:right w:w="110" w:type="dxa"/>
            </w:tcMar>
          </w:tcPr>
          <w:p w:rsidR="00C2211E" w:rsidRDefault="004D514E">
            <w:pPr>
              <w:spacing w:after="0" w:line="260" w:lineRule="auto"/>
            </w:pPr>
            <w:r>
              <w:rPr>
                <w:sz w:val="22"/>
                <w:szCs w:val="22"/>
              </w:rPr>
              <w:t>0.01</w:t>
            </w:r>
          </w:p>
        </w:tc>
      </w:tr>
      <w:tr w:rsidR="00C2211E">
        <w:tc>
          <w:tcPr>
            <w:tcW w:w="3400" w:type="dxa"/>
            <w:tcMar>
              <w:top w:w="80" w:type="dxa"/>
              <w:left w:w="110" w:type="dxa"/>
              <w:bottom w:w="80" w:type="dxa"/>
              <w:right w:w="110" w:type="dxa"/>
            </w:tcMar>
          </w:tcPr>
          <w:p w:rsidR="00C2211E" w:rsidRDefault="004D514E">
            <w:pPr>
              <w:spacing w:after="0" w:line="260" w:lineRule="auto"/>
            </w:pPr>
            <w:r>
              <w:rPr>
                <w:sz w:val="22"/>
                <w:szCs w:val="22"/>
              </w:rPr>
              <w:t>Proporción de calentamiento</w:t>
            </w:r>
          </w:p>
        </w:tc>
        <w:tc>
          <w:tcPr>
            <w:tcW w:w="5400" w:type="dxa"/>
            <w:tcMar>
              <w:top w:w="80" w:type="dxa"/>
              <w:left w:w="110" w:type="dxa"/>
              <w:bottom w:w="80" w:type="dxa"/>
              <w:right w:w="110" w:type="dxa"/>
            </w:tcMar>
          </w:tcPr>
          <w:p w:rsidR="00C2211E" w:rsidRDefault="004D514E">
            <w:pPr>
              <w:spacing w:after="0" w:line="260" w:lineRule="auto"/>
            </w:pPr>
            <w:r>
              <w:rPr>
                <w:sz w:val="22"/>
                <w:szCs w:val="22"/>
              </w:rPr>
              <w:t>0.1</w:t>
            </w:r>
          </w:p>
        </w:tc>
      </w:tr>
      <w:tr w:rsidR="00C2211E">
        <w:tc>
          <w:tcPr>
            <w:tcW w:w="3400" w:type="dxa"/>
            <w:tcMar>
              <w:top w:w="80" w:type="dxa"/>
              <w:left w:w="110" w:type="dxa"/>
              <w:bottom w:w="80" w:type="dxa"/>
              <w:right w:w="110" w:type="dxa"/>
            </w:tcMar>
          </w:tcPr>
          <w:p w:rsidR="00C2211E" w:rsidRDefault="004D514E">
            <w:pPr>
              <w:spacing w:after="0" w:line="260" w:lineRule="auto"/>
            </w:pPr>
            <w:r>
              <w:rPr>
                <w:sz w:val="22"/>
                <w:szCs w:val="22"/>
              </w:rPr>
              <w:t>Ponderación de clases</w:t>
            </w:r>
          </w:p>
        </w:tc>
        <w:tc>
          <w:tcPr>
            <w:tcW w:w="5400" w:type="dxa"/>
            <w:tcMar>
              <w:top w:w="80" w:type="dxa"/>
              <w:left w:w="110" w:type="dxa"/>
              <w:bottom w:w="80" w:type="dxa"/>
              <w:right w:w="110" w:type="dxa"/>
            </w:tcMar>
          </w:tcPr>
          <w:p w:rsidR="00C2211E" w:rsidRDefault="004D514E">
            <w:pPr>
              <w:spacing w:after="0" w:line="260" w:lineRule="auto"/>
            </w:pPr>
            <w:r>
              <w:rPr>
                <w:sz w:val="22"/>
                <w:szCs w:val="22"/>
              </w:rPr>
              <w:t>Activada (inversa a la frecuencia)</w:t>
            </w:r>
          </w:p>
        </w:tc>
      </w:tr>
      <w:tr w:rsidR="00C2211E">
        <w:tc>
          <w:tcPr>
            <w:tcW w:w="3400" w:type="dxa"/>
            <w:tcMar>
              <w:top w:w="80" w:type="dxa"/>
              <w:left w:w="110" w:type="dxa"/>
              <w:bottom w:w="80" w:type="dxa"/>
              <w:right w:w="110" w:type="dxa"/>
            </w:tcMar>
          </w:tcPr>
          <w:p w:rsidR="00C2211E" w:rsidRDefault="004D514E">
            <w:pPr>
              <w:spacing w:after="0" w:line="260" w:lineRule="auto"/>
            </w:pPr>
            <w:r>
              <w:rPr>
                <w:sz w:val="22"/>
                <w:szCs w:val="22"/>
              </w:rPr>
              <w:t>Partición</w:t>
            </w:r>
          </w:p>
        </w:tc>
        <w:tc>
          <w:tcPr>
            <w:tcW w:w="5400" w:type="dxa"/>
            <w:tcMar>
              <w:top w:w="80" w:type="dxa"/>
              <w:left w:w="110" w:type="dxa"/>
              <w:bottom w:w="80" w:type="dxa"/>
              <w:right w:w="110" w:type="dxa"/>
            </w:tcMar>
          </w:tcPr>
          <w:p w:rsidR="00C2211E" w:rsidRDefault="004D514E">
            <w:pPr>
              <w:spacing w:after="0" w:line="260" w:lineRule="auto"/>
            </w:pPr>
            <w:r>
              <w:rPr>
                <w:sz w:val="22"/>
                <w:szCs w:val="22"/>
              </w:rPr>
              <w:t>70 % entrenamiento / 15 % validación / 15 % prueba, estratificada</w:t>
            </w:r>
          </w:p>
        </w:tc>
      </w:tr>
      <w:tr w:rsidR="00C2211E">
        <w:tc>
          <w:tcPr>
            <w:tcW w:w="3400" w:type="dxa"/>
            <w:tcMar>
              <w:top w:w="80" w:type="dxa"/>
              <w:left w:w="110" w:type="dxa"/>
              <w:bottom w:w="80" w:type="dxa"/>
              <w:right w:w="110" w:type="dxa"/>
            </w:tcMar>
          </w:tcPr>
          <w:p w:rsidR="00C2211E" w:rsidRDefault="004D514E">
            <w:pPr>
              <w:spacing w:after="0" w:line="260" w:lineRule="auto"/>
            </w:pPr>
            <w:r>
              <w:rPr>
                <w:sz w:val="22"/>
                <w:szCs w:val="22"/>
              </w:rPr>
              <w:t>Métrica de selección</w:t>
            </w:r>
          </w:p>
        </w:tc>
        <w:tc>
          <w:tcPr>
            <w:tcW w:w="5400" w:type="dxa"/>
            <w:tcMar>
              <w:top w:w="80" w:type="dxa"/>
              <w:left w:w="110" w:type="dxa"/>
              <w:bottom w:w="80" w:type="dxa"/>
              <w:right w:w="110" w:type="dxa"/>
            </w:tcMar>
          </w:tcPr>
          <w:p w:rsidR="00C2211E" w:rsidRDefault="004D514E">
            <w:pPr>
              <w:spacing w:after="0" w:line="260" w:lineRule="auto"/>
            </w:pPr>
            <w:r>
              <w:rPr>
                <w:sz w:val="22"/>
                <w:szCs w:val="22"/>
              </w:rPr>
              <w:t>F1 macro</w:t>
            </w:r>
          </w:p>
        </w:tc>
      </w:tr>
      <w:tr w:rsidR="00C2211E">
        <w:tc>
          <w:tcPr>
            <w:tcW w:w="3400" w:type="dxa"/>
            <w:tcMar>
              <w:top w:w="80" w:type="dxa"/>
              <w:left w:w="110" w:type="dxa"/>
              <w:bottom w:w="80" w:type="dxa"/>
              <w:right w:w="110" w:type="dxa"/>
            </w:tcMar>
          </w:tcPr>
          <w:p w:rsidR="00C2211E" w:rsidRDefault="004D514E">
            <w:pPr>
              <w:spacing w:after="0" w:line="260" w:lineRule="auto"/>
            </w:pPr>
            <w:r>
              <w:rPr>
                <w:sz w:val="22"/>
                <w:szCs w:val="22"/>
              </w:rPr>
              <w:t>Precisión mixta</w:t>
            </w:r>
          </w:p>
        </w:tc>
        <w:tc>
          <w:tcPr>
            <w:tcW w:w="5400" w:type="dxa"/>
            <w:tcMar>
              <w:top w:w="80" w:type="dxa"/>
              <w:left w:w="110" w:type="dxa"/>
              <w:bottom w:w="80" w:type="dxa"/>
              <w:right w:w="110" w:type="dxa"/>
            </w:tcMar>
          </w:tcPr>
          <w:p w:rsidR="00C2211E" w:rsidRDefault="004D514E">
            <w:pPr>
              <w:spacing w:after="0" w:line="260" w:lineRule="auto"/>
            </w:pPr>
            <w:r>
              <w:rPr>
                <w:sz w:val="22"/>
                <w:szCs w:val="22"/>
              </w:rPr>
              <w:t>Activada (FP16 en GPU)</w:t>
            </w:r>
          </w:p>
        </w:tc>
      </w:tr>
      <w:tr w:rsidR="00C2211E">
        <w:tc>
          <w:tcPr>
            <w:tcW w:w="3400" w:type="dxa"/>
            <w:tcMar>
              <w:top w:w="80" w:type="dxa"/>
              <w:left w:w="110" w:type="dxa"/>
              <w:bottom w:w="80" w:type="dxa"/>
              <w:right w:w="110" w:type="dxa"/>
            </w:tcMar>
          </w:tcPr>
          <w:p w:rsidR="00C2211E" w:rsidRDefault="004D514E">
            <w:pPr>
              <w:spacing w:after="0" w:line="260" w:lineRule="auto"/>
            </w:pPr>
            <w:r>
              <w:rPr>
                <w:sz w:val="22"/>
                <w:szCs w:val="22"/>
              </w:rPr>
              <w:t>Semilla</w:t>
            </w:r>
          </w:p>
        </w:tc>
        <w:tc>
          <w:tcPr>
            <w:tcW w:w="5400" w:type="dxa"/>
            <w:tcMar>
              <w:top w:w="80" w:type="dxa"/>
              <w:left w:w="110" w:type="dxa"/>
              <w:bottom w:w="80" w:type="dxa"/>
              <w:right w:w="110" w:type="dxa"/>
            </w:tcMar>
          </w:tcPr>
          <w:p w:rsidR="00C2211E" w:rsidRDefault="004D514E">
            <w:pPr>
              <w:spacing w:after="0" w:line="260" w:lineRule="auto"/>
            </w:pPr>
            <w:r>
              <w:rPr>
                <w:sz w:val="22"/>
                <w:szCs w:val="22"/>
              </w:rPr>
              <w:t>42</w:t>
            </w:r>
          </w:p>
        </w:tc>
      </w:tr>
    </w:tbl>
    <w:p w:rsidR="00C2211E" w:rsidRDefault="004D514E">
      <w:pPr>
        <w:spacing w:before="80" w:after="220"/>
      </w:pPr>
      <w:r>
        <w:rPr>
          <w:i/>
          <w:iCs/>
          <w:sz w:val="20"/>
          <w:szCs w:val="20"/>
        </w:rPr>
        <w:t>Tabla 5. Configuración de entrenamiento, común a ambos modelos.</w:t>
      </w:r>
    </w:p>
    <w:p w:rsidR="00C2211E" w:rsidRDefault="004D514E">
      <w:pPr>
        <w:pStyle w:val="Ttulo2"/>
      </w:pPr>
      <w:r>
        <w:t>3.7. Control de versiones y almacenamiento</w:t>
      </w:r>
    </w:p>
    <w:p w:rsidR="00C2211E" w:rsidRDefault="004D514E">
      <w:pPr>
        <w:jc w:val="both"/>
      </w:pPr>
      <w:r>
        <w:t>El repositorio inicial se alojó en GitHub. Se migró el almacenamiento a Google Drive debido a que el tamaño de los pesos de los modelos entrenados impedía completar las confirmaciones de cambios sobre ellos. GitHub se mantuvo para el código</w:t>
      </w:r>
      <w:r w:rsidR="00444057">
        <w:t xml:space="preserve"> y el</w:t>
      </w:r>
      <w:r>
        <w:t xml:space="preserve"> Drive, para los artefactos de gran tamaño.</w:t>
      </w:r>
    </w:p>
    <w:p w:rsidR="00C2211E" w:rsidRDefault="004D514E">
      <w:pPr>
        <w:pStyle w:val="Ttulo2"/>
      </w:pPr>
      <w:r>
        <w:t>3.8. Interfaz de registro</w:t>
      </w:r>
    </w:p>
    <w:p w:rsidR="00C2211E" w:rsidRDefault="004D514E">
      <w:pPr>
        <w:jc w:val="both"/>
      </w:pPr>
      <w:r>
        <w:t>En paralelo al entrenamiento se definió qué información recopilaría la interfaz de registro de incidentes. Esta decisión, tomada de forma concurrente, determinó retroactivamente que varias columnas del conjunto de datos sintético quedaran fuera del alcance del modelo, al no estar disponibles en el momento de la captura del reporte.</w:t>
      </w:r>
    </w:p>
    <w:p w:rsidR="00C2211E" w:rsidRDefault="004D514E">
      <w:pPr>
        <w:pStyle w:val="Ttulo2"/>
      </w:pPr>
      <w:r>
        <w:t>3.9. Despliegue</w:t>
      </w:r>
    </w:p>
    <w:p w:rsidR="00C2211E" w:rsidRDefault="004D514E">
      <w:pPr>
        <w:jc w:val="both"/>
      </w:pPr>
      <w:r>
        <w:t>La intención original era desplegar la solución en una máquina provista por la Pontificia Universidad Católica del Perú. No fue posible establecer la conexión con dicho recurso, por lo que el despliegue se realizó en entorno local.</w:t>
      </w:r>
    </w:p>
    <w:p w:rsidR="00584BCA" w:rsidRDefault="00584BCA">
      <w:pPr>
        <w:spacing w:after="0" w:line="240" w:lineRule="auto"/>
      </w:pPr>
      <w:r>
        <w:br w:type="page"/>
      </w:r>
    </w:p>
    <w:p w:rsidR="00584BCA" w:rsidRDefault="00584BCA" w:rsidP="00584BCA">
      <w:pPr>
        <w:pStyle w:val="Ttulo1"/>
      </w:pPr>
      <w:r>
        <w:lastRenderedPageBreak/>
        <w:t>4. DEMO</w:t>
      </w:r>
    </w:p>
    <w:p w:rsidR="00584BCA" w:rsidRDefault="0068444D">
      <w:pPr>
        <w:jc w:val="both"/>
      </w:pPr>
      <w:r>
        <w:t>En esta sección, damos</w:t>
      </w:r>
      <w:bookmarkStart w:id="0" w:name="_GoBack"/>
      <w:bookmarkEnd w:id="0"/>
    </w:p>
    <w:sectPr w:rsidR="00584BCA">
      <w:footerReference w:type="default" r:id="rId1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C2AB2" w:rsidRDefault="007C2AB2">
      <w:pPr>
        <w:spacing w:after="0" w:line="240" w:lineRule="auto"/>
      </w:pPr>
      <w:r>
        <w:separator/>
      </w:r>
    </w:p>
  </w:endnote>
  <w:endnote w:type="continuationSeparator" w:id="0">
    <w:p w:rsidR="007C2AB2" w:rsidRDefault="007C2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2211E" w:rsidRDefault="004D514E">
    <w:pPr>
      <w:spacing w:before="120"/>
      <w:jc w:val="center"/>
    </w:pPr>
    <w:r>
      <w:rPr>
        <w:sz w:val="20"/>
        <w:szCs w:val="20"/>
      </w:rPr>
      <w:fldChar w:fldCharType="begin"/>
    </w:r>
    <w:r>
      <w:rPr>
        <w:sz w:val="20"/>
        <w:szCs w:val="20"/>
      </w:rPr>
      <w:instrText>PAGE</w:instrText>
    </w:r>
    <w:r>
      <w:rPr>
        <w:sz w:val="20"/>
        <w:szCs w:val="20"/>
      </w:rPr>
      <w:fldChar w:fldCharType="separate"/>
    </w:r>
    <w:r w:rsidR="0004129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C2AB2" w:rsidRDefault="007C2AB2">
      <w:pPr>
        <w:spacing w:after="0" w:line="240" w:lineRule="auto"/>
      </w:pPr>
      <w:r>
        <w:separator/>
      </w:r>
    </w:p>
  </w:footnote>
  <w:footnote w:type="continuationSeparator" w:id="0">
    <w:p w:rsidR="007C2AB2" w:rsidRDefault="007C2A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1780C"/>
    <w:multiLevelType w:val="hybridMultilevel"/>
    <w:tmpl w:val="89A8965E"/>
    <w:lvl w:ilvl="0" w:tplc="F7F40B20">
      <w:start w:val="1"/>
      <w:numFmt w:val="bullet"/>
      <w:lvlText w:val="●"/>
      <w:lvlJc w:val="left"/>
      <w:pPr>
        <w:ind w:left="720" w:hanging="360"/>
      </w:pPr>
    </w:lvl>
    <w:lvl w:ilvl="1" w:tplc="0676417E">
      <w:start w:val="1"/>
      <w:numFmt w:val="bullet"/>
      <w:lvlText w:val="○"/>
      <w:lvlJc w:val="left"/>
      <w:pPr>
        <w:ind w:left="1440" w:hanging="360"/>
      </w:pPr>
    </w:lvl>
    <w:lvl w:ilvl="2" w:tplc="FCA61AF0">
      <w:start w:val="1"/>
      <w:numFmt w:val="bullet"/>
      <w:lvlText w:val="■"/>
      <w:lvlJc w:val="left"/>
      <w:pPr>
        <w:ind w:left="2160" w:hanging="360"/>
      </w:pPr>
    </w:lvl>
    <w:lvl w:ilvl="3" w:tplc="B42EB762">
      <w:start w:val="1"/>
      <w:numFmt w:val="bullet"/>
      <w:lvlText w:val="●"/>
      <w:lvlJc w:val="left"/>
      <w:pPr>
        <w:ind w:left="2880" w:hanging="360"/>
      </w:pPr>
    </w:lvl>
    <w:lvl w:ilvl="4" w:tplc="9C722E20">
      <w:start w:val="1"/>
      <w:numFmt w:val="bullet"/>
      <w:lvlText w:val="○"/>
      <w:lvlJc w:val="left"/>
      <w:pPr>
        <w:ind w:left="3600" w:hanging="360"/>
      </w:pPr>
    </w:lvl>
    <w:lvl w:ilvl="5" w:tplc="C6EC0362">
      <w:start w:val="1"/>
      <w:numFmt w:val="bullet"/>
      <w:lvlText w:val="■"/>
      <w:lvlJc w:val="left"/>
      <w:pPr>
        <w:ind w:left="4320" w:hanging="360"/>
      </w:pPr>
    </w:lvl>
    <w:lvl w:ilvl="6" w:tplc="40CE7B68">
      <w:start w:val="1"/>
      <w:numFmt w:val="bullet"/>
      <w:lvlText w:val="●"/>
      <w:lvlJc w:val="left"/>
      <w:pPr>
        <w:ind w:left="5040" w:hanging="360"/>
      </w:pPr>
    </w:lvl>
    <w:lvl w:ilvl="7" w:tplc="DA7C66B8">
      <w:start w:val="1"/>
      <w:numFmt w:val="bullet"/>
      <w:lvlText w:val="●"/>
      <w:lvlJc w:val="left"/>
      <w:pPr>
        <w:ind w:left="5760" w:hanging="360"/>
      </w:pPr>
    </w:lvl>
    <w:lvl w:ilvl="8" w:tplc="059C9C9A">
      <w:start w:val="1"/>
      <w:numFmt w:val="bullet"/>
      <w:lvlText w:val="●"/>
      <w:lvlJc w:val="left"/>
      <w:pPr>
        <w:ind w:left="6480" w:hanging="360"/>
      </w:pPr>
    </w:lvl>
  </w:abstractNum>
  <w:abstractNum w:abstractNumId="1" w15:restartNumberingAfterBreak="0">
    <w:nsid w:val="237756C4"/>
    <w:multiLevelType w:val="hybridMultilevel"/>
    <w:tmpl w:val="C3E0147E"/>
    <w:lvl w:ilvl="0" w:tplc="813C41C6">
      <w:start w:val="1"/>
      <w:numFmt w:val="bullet"/>
      <w:lvlText w:val="•"/>
      <w:lvlJc w:val="left"/>
      <w:pPr>
        <w:ind w:left="504" w:hanging="288"/>
      </w:pPr>
      <w:rPr>
        <w:rFonts w:ascii="Times New Roman" w:eastAsia="Times New Roman" w:hAnsi="Times New Roman" w:cs="Times New Roman"/>
        <w:color w:val="000000"/>
      </w:rPr>
    </w:lvl>
    <w:lvl w:ilvl="1" w:tplc="D974CD4A">
      <w:start w:val="1"/>
      <w:numFmt w:val="bullet"/>
      <w:lvlText w:val="–"/>
      <w:lvlJc w:val="left"/>
      <w:pPr>
        <w:ind w:left="1008" w:hanging="288"/>
      </w:pPr>
      <w:rPr>
        <w:rFonts w:ascii="Times New Roman" w:eastAsia="Times New Roman" w:hAnsi="Times New Roman" w:cs="Times New Roman"/>
        <w:color w:val="000000"/>
      </w:rPr>
    </w:lvl>
    <w:lvl w:ilvl="2" w:tplc="0B984230">
      <w:numFmt w:val="decimal"/>
      <w:lvlText w:val=""/>
      <w:lvlJc w:val="left"/>
    </w:lvl>
    <w:lvl w:ilvl="3" w:tplc="BB820ACC">
      <w:numFmt w:val="decimal"/>
      <w:lvlText w:val=""/>
      <w:lvlJc w:val="left"/>
    </w:lvl>
    <w:lvl w:ilvl="4" w:tplc="7628410A">
      <w:numFmt w:val="decimal"/>
      <w:lvlText w:val=""/>
      <w:lvlJc w:val="left"/>
    </w:lvl>
    <w:lvl w:ilvl="5" w:tplc="8DF6857E">
      <w:numFmt w:val="decimal"/>
      <w:lvlText w:val=""/>
      <w:lvlJc w:val="left"/>
    </w:lvl>
    <w:lvl w:ilvl="6" w:tplc="93CC8DC2">
      <w:numFmt w:val="decimal"/>
      <w:lvlText w:val=""/>
      <w:lvlJc w:val="left"/>
    </w:lvl>
    <w:lvl w:ilvl="7" w:tplc="B0F64A8E">
      <w:numFmt w:val="decimal"/>
      <w:lvlText w:val=""/>
      <w:lvlJc w:val="left"/>
    </w:lvl>
    <w:lvl w:ilvl="8" w:tplc="7AB2986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11E"/>
    <w:rsid w:val="0004129F"/>
    <w:rsid w:val="0029366E"/>
    <w:rsid w:val="00444057"/>
    <w:rsid w:val="0047172C"/>
    <w:rsid w:val="004D514E"/>
    <w:rsid w:val="00584BCA"/>
    <w:rsid w:val="005F4E83"/>
    <w:rsid w:val="0068444D"/>
    <w:rsid w:val="007C2AB2"/>
    <w:rsid w:val="008739A2"/>
    <w:rsid w:val="009F05E5"/>
    <w:rsid w:val="00A53F1E"/>
    <w:rsid w:val="00A923C0"/>
    <w:rsid w:val="00C20E70"/>
    <w:rsid w:val="00C2211E"/>
    <w:rsid w:val="00CA3E58"/>
    <w:rsid w:val="00DC2D8F"/>
    <w:rsid w:val="00E27785"/>
    <w:rsid w:val="00F05F96"/>
    <w:rsid w:val="00F87AB3"/>
    <w:rsid w:val="00FF3BD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4FC61"/>
  <w15:docId w15:val="{90C352F3-382E-461F-85F8-B84113433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color w:val="000000"/>
        <w:sz w:val="24"/>
        <w:szCs w:val="24"/>
        <w:lang w:val="es-PE" w:eastAsia="es-P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276" w:lineRule="auto"/>
    </w:pPr>
  </w:style>
  <w:style w:type="paragraph" w:styleId="Ttulo1">
    <w:name w:val="heading 1"/>
    <w:basedOn w:val="Normal"/>
    <w:next w:val="Normal"/>
    <w:uiPriority w:val="9"/>
    <w:qFormat/>
    <w:pPr>
      <w:spacing w:before="320" w:after="180"/>
      <w:outlineLvl w:val="0"/>
    </w:pPr>
    <w:rPr>
      <w:b/>
      <w:bCs/>
      <w:sz w:val="28"/>
      <w:szCs w:val="28"/>
    </w:rPr>
  </w:style>
  <w:style w:type="paragraph" w:styleId="Ttulo2">
    <w:name w:val="heading 2"/>
    <w:basedOn w:val="Normal"/>
    <w:next w:val="Normal"/>
    <w:uiPriority w:val="9"/>
    <w:unhideWhenUsed/>
    <w:qFormat/>
    <w:pPr>
      <w:spacing w:before="240" w:after="140"/>
      <w:outlineLvl w:val="1"/>
    </w:pPr>
    <w:rPr>
      <w:b/>
      <w:bCs/>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sv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2657</Words>
  <Characters>14618</Characters>
  <Application>Microsoft Office Word</Application>
  <DocSecurity>0</DocSecurity>
  <Lines>121</Lines>
  <Paragraphs>34</Paragraphs>
  <ScaleCrop>false</ScaleCrop>
  <Company/>
  <LinksUpToDate>false</LinksUpToDate>
  <CharactersWithSpaces>17241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Clasificación automática de reportes ciudadanos</dc:title>
  <dc:creator>Administrador</dc:creator>
  <cp:lastModifiedBy>alulab14</cp:lastModifiedBy>
  <cp:revision>38</cp:revision>
  <dcterms:created xsi:type="dcterms:W3CDTF">2026-07-16T15:12:00Z</dcterms:created>
  <dcterms:modified xsi:type="dcterms:W3CDTF">2026-07-16T15:35:00Z</dcterms:modified>
</cp:coreProperties>
</file>