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AF5" w:rsidRPr="006A769E" w:rsidRDefault="00CF4AF5" w:rsidP="00CF4AF5">
      <w:pPr>
        <w:pStyle w:val="Titre2"/>
        <w:rPr>
          <w:lang w:val="en-US"/>
        </w:rPr>
      </w:pPr>
      <w:bookmarkStart w:id="0" w:name="_GoBack"/>
      <w:bookmarkEnd w:id="0"/>
      <w:r w:rsidRPr="006A769E">
        <w:rPr>
          <w:lang w:val="en-US"/>
        </w:rPr>
        <w:t>Description of the cohort</w:t>
      </w:r>
    </w:p>
    <w:p w:rsidR="00CF4AF5" w:rsidRPr="00F63ADA" w:rsidRDefault="00CF4AF5" w:rsidP="00CF4AF5">
      <w:pPr>
        <w:spacing w:before="30" w:after="30"/>
        <w:rPr>
          <w:rFonts w:cs="Arial"/>
          <w:b/>
          <w:bCs/>
          <w:i/>
          <w:iCs/>
          <w:sz w:val="28"/>
          <w:szCs w:val="28"/>
        </w:rPr>
      </w:pPr>
      <w:r w:rsidRPr="00F63ADA">
        <w:rPr>
          <w:rStyle w:val="Titre3Car"/>
          <w:rFonts w:eastAsiaTheme="minorHAnsi"/>
        </w:rPr>
        <w:t xml:space="preserve">Patients and </w:t>
      </w:r>
      <w:r>
        <w:rPr>
          <w:rStyle w:val="Titre3Car"/>
          <w:rFonts w:eastAsiaTheme="minorHAnsi"/>
        </w:rPr>
        <w:t>t</w:t>
      </w:r>
      <w:r w:rsidRPr="00F63ADA">
        <w:rPr>
          <w:rStyle w:val="Titre3Car"/>
          <w:rFonts w:eastAsiaTheme="minorHAnsi"/>
        </w:rPr>
        <w:t xml:space="preserve">umor </w:t>
      </w:r>
      <w:r>
        <w:rPr>
          <w:rStyle w:val="Titre3Car"/>
          <w:rFonts w:eastAsiaTheme="minorHAnsi"/>
        </w:rPr>
        <w:t>c</w:t>
      </w:r>
      <w:r w:rsidRPr="00F63ADA">
        <w:rPr>
          <w:rStyle w:val="Titre3Car"/>
          <w:rFonts w:eastAsiaTheme="minorHAnsi"/>
        </w:rPr>
        <w:t>haracteristics</w:t>
      </w:r>
      <w:r w:rsidRPr="00CB5556">
        <w:rPr>
          <w:rFonts w:cs="Arial"/>
          <w:b/>
          <w:bCs/>
          <w:i/>
          <w:iCs/>
          <w:sz w:val="28"/>
          <w:szCs w:val="28"/>
        </w:rPr>
        <w:t xml:space="preserve"> </w:t>
      </w:r>
      <w:r w:rsidRPr="00CB5556">
        <w:rPr>
          <w:rFonts w:cs="Arial"/>
          <w:szCs w:val="24"/>
        </w:rPr>
        <w:t>(</w:t>
      </w:r>
      <w:r w:rsidRPr="00AB13AD">
        <w:rPr>
          <w:rFonts w:cs="Arial"/>
          <w:szCs w:val="24"/>
        </w:rPr>
        <w:t>Table 1</w:t>
      </w:r>
      <w:r w:rsidRPr="00CB5556">
        <w:rPr>
          <w:rFonts w:cs="Arial"/>
          <w:szCs w:val="24"/>
        </w:rPr>
        <w:t>)</w:t>
      </w:r>
    </w:p>
    <w:p w:rsidR="00CF4AF5" w:rsidRPr="00CB5556" w:rsidRDefault="00CF4AF5" w:rsidP="00CF4AF5">
      <w:pPr>
        <w:spacing w:before="30" w:after="30"/>
        <w:rPr>
          <w:rFonts w:cs="Arial"/>
        </w:rPr>
      </w:pPr>
      <w:r w:rsidRPr="00F63ADA">
        <w:rPr>
          <w:rFonts w:cs="Arial"/>
          <w:bCs/>
          <w:szCs w:val="24"/>
        </w:rPr>
        <w:t>Forty</w:t>
      </w:r>
      <w:r>
        <w:rPr>
          <w:rFonts w:cs="Arial"/>
          <w:bCs/>
          <w:szCs w:val="24"/>
        </w:rPr>
        <w:t>-</w:t>
      </w:r>
      <w:r w:rsidRPr="00F63ADA">
        <w:rPr>
          <w:rFonts w:cs="Arial"/>
          <w:bCs/>
          <w:szCs w:val="24"/>
        </w:rPr>
        <w:t>nine</w:t>
      </w:r>
      <w:r w:rsidRPr="00CB5556">
        <w:rPr>
          <w:rFonts w:cs="Arial"/>
          <w:szCs w:val="24"/>
        </w:rPr>
        <w:t xml:space="preserve"> patients were included in our cohort. </w:t>
      </w:r>
      <w:r>
        <w:rPr>
          <w:rFonts w:cs="Arial"/>
          <w:szCs w:val="24"/>
        </w:rPr>
        <w:t>Two</w:t>
      </w:r>
      <w:r w:rsidRPr="00CB5556">
        <w:rPr>
          <w:rFonts w:cs="Arial"/>
          <w:szCs w:val="24"/>
        </w:rPr>
        <w:t xml:space="preserve"> girls of 26 and 11 months </w:t>
      </w:r>
      <w:r>
        <w:rPr>
          <w:rFonts w:cs="Arial"/>
          <w:szCs w:val="24"/>
        </w:rPr>
        <w:t>diagnosed with</w:t>
      </w:r>
      <w:r w:rsidRPr="00CB5556">
        <w:rPr>
          <w:rFonts w:cs="Arial"/>
          <w:szCs w:val="24"/>
        </w:rPr>
        <w:t xml:space="preserve"> low risk </w:t>
      </w:r>
      <w:r>
        <w:rPr>
          <w:rFonts w:cs="Arial"/>
          <w:szCs w:val="24"/>
        </w:rPr>
        <w:t>n</w:t>
      </w:r>
      <w:r w:rsidRPr="00CB5556">
        <w:rPr>
          <w:rFonts w:cs="Arial"/>
          <w:szCs w:val="24"/>
        </w:rPr>
        <w:t xml:space="preserve">euroblastoma </w:t>
      </w:r>
      <w:r>
        <w:rPr>
          <w:rFonts w:cs="Arial"/>
          <w:szCs w:val="24"/>
        </w:rPr>
        <w:t>were</w:t>
      </w:r>
      <w:r w:rsidRPr="00CB5556">
        <w:rPr>
          <w:rFonts w:cs="Arial"/>
          <w:szCs w:val="24"/>
        </w:rPr>
        <w:t xml:space="preserve"> included due to early progression. The MYCN </w:t>
      </w:r>
      <w:r>
        <w:rPr>
          <w:rFonts w:cs="Arial"/>
          <w:szCs w:val="24"/>
        </w:rPr>
        <w:t>s</w:t>
      </w:r>
      <w:r w:rsidRPr="00CB5556">
        <w:rPr>
          <w:rFonts w:cs="Arial"/>
          <w:szCs w:val="24"/>
        </w:rPr>
        <w:t>tatus for both patients w</w:t>
      </w:r>
      <w:r>
        <w:rPr>
          <w:rFonts w:cs="Arial"/>
          <w:szCs w:val="24"/>
        </w:rPr>
        <w:t>as</w:t>
      </w:r>
      <w:r w:rsidRPr="00CB5556">
        <w:rPr>
          <w:rFonts w:cs="Arial"/>
          <w:szCs w:val="24"/>
        </w:rPr>
        <w:t xml:space="preserve"> negative</w:t>
      </w:r>
      <w:r>
        <w:rPr>
          <w:rFonts w:cs="Arial"/>
          <w:szCs w:val="24"/>
        </w:rPr>
        <w:t xml:space="preserve"> at diagnosis</w:t>
      </w:r>
      <w:r w:rsidRPr="00CB5556">
        <w:rPr>
          <w:rFonts w:cs="Arial"/>
          <w:szCs w:val="24"/>
        </w:rPr>
        <w:t xml:space="preserve"> but changed for the younger one</w:t>
      </w:r>
      <w:r>
        <w:rPr>
          <w:rFonts w:cs="Arial"/>
          <w:szCs w:val="24"/>
        </w:rPr>
        <w:t xml:space="preserve"> at relapse</w:t>
      </w:r>
      <w:r w:rsidRPr="00CB5556">
        <w:rPr>
          <w:rFonts w:cs="Arial"/>
          <w:szCs w:val="24"/>
        </w:rPr>
        <w:t xml:space="preserve">. </w:t>
      </w:r>
      <w:r>
        <w:rPr>
          <w:rFonts w:cs="Arial"/>
          <w:szCs w:val="24"/>
        </w:rPr>
        <w:t>W</w:t>
      </w:r>
      <w:r w:rsidRPr="00CB5556">
        <w:rPr>
          <w:rFonts w:cs="Arial"/>
          <w:szCs w:val="24"/>
        </w:rPr>
        <w:t>e exclude</w:t>
      </w:r>
      <w:r>
        <w:rPr>
          <w:rFonts w:cs="Arial"/>
          <w:szCs w:val="24"/>
        </w:rPr>
        <w:t>d</w:t>
      </w:r>
      <w:r w:rsidRPr="00CB5556">
        <w:rPr>
          <w:rFonts w:cs="Arial"/>
          <w:szCs w:val="24"/>
        </w:rPr>
        <w:t xml:space="preserve"> 4 patients for the construction of the mathematical model</w:t>
      </w:r>
      <w:r>
        <w:rPr>
          <w:rFonts w:cs="Arial"/>
          <w:szCs w:val="24"/>
        </w:rPr>
        <w:t xml:space="preserve"> as the date of inclusion in the HRNBL1 protocol was delayed when compared with the initial diagnosis (pre-treatment with other off-protocol chemotherapy types and</w:t>
      </w:r>
      <w:r w:rsidRPr="00CB5556">
        <w:rPr>
          <w:rFonts w:cs="Arial"/>
          <w:szCs w:val="24"/>
        </w:rPr>
        <w:t xml:space="preserve"> one 36 months</w:t>
      </w:r>
      <w:r>
        <w:rPr>
          <w:rFonts w:cs="Arial"/>
          <w:szCs w:val="24"/>
        </w:rPr>
        <w:t>-</w:t>
      </w:r>
      <w:r w:rsidRPr="00CB5556">
        <w:rPr>
          <w:rFonts w:cs="Arial"/>
          <w:szCs w:val="24"/>
        </w:rPr>
        <w:t>old girl with a</w:t>
      </w:r>
      <w:r>
        <w:rPr>
          <w:rFonts w:cs="Arial"/>
          <w:szCs w:val="24"/>
        </w:rPr>
        <w:t xml:space="preserve"> metastatic, MYCN negative</w:t>
      </w:r>
      <w:r w:rsidRPr="00CB5556">
        <w:rPr>
          <w:rFonts w:cs="Arial"/>
          <w:szCs w:val="24"/>
        </w:rPr>
        <w:t xml:space="preserve"> </w:t>
      </w:r>
      <w:proofErr w:type="spellStart"/>
      <w:r w:rsidRPr="00CB5556">
        <w:rPr>
          <w:rFonts w:cs="Arial"/>
          <w:szCs w:val="24"/>
        </w:rPr>
        <w:t>esthesio</w:t>
      </w:r>
      <w:proofErr w:type="spellEnd"/>
      <w:r w:rsidRPr="00CB5556">
        <w:rPr>
          <w:rFonts w:cs="Arial"/>
          <w:szCs w:val="24"/>
        </w:rPr>
        <w:t>-neuroblastoma whose size could not be estimated</w:t>
      </w:r>
      <w:r>
        <w:rPr>
          <w:rFonts w:cs="Arial"/>
          <w:szCs w:val="24"/>
        </w:rPr>
        <w:t>).</w:t>
      </w:r>
    </w:p>
    <w:p w:rsidR="00CF4AF5" w:rsidRPr="00A03EAB" w:rsidRDefault="00CF4AF5" w:rsidP="00CF4AF5">
      <w:pPr>
        <w:spacing w:before="30" w:after="30"/>
        <w:rPr>
          <w:rFonts w:cs="Arial"/>
        </w:rPr>
      </w:pPr>
      <w:r>
        <w:rPr>
          <w:rFonts w:cs="Arial"/>
          <w:szCs w:val="24"/>
        </w:rPr>
        <w:t>M</w:t>
      </w:r>
      <w:r w:rsidRPr="00CB5556">
        <w:rPr>
          <w:rFonts w:cs="Arial"/>
          <w:szCs w:val="24"/>
        </w:rPr>
        <w:t>edian</w:t>
      </w:r>
      <w:r>
        <w:rPr>
          <w:rFonts w:cs="Arial"/>
          <w:szCs w:val="24"/>
        </w:rPr>
        <w:t xml:space="preserve"> age was</w:t>
      </w:r>
      <w:r w:rsidRPr="00CB5556">
        <w:rPr>
          <w:rFonts w:cs="Arial"/>
          <w:szCs w:val="24"/>
        </w:rPr>
        <w:t xml:space="preserve"> 36 months (</w:t>
      </w:r>
      <w:r>
        <w:rPr>
          <w:rFonts w:cs="Arial"/>
          <w:szCs w:val="24"/>
        </w:rPr>
        <w:t xml:space="preserve">range </w:t>
      </w:r>
      <w:r w:rsidRPr="00CB5556">
        <w:rPr>
          <w:rFonts w:cs="Arial"/>
          <w:szCs w:val="24"/>
        </w:rPr>
        <w:t>11-140)</w:t>
      </w:r>
      <w:r>
        <w:rPr>
          <w:rFonts w:cs="Arial"/>
          <w:szCs w:val="24"/>
        </w:rPr>
        <w:t>.</w:t>
      </w:r>
      <w:r w:rsidRPr="00CB5556">
        <w:rPr>
          <w:rFonts w:cs="Arial"/>
          <w:szCs w:val="24"/>
        </w:rPr>
        <w:t xml:space="preserve"> LDH levels at diagnosis were high with a median of 842 </w:t>
      </w:r>
      <w:r>
        <w:rPr>
          <w:rFonts w:cs="Arial"/>
          <w:szCs w:val="24"/>
        </w:rPr>
        <w:t>IU</w:t>
      </w:r>
      <w:r w:rsidRPr="00CB5556">
        <w:rPr>
          <w:rFonts w:cs="Arial"/>
          <w:szCs w:val="24"/>
        </w:rPr>
        <w:t>/L (</w:t>
      </w:r>
      <w:r>
        <w:rPr>
          <w:rFonts w:cs="Arial"/>
          <w:szCs w:val="24"/>
        </w:rPr>
        <w:t xml:space="preserve">range </w:t>
      </w:r>
      <w:r w:rsidRPr="00CB5556">
        <w:rPr>
          <w:rFonts w:cs="Arial"/>
          <w:szCs w:val="24"/>
        </w:rPr>
        <w:t>302</w:t>
      </w:r>
      <w:r>
        <w:rPr>
          <w:rFonts w:cs="Arial"/>
          <w:szCs w:val="24"/>
        </w:rPr>
        <w:t xml:space="preserve"> – </w:t>
      </w:r>
      <w:r w:rsidRPr="00CB5556">
        <w:rPr>
          <w:rFonts w:cs="Arial"/>
          <w:szCs w:val="24"/>
        </w:rPr>
        <w:t>22</w:t>
      </w:r>
      <w:r>
        <w:rPr>
          <w:rFonts w:cs="Arial"/>
          <w:szCs w:val="24"/>
        </w:rPr>
        <w:t>,</w:t>
      </w:r>
      <w:r w:rsidRPr="00CB5556">
        <w:rPr>
          <w:rFonts w:cs="Arial"/>
          <w:szCs w:val="24"/>
        </w:rPr>
        <w:t>022)</w:t>
      </w:r>
      <w:r>
        <w:rPr>
          <w:rFonts w:cs="Arial"/>
          <w:szCs w:val="24"/>
        </w:rPr>
        <w:t xml:space="preserve">, compared with laboratory typical values &lt; 300 </w:t>
      </w:r>
      <w:r>
        <w:rPr>
          <w:rFonts w:cs="Arial"/>
          <w:szCs w:val="24"/>
        </w:rPr>
        <w:t>IU</w:t>
      </w:r>
      <w:r>
        <w:rPr>
          <w:rFonts w:cs="Arial"/>
          <w:szCs w:val="24"/>
        </w:rPr>
        <w:t xml:space="preserve">/L. </w:t>
      </w:r>
      <w:r w:rsidRPr="00CB5556">
        <w:rPr>
          <w:rFonts w:cs="Arial"/>
          <w:szCs w:val="24"/>
        </w:rPr>
        <w:t>Metastases were present for most patients (91</w:t>
      </w:r>
      <w:r>
        <w:rPr>
          <w:rFonts w:cs="Arial"/>
          <w:szCs w:val="24"/>
        </w:rPr>
        <w:t>.</w:t>
      </w:r>
      <w:r w:rsidRPr="00CB5556">
        <w:rPr>
          <w:rFonts w:cs="Arial"/>
          <w:szCs w:val="24"/>
        </w:rPr>
        <w:t>8%)</w:t>
      </w:r>
      <w:r>
        <w:rPr>
          <w:rFonts w:eastAsia="Times New Roman" w:cs="Arial"/>
          <w:szCs w:val="24"/>
          <w:lang w:eastAsia="fr-FR"/>
        </w:rPr>
        <w:t xml:space="preserve"> and </w:t>
      </w:r>
      <w:r w:rsidRPr="00CB5556">
        <w:rPr>
          <w:rFonts w:cs="Arial"/>
          <w:szCs w:val="24"/>
        </w:rPr>
        <w:t>SIOPEN score</w:t>
      </w:r>
      <w:r>
        <w:rPr>
          <w:rFonts w:cs="Arial"/>
          <w:szCs w:val="24"/>
        </w:rPr>
        <w:t>s</w:t>
      </w:r>
      <w:r w:rsidRPr="00CB5556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were </w:t>
      </w:r>
      <w:r w:rsidRPr="00CB5556">
        <w:rPr>
          <w:rFonts w:cs="Arial"/>
          <w:szCs w:val="24"/>
        </w:rPr>
        <w:t xml:space="preserve">overall high </w:t>
      </w:r>
      <w:r>
        <w:rPr>
          <w:rFonts w:cs="Arial"/>
          <w:szCs w:val="24"/>
        </w:rPr>
        <w:t>(</w:t>
      </w:r>
      <w:r w:rsidRPr="00CB5556">
        <w:rPr>
          <w:rFonts w:cs="Arial"/>
          <w:szCs w:val="24"/>
        </w:rPr>
        <w:t>median 27 (0-60)</w:t>
      </w:r>
      <w:r>
        <w:rPr>
          <w:rFonts w:cs="Arial"/>
          <w:szCs w:val="24"/>
        </w:rPr>
        <w:t>)</w:t>
      </w:r>
      <w:r w:rsidRPr="00CB5556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Three patients who had a negative </w:t>
      </w:r>
      <w:proofErr w:type="spellStart"/>
      <w:r>
        <w:rPr>
          <w:rFonts w:cs="Arial"/>
          <w:szCs w:val="24"/>
        </w:rPr>
        <w:t>mIBG</w:t>
      </w:r>
      <w:proofErr w:type="spellEnd"/>
      <w:r w:rsidRPr="00CB5556">
        <w:rPr>
          <w:rFonts w:cs="Arial"/>
          <w:szCs w:val="24"/>
        </w:rPr>
        <w:t xml:space="preserve"> (no fixing primary tumor on scintigraphy) </w:t>
      </w:r>
      <w:r>
        <w:rPr>
          <w:rFonts w:cs="Arial"/>
          <w:szCs w:val="24"/>
        </w:rPr>
        <w:t xml:space="preserve">but PET-visible metastases </w:t>
      </w:r>
      <w:r w:rsidRPr="00CB5556">
        <w:rPr>
          <w:rFonts w:cs="Arial"/>
          <w:szCs w:val="24"/>
        </w:rPr>
        <w:t xml:space="preserve">were excluded. </w:t>
      </w:r>
      <w:r w:rsidRPr="00CB5556">
        <w:rPr>
          <w:rFonts w:eastAsia="Times New Roman" w:cs="Arial"/>
          <w:szCs w:val="24"/>
          <w:lang w:eastAsia="fr-FR"/>
        </w:rPr>
        <w:t xml:space="preserve">All patients </w:t>
      </w:r>
      <w:r>
        <w:rPr>
          <w:rFonts w:eastAsia="Times New Roman" w:cs="Arial"/>
          <w:szCs w:val="24"/>
          <w:lang w:eastAsia="fr-FR"/>
        </w:rPr>
        <w:t>underwent</w:t>
      </w:r>
      <w:r w:rsidRPr="00CB5556">
        <w:rPr>
          <w:rFonts w:eastAsia="Times New Roman" w:cs="Arial"/>
          <w:szCs w:val="24"/>
          <w:lang w:eastAsia="fr-FR"/>
        </w:rPr>
        <w:t xml:space="preserve"> bone marrow </w:t>
      </w:r>
      <w:r>
        <w:rPr>
          <w:rFonts w:eastAsia="Times New Roman" w:cs="Arial"/>
          <w:szCs w:val="24"/>
          <w:lang w:eastAsia="fr-FR"/>
        </w:rPr>
        <w:t>aspirates</w:t>
      </w:r>
      <w:r w:rsidRPr="00CB5556">
        <w:rPr>
          <w:rFonts w:eastAsia="Times New Roman" w:cs="Arial"/>
          <w:szCs w:val="24"/>
          <w:lang w:eastAsia="fr-FR"/>
        </w:rPr>
        <w:t xml:space="preserve"> and</w:t>
      </w:r>
      <w:r>
        <w:rPr>
          <w:rFonts w:eastAsia="Times New Roman" w:cs="Arial"/>
          <w:szCs w:val="24"/>
          <w:lang w:eastAsia="fr-FR"/>
        </w:rPr>
        <w:t>/or biopsies.</w:t>
      </w:r>
    </w:p>
    <w:p w:rsidR="00CF4AF5" w:rsidRPr="00D45BB9" w:rsidRDefault="00CF4AF5" w:rsidP="00CF4AF5">
      <w:pPr>
        <w:spacing w:before="30" w:after="30"/>
        <w:rPr>
          <w:rFonts w:cs="Arial"/>
        </w:rPr>
      </w:pPr>
      <w:r w:rsidRPr="00CB5556">
        <w:rPr>
          <w:rFonts w:cs="Arial"/>
          <w:szCs w:val="24"/>
        </w:rPr>
        <w:t>Location of primary tumor</w:t>
      </w:r>
      <w:r>
        <w:rPr>
          <w:rFonts w:cs="Arial"/>
          <w:szCs w:val="24"/>
        </w:rPr>
        <w:t>s</w:t>
      </w:r>
      <w:r w:rsidRPr="00CB5556">
        <w:rPr>
          <w:rFonts w:cs="Arial"/>
          <w:szCs w:val="24"/>
        </w:rPr>
        <w:t xml:space="preserve"> w</w:t>
      </w:r>
      <w:r>
        <w:rPr>
          <w:rFonts w:cs="Arial"/>
          <w:szCs w:val="24"/>
        </w:rPr>
        <w:t>as</w:t>
      </w:r>
      <w:r w:rsidRPr="00CB5556">
        <w:rPr>
          <w:rFonts w:cs="Arial"/>
          <w:szCs w:val="24"/>
        </w:rPr>
        <w:t xml:space="preserve"> adrenal for 55</w:t>
      </w:r>
      <w:r>
        <w:rPr>
          <w:rFonts w:cs="Arial"/>
          <w:szCs w:val="24"/>
        </w:rPr>
        <w:t>.</w:t>
      </w:r>
      <w:r w:rsidRPr="00CB5556">
        <w:rPr>
          <w:rFonts w:cs="Arial"/>
          <w:szCs w:val="24"/>
        </w:rPr>
        <w:t>1% patients (n=27) and abdominal for 34</w:t>
      </w:r>
      <w:r>
        <w:rPr>
          <w:rFonts w:cs="Arial"/>
          <w:szCs w:val="24"/>
        </w:rPr>
        <w:t>.</w:t>
      </w:r>
      <w:r w:rsidRPr="00CB5556">
        <w:rPr>
          <w:rFonts w:cs="Arial"/>
          <w:szCs w:val="24"/>
        </w:rPr>
        <w:t>7% (n=17). Details</w:t>
      </w:r>
      <w:r>
        <w:rPr>
          <w:rFonts w:cs="Arial"/>
          <w:szCs w:val="24"/>
        </w:rPr>
        <w:t xml:space="preserve"> are given</w:t>
      </w:r>
      <w:r w:rsidRPr="00CB5556">
        <w:rPr>
          <w:rFonts w:cs="Arial"/>
          <w:szCs w:val="24"/>
        </w:rPr>
        <w:t xml:space="preserve"> in </w:t>
      </w:r>
      <w:r w:rsidRPr="007C15F9">
        <w:rPr>
          <w:rFonts w:cs="Arial"/>
          <w:szCs w:val="24"/>
        </w:rPr>
        <w:t>Figure S3A</w:t>
      </w:r>
      <w:r w:rsidRPr="00CB5556">
        <w:rPr>
          <w:rFonts w:cs="Arial"/>
          <w:szCs w:val="24"/>
        </w:rPr>
        <w:t>.</w:t>
      </w:r>
      <w:r>
        <w:rPr>
          <w:rFonts w:cs="Arial"/>
        </w:rPr>
        <w:t xml:space="preserve"> </w:t>
      </w:r>
      <w:r w:rsidRPr="00CB5556">
        <w:rPr>
          <w:rFonts w:cs="Arial"/>
          <w:szCs w:val="24"/>
        </w:rPr>
        <w:t xml:space="preserve">Primary tumor </w:t>
      </w:r>
      <w:r>
        <w:rPr>
          <w:rFonts w:cs="Arial"/>
          <w:szCs w:val="24"/>
        </w:rPr>
        <w:t xml:space="preserve">median </w:t>
      </w:r>
      <w:r w:rsidRPr="00CB5556">
        <w:rPr>
          <w:rFonts w:cs="Arial"/>
          <w:szCs w:val="24"/>
        </w:rPr>
        <w:t>volume was 272 cm</w:t>
      </w:r>
      <w:r>
        <w:rPr>
          <w:rFonts w:cs="Arial"/>
          <w:szCs w:val="24"/>
          <w:vertAlign w:val="superscript"/>
        </w:rPr>
        <w:t>3</w:t>
      </w:r>
      <w:r>
        <w:rPr>
          <w:rFonts w:cs="Arial"/>
          <w:szCs w:val="24"/>
        </w:rPr>
        <w:t xml:space="preserve"> (</w:t>
      </w:r>
      <w:r w:rsidRPr="00CB5556">
        <w:rPr>
          <w:rFonts w:cs="Arial"/>
          <w:szCs w:val="24"/>
        </w:rPr>
        <w:t xml:space="preserve">range 0.5 </w:t>
      </w:r>
      <w:r>
        <w:rPr>
          <w:rFonts w:cs="Arial"/>
          <w:szCs w:val="24"/>
        </w:rPr>
        <w:t>–</w:t>
      </w:r>
      <w:r w:rsidRPr="00CB5556">
        <w:rPr>
          <w:rFonts w:cs="Arial"/>
          <w:szCs w:val="24"/>
        </w:rPr>
        <w:t xml:space="preserve"> 2</w:t>
      </w:r>
      <w:r>
        <w:rPr>
          <w:rFonts w:cs="Arial"/>
          <w:szCs w:val="24"/>
        </w:rPr>
        <w:t xml:space="preserve"> </w:t>
      </w:r>
      <w:r w:rsidRPr="00CB5556">
        <w:rPr>
          <w:rFonts w:cs="Arial"/>
          <w:szCs w:val="24"/>
        </w:rPr>
        <w:t>266 cm</w:t>
      </w:r>
      <w:r>
        <w:rPr>
          <w:rFonts w:cs="Arial"/>
          <w:szCs w:val="24"/>
          <w:vertAlign w:val="superscript"/>
        </w:rPr>
        <w:t>3</w:t>
      </w:r>
      <w:r w:rsidRPr="00CB5556">
        <w:rPr>
          <w:rFonts w:cs="Arial"/>
          <w:szCs w:val="24"/>
        </w:rPr>
        <w:t>).</w:t>
      </w:r>
      <w:r>
        <w:rPr>
          <w:rFonts w:cs="Arial"/>
          <w:szCs w:val="24"/>
        </w:rPr>
        <w:t xml:space="preserve"> </w:t>
      </w:r>
      <w:r w:rsidRPr="00D5091E">
        <w:rPr>
          <w:rFonts w:cs="Arial"/>
          <w:bCs/>
          <w:szCs w:val="24"/>
        </w:rPr>
        <w:t>Locations of metastases</w:t>
      </w:r>
      <w:r w:rsidRPr="00CB5556">
        <w:rPr>
          <w:rFonts w:cs="Arial"/>
          <w:b/>
          <w:bCs/>
          <w:szCs w:val="24"/>
        </w:rPr>
        <w:t xml:space="preserve"> </w:t>
      </w:r>
      <w:r w:rsidRPr="00CB5556">
        <w:rPr>
          <w:rFonts w:cs="Arial"/>
          <w:szCs w:val="24"/>
        </w:rPr>
        <w:t xml:space="preserve">are detailed in </w:t>
      </w:r>
      <w:r w:rsidRPr="007C15F9">
        <w:rPr>
          <w:rFonts w:cs="Arial"/>
          <w:szCs w:val="24"/>
        </w:rPr>
        <w:t>Figure S3B</w:t>
      </w:r>
      <w:r w:rsidRPr="00CB5556">
        <w:rPr>
          <w:rFonts w:cs="Arial"/>
          <w:szCs w:val="24"/>
        </w:rPr>
        <w:t>. The most frequent metastatic site was bone marrow (n=38</w:t>
      </w:r>
      <w:r>
        <w:rPr>
          <w:rFonts w:cs="Arial"/>
          <w:szCs w:val="24"/>
        </w:rPr>
        <w:t xml:space="preserve">, </w:t>
      </w:r>
      <w:r w:rsidRPr="00CB5556">
        <w:rPr>
          <w:rFonts w:cs="Arial"/>
          <w:szCs w:val="24"/>
        </w:rPr>
        <w:t>77</w:t>
      </w:r>
      <w:r>
        <w:rPr>
          <w:rFonts w:cs="Arial"/>
          <w:szCs w:val="24"/>
        </w:rPr>
        <w:t>.</w:t>
      </w:r>
      <w:r w:rsidRPr="00CB5556">
        <w:rPr>
          <w:rFonts w:cs="Arial"/>
          <w:szCs w:val="24"/>
        </w:rPr>
        <w:t>6%)</w:t>
      </w:r>
      <w:r>
        <w:rPr>
          <w:rFonts w:cs="Arial"/>
          <w:szCs w:val="24"/>
        </w:rPr>
        <w:t>.</w:t>
      </w:r>
    </w:p>
    <w:p w:rsidR="00CF4AF5" w:rsidRPr="00F1174A" w:rsidRDefault="00CF4AF5" w:rsidP="00CF4AF5">
      <w:pPr>
        <w:pStyle w:val="Titre3"/>
        <w:rPr>
          <w:szCs w:val="24"/>
          <w:lang w:val="en-US"/>
        </w:rPr>
      </w:pPr>
      <w:r w:rsidRPr="00F1174A">
        <w:rPr>
          <w:lang w:val="en-US"/>
        </w:rPr>
        <w:t>Patients outcome</w:t>
      </w:r>
    </w:p>
    <w:p w:rsidR="00CF4AF5" w:rsidRPr="00FD42E9" w:rsidRDefault="00CF4AF5" w:rsidP="00CF4AF5">
      <w:pPr>
        <w:spacing w:before="30" w:after="30"/>
        <w:rPr>
          <w:rFonts w:cs="Arial"/>
          <w:szCs w:val="24"/>
          <w:lang w:val="en"/>
        </w:rPr>
      </w:pPr>
      <w:r>
        <w:rPr>
          <w:rFonts w:cs="Arial"/>
          <w:szCs w:val="24"/>
        </w:rPr>
        <w:t>Twenty-three</w:t>
      </w:r>
      <w:r w:rsidRPr="00CB5556">
        <w:rPr>
          <w:rFonts w:cs="Arial"/>
          <w:szCs w:val="24"/>
        </w:rPr>
        <w:t xml:space="preserve"> patients had complete response (46.9%), 24 partial response (49%) and only 2 </w:t>
      </w:r>
      <w:r>
        <w:rPr>
          <w:rFonts w:cs="Arial"/>
          <w:szCs w:val="24"/>
        </w:rPr>
        <w:t>had stable disease</w:t>
      </w:r>
      <w:r w:rsidRPr="00CB5556">
        <w:rPr>
          <w:rFonts w:cs="Arial"/>
          <w:szCs w:val="24"/>
        </w:rPr>
        <w:t xml:space="preserve"> (4.1%). However only 20 patients did not ultimately progress (40.8%). Among those who progressed (59.2%), 25 died (51% of </w:t>
      </w:r>
      <w:r>
        <w:rPr>
          <w:rFonts w:cs="Arial"/>
          <w:szCs w:val="24"/>
        </w:rPr>
        <w:t xml:space="preserve">whole initial </w:t>
      </w:r>
      <w:r w:rsidRPr="00CB5556">
        <w:rPr>
          <w:rFonts w:cs="Arial"/>
          <w:szCs w:val="24"/>
        </w:rPr>
        <w:t>cohort). Details of patient</w:t>
      </w:r>
      <w:r>
        <w:rPr>
          <w:rFonts w:cs="Arial"/>
          <w:szCs w:val="24"/>
        </w:rPr>
        <w:t>s</w:t>
      </w:r>
      <w:r w:rsidRPr="00CB5556">
        <w:rPr>
          <w:rFonts w:cs="Arial"/>
          <w:szCs w:val="24"/>
        </w:rPr>
        <w:t xml:space="preserve"> survival are showed in </w:t>
      </w:r>
      <w:r w:rsidRPr="007C15F9">
        <w:rPr>
          <w:rFonts w:cs="Arial"/>
          <w:szCs w:val="24"/>
        </w:rPr>
        <w:t>Figure</w:t>
      </w:r>
      <w:r>
        <w:rPr>
          <w:rFonts w:cs="Arial"/>
          <w:szCs w:val="24"/>
        </w:rPr>
        <w:t xml:space="preserve"> 2</w:t>
      </w:r>
      <w:r>
        <w:rPr>
          <w:rFonts w:cs="Arial"/>
          <w:szCs w:val="24"/>
        </w:rPr>
        <w:t>.</w:t>
      </w:r>
      <w:r w:rsidRPr="00CB5556">
        <w:rPr>
          <w:rFonts w:cs="Arial"/>
          <w:szCs w:val="24"/>
        </w:rPr>
        <w:t xml:space="preserve"> The</w:t>
      </w:r>
      <w:r w:rsidRPr="00CB5556">
        <w:rPr>
          <w:rFonts w:cs="Arial"/>
          <w:szCs w:val="24"/>
          <w:lang w:val="en"/>
        </w:rPr>
        <w:t xml:space="preserve"> median survival without progression was 29 months. At 3 and 5 years</w:t>
      </w:r>
      <w:r>
        <w:rPr>
          <w:rFonts w:cs="Arial"/>
          <w:szCs w:val="24"/>
          <w:lang w:val="en"/>
        </w:rPr>
        <w:t>,</w:t>
      </w:r>
      <w:r w:rsidRPr="00CB5556">
        <w:rPr>
          <w:rFonts w:cs="Arial"/>
          <w:szCs w:val="24"/>
          <w:lang w:val="en"/>
        </w:rPr>
        <w:t xml:space="preserve"> progression-free survival rates were 44.1%, and 29.1%, respectively. </w:t>
      </w:r>
      <w:r>
        <w:rPr>
          <w:rFonts w:cs="Arial"/>
          <w:szCs w:val="24"/>
        </w:rPr>
        <w:t>M</w:t>
      </w:r>
      <w:r w:rsidRPr="00CB5556">
        <w:rPr>
          <w:rFonts w:cs="Arial"/>
          <w:szCs w:val="24"/>
        </w:rPr>
        <w:t>edian</w:t>
      </w:r>
      <w:r>
        <w:rPr>
          <w:rFonts w:cs="Arial"/>
          <w:szCs w:val="24"/>
        </w:rPr>
        <w:t xml:space="preserve"> </w:t>
      </w:r>
      <w:r w:rsidRPr="00CB5556">
        <w:rPr>
          <w:rFonts w:cs="Arial"/>
          <w:szCs w:val="24"/>
        </w:rPr>
        <w:t xml:space="preserve">overall survival (OS) </w:t>
      </w:r>
      <w:r w:rsidRPr="00CB5556">
        <w:rPr>
          <w:rFonts w:cs="Arial"/>
          <w:szCs w:val="24"/>
          <w:lang w:val="en"/>
        </w:rPr>
        <w:t>was 43 months. At 3 and 5 years</w:t>
      </w:r>
      <w:r>
        <w:rPr>
          <w:rFonts w:cs="Arial"/>
          <w:szCs w:val="24"/>
          <w:lang w:val="en"/>
        </w:rPr>
        <w:t>,</w:t>
      </w:r>
      <w:r w:rsidRPr="00CB5556">
        <w:rPr>
          <w:rFonts w:cs="Arial"/>
          <w:szCs w:val="24"/>
          <w:lang w:val="en"/>
        </w:rPr>
        <w:t xml:space="preserve"> OS rates were 55.8% and 38.9%, respectively.</w:t>
      </w:r>
    </w:p>
    <w:p w:rsidR="00DE2555" w:rsidRPr="00CF4AF5" w:rsidRDefault="00CF4AF5">
      <w:pPr>
        <w:rPr>
          <w:lang w:val="en"/>
        </w:rPr>
      </w:pPr>
    </w:p>
    <w:sectPr w:rsidR="00DE2555" w:rsidRPr="00CF4AF5" w:rsidSect="00E42E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F5"/>
    <w:rsid w:val="00171D5C"/>
    <w:rsid w:val="0046749A"/>
    <w:rsid w:val="0057137C"/>
    <w:rsid w:val="00A2116F"/>
    <w:rsid w:val="00BF2378"/>
    <w:rsid w:val="00CF4AF5"/>
    <w:rsid w:val="00E4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CE878782-A1FD-A642-A502-7AE6FD43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4AF5"/>
    <w:pPr>
      <w:spacing w:before="120" w:after="120" w:line="360" w:lineRule="auto"/>
      <w:jc w:val="both"/>
    </w:pPr>
    <w:rPr>
      <w:rFonts w:ascii="Arial" w:hAnsi="Arial"/>
      <w:szCs w:val="22"/>
      <w:lang w:val="en-US"/>
    </w:rPr>
  </w:style>
  <w:style w:type="paragraph" w:styleId="Titre2">
    <w:name w:val="heading 2"/>
    <w:basedOn w:val="Normal"/>
    <w:next w:val="Normal"/>
    <w:link w:val="Titre2Car"/>
    <w:autoRedefine/>
    <w:uiPriority w:val="99"/>
    <w:qFormat/>
    <w:rsid w:val="00CF4AF5"/>
    <w:pPr>
      <w:keepNext/>
      <w:widowControl w:val="0"/>
      <w:autoSpaceDE w:val="0"/>
      <w:autoSpaceDN w:val="0"/>
      <w:adjustRightInd w:val="0"/>
      <w:spacing w:after="40"/>
      <w:outlineLvl w:val="1"/>
    </w:pPr>
    <w:rPr>
      <w:rFonts w:eastAsia="Times New Roman" w:cs="Times New Roman"/>
      <w:b/>
      <w:bCs/>
      <w:noProof/>
      <w:sz w:val="28"/>
      <w:szCs w:val="32"/>
      <w:lang w:val="fr-FR" w:eastAsia="fr-FR"/>
    </w:rPr>
  </w:style>
  <w:style w:type="paragraph" w:styleId="Titre3">
    <w:name w:val="heading 3"/>
    <w:basedOn w:val="Normal"/>
    <w:next w:val="Normal"/>
    <w:link w:val="Titre3Car"/>
    <w:uiPriority w:val="99"/>
    <w:qFormat/>
    <w:rsid w:val="00CF4AF5"/>
    <w:pPr>
      <w:keepNext/>
      <w:widowControl w:val="0"/>
      <w:autoSpaceDE w:val="0"/>
      <w:autoSpaceDN w:val="0"/>
      <w:adjustRightInd w:val="0"/>
      <w:spacing w:after="40"/>
      <w:outlineLvl w:val="2"/>
    </w:pPr>
    <w:rPr>
      <w:rFonts w:eastAsia="Times New Roman" w:cs="Times New Roman"/>
      <w:b/>
      <w:bCs/>
      <w:noProof/>
      <w:szCs w:val="3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9"/>
    <w:rsid w:val="00CF4AF5"/>
    <w:rPr>
      <w:rFonts w:ascii="Arial" w:eastAsia="Times New Roman" w:hAnsi="Arial" w:cs="Times New Roman"/>
      <w:b/>
      <w:bCs/>
      <w:noProof/>
      <w:sz w:val="28"/>
      <w:szCs w:val="32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CF4AF5"/>
    <w:rPr>
      <w:rFonts w:ascii="Arial" w:eastAsia="Times New Roman" w:hAnsi="Arial" w:cs="Times New Roman"/>
      <w:b/>
      <w:bCs/>
      <w:noProof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312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</dc:creator>
  <cp:keywords/>
  <dc:description/>
  <cp:lastModifiedBy>Sebastien</cp:lastModifiedBy>
  <cp:revision>1</cp:revision>
  <dcterms:created xsi:type="dcterms:W3CDTF">2020-09-09T15:38:00Z</dcterms:created>
  <dcterms:modified xsi:type="dcterms:W3CDTF">2020-09-09T15:41:00Z</dcterms:modified>
</cp:coreProperties>
</file>