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heading=h.gjdgxs" w:id="0"/>
      <w:bookmarkEnd w:id="0"/>
      <w:r w:rsidDel="00000000" w:rsidR="00000000" w:rsidRPr="00000000">
        <w:rPr>
          <w:rtl w:val="0"/>
        </w:rPr>
        <w:t xml:space="preserve">Mitigación de sesgos</w:t>
      </w:r>
    </w:p>
    <w:p w:rsidR="00000000" w:rsidDel="00000000" w:rsidP="00000000" w:rsidRDefault="00000000" w:rsidRPr="00000000" w14:paraId="00000002">
      <w:pPr>
        <w:pStyle w:val="Heading3"/>
        <w:jc w:val="both"/>
        <w:rPr/>
      </w:pPr>
      <w:bookmarkStart w:colFirst="0" w:colLast="0" w:name="_heading=h.30j0zll" w:id="1"/>
      <w:bookmarkEnd w:id="1"/>
      <w:r w:rsidDel="00000000" w:rsidR="00000000" w:rsidRPr="00000000">
        <w:rPr>
          <w:rtl w:val="0"/>
        </w:rPr>
        <w:t xml:space="preserve">Introducción</w:t>
      </w:r>
    </w:p>
    <w:p w:rsidR="00000000" w:rsidDel="00000000" w:rsidP="00000000" w:rsidRDefault="00000000" w:rsidRPr="00000000" w14:paraId="00000003">
      <w:pPr>
        <w:jc w:val="both"/>
        <w:rPr/>
      </w:pPr>
      <w:r w:rsidDel="00000000" w:rsidR="00000000" w:rsidRPr="00000000">
        <w:rPr>
          <w:rtl w:val="0"/>
        </w:rPr>
        <w:t xml:space="preserve">Tan importante como es ser consciente de los sesgos (también llamados “prejuicios”) y poder identificarlos cuando surgen tanto en nosotros mismos como en los demás, es igualmente importante saber cómo mitigarlos. No basta con ser conscientes de nuestros sesgos, sino que es necesario trabajar activamente para frenar su impacto. Hay una serie de medidas que puedes adoptar como primer paso para mitigar tus sesgos, como reconocer que los tienes, controlar tu propio comportamiento, notar y denunciar cuando veas sesgos en tu entorno y prestar atención a las características que tienden a generarlos. Sin embargo, los cambios sustanciales también requieren comprender y pensar críticamente sobre cómo se manifiestan los sesgos en nuestras vidas.</w:t>
      </w:r>
    </w:p>
    <w:p w:rsidR="00000000" w:rsidDel="00000000" w:rsidP="00000000" w:rsidRDefault="00000000" w:rsidRPr="00000000" w14:paraId="00000004">
      <w:pPr>
        <w:pStyle w:val="Heading3"/>
        <w:jc w:val="both"/>
        <w:rPr/>
      </w:pPr>
      <w:bookmarkStart w:colFirst="0" w:colLast="0" w:name="_heading=h.1fob9te" w:id="2"/>
      <w:bookmarkEnd w:id="2"/>
      <w:r w:rsidDel="00000000" w:rsidR="00000000" w:rsidRPr="00000000">
        <w:rPr>
          <w:rtl w:val="0"/>
        </w:rPr>
        <w:t xml:space="preserve">Esquemas</w:t>
      </w:r>
    </w:p>
    <w:p w:rsidR="00000000" w:rsidDel="00000000" w:rsidP="00000000" w:rsidRDefault="00000000" w:rsidRPr="00000000" w14:paraId="00000005">
      <w:pPr>
        <w:jc w:val="both"/>
        <w:rPr/>
      </w:pPr>
      <w:r w:rsidDel="00000000" w:rsidR="00000000" w:rsidRPr="00000000">
        <w:rPr>
          <w:b w:val="1"/>
          <w:rtl w:val="0"/>
        </w:rPr>
        <w:t xml:space="preserve">Los esquemas </w:t>
      </w:r>
      <w:r w:rsidDel="00000000" w:rsidR="00000000" w:rsidRPr="00000000">
        <w:rPr>
          <w:rtl w:val="0"/>
        </w:rPr>
        <w:t xml:space="preserve">son otro tipo de atajo que utiliza nuestro cerebro para hacer generalizaciones a partir de toda la información detallada y complicada a la que estamos expuestos todos los días. Los esquemas organizan toda esta información en categorías, encasillando eficazmente la información en grupos asociativos.</w:t>
      </w:r>
      <w:r w:rsidDel="00000000" w:rsidR="00000000" w:rsidRPr="00000000">
        <w:rPr>
          <w:vertAlign w:val="superscript"/>
        </w:rPr>
        <w:footnoteReference w:customMarkFollows="0" w:id="0"/>
      </w:r>
      <w:r w:rsidDel="00000000" w:rsidR="00000000" w:rsidRPr="00000000">
        <w:rPr>
          <w:vertAlign w:val="superscript"/>
          <w:rtl w:val="0"/>
        </w:rPr>
        <w:t xml:space="preserve"> </w:t>
      </w:r>
      <w:r w:rsidDel="00000000" w:rsidR="00000000" w:rsidRPr="00000000">
        <w:rPr>
          <w:rtl w:val="0"/>
        </w:rPr>
        <w:t xml:space="preserve">Como sucede con muchos atajos mentales, los esquemas aumentan nuestra eficiencia de procesamiento cognitivo, pero también nos hacen perder matices en el camino. Los esquemas, que se dividen en objetos, personas, conocimiento social, autocomprensión y eventos, pueden hacer que agrupemos las cosas demasiado rápido y asociemos erróneamente las experiencias de manera prematura, lo que conduce a sesgos y daños.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6">
      <w:pPr>
        <w:pStyle w:val="Heading3"/>
        <w:jc w:val="both"/>
        <w:rPr/>
      </w:pPr>
      <w:bookmarkStart w:colFirst="0" w:colLast="0" w:name="_heading=h.3znysh7" w:id="3"/>
      <w:bookmarkEnd w:id="3"/>
      <w:r w:rsidDel="00000000" w:rsidR="00000000" w:rsidRPr="00000000">
        <w:rPr>
          <w:rtl w:val="0"/>
        </w:rPr>
        <w:t xml:space="preserve">Actitudes y estereotipos</w:t>
      </w:r>
    </w:p>
    <w:p w:rsidR="00000000" w:rsidDel="00000000" w:rsidP="00000000" w:rsidRDefault="00000000" w:rsidRPr="00000000" w14:paraId="00000007">
      <w:pPr>
        <w:jc w:val="both"/>
        <w:rPr/>
      </w:pPr>
      <w:r w:rsidDel="00000000" w:rsidR="00000000" w:rsidRPr="00000000">
        <w:rPr>
          <w:rtl w:val="0"/>
        </w:rPr>
        <w:t xml:space="preserve">Una </w:t>
      </w:r>
      <w:r w:rsidDel="00000000" w:rsidR="00000000" w:rsidRPr="00000000">
        <w:rPr>
          <w:b w:val="1"/>
          <w:rtl w:val="0"/>
        </w:rPr>
        <w:t xml:space="preserve">actitud </w:t>
      </w:r>
      <w:r w:rsidDel="00000000" w:rsidR="00000000" w:rsidRPr="00000000">
        <w:rPr>
          <w:rtl w:val="0"/>
        </w:rPr>
        <w:t xml:space="preserve">es un sentimiento que tenemos sobre algo, una evaluación u opinión que tenemos sobre algo.</w:t>
      </w:r>
      <w:r w:rsidDel="00000000" w:rsidR="00000000" w:rsidRPr="00000000">
        <w:rPr>
          <w:vertAlign w:val="superscript"/>
        </w:rPr>
        <w:footnoteReference w:customMarkFollows="0" w:id="2"/>
      </w:r>
      <w:r w:rsidDel="00000000" w:rsidR="00000000" w:rsidRPr="00000000">
        <w:rPr>
          <w:vertAlign w:val="superscript"/>
          <w:rtl w:val="0"/>
        </w:rPr>
        <w:t xml:space="preserve"> </w:t>
      </w:r>
      <w:r w:rsidDel="00000000" w:rsidR="00000000" w:rsidRPr="00000000">
        <w:rPr>
          <w:rtl w:val="0"/>
        </w:rPr>
        <w:t xml:space="preserve">Un </w:t>
      </w:r>
      <w:r w:rsidDel="00000000" w:rsidR="00000000" w:rsidRPr="00000000">
        <w:rPr>
          <w:b w:val="1"/>
          <w:rtl w:val="0"/>
        </w:rPr>
        <w:t xml:space="preserve">estereotipo </w:t>
      </w:r>
      <w:r w:rsidDel="00000000" w:rsidR="00000000" w:rsidRPr="00000000">
        <w:rPr>
          <w:rtl w:val="0"/>
        </w:rPr>
        <w:t xml:space="preserve">es más específico e incluye rasgos asociados con grupos, categorías y personas. </w:t>
      </w:r>
      <w:r w:rsidDel="00000000" w:rsidR="00000000" w:rsidRPr="00000000">
        <w:rPr>
          <w:vertAlign w:val="superscript"/>
        </w:rPr>
        <w:footnoteReference w:customMarkFollows="0" w:id="3"/>
      </w:r>
      <w:r w:rsidDel="00000000" w:rsidR="00000000" w:rsidRPr="00000000">
        <w:rPr>
          <w:rtl w:val="0"/>
        </w:rPr>
        <w:t xml:space="preserve">Las actitudes y los estereotipos se basan en nuestros esquemas para reaccionar a nuestras interpretaciones esquemáticas. Construimos estas actitudes y estereotipos a través de exposiciones; a veces estas son directas y a través de nuestras propias experiencias, pero otras veces son a través de experiencias remotas, incluyendo historias, libros, cultura pop y redes sociales.</w:t>
      </w:r>
      <w:r w:rsidDel="00000000" w:rsidR="00000000" w:rsidRPr="00000000">
        <w:rPr>
          <w:vertAlign w:val="superscript"/>
        </w:rPr>
        <w:footnoteReference w:customMarkFollows="0" w:id="4"/>
      </w:r>
      <w:r w:rsidDel="00000000" w:rsidR="00000000" w:rsidRPr="00000000">
        <w:rPr>
          <w:vertAlign w:val="superscript"/>
          <w:rtl w:val="0"/>
        </w:rPr>
        <w:t xml:space="preserve"> </w:t>
      </w:r>
      <w:r w:rsidDel="00000000" w:rsidR="00000000" w:rsidRPr="00000000">
        <w:rPr>
          <w:rtl w:val="0"/>
        </w:rPr>
        <w:t xml:space="preserve">De esta manera, podemos construir actitudes y estereotipos basados en los de la sociedad que nos rodea, y estos pueden convertirse en un refuerzo social en un conjunto de normas culturales más amplias.</w:t>
      </w:r>
    </w:p>
    <w:p w:rsidR="00000000" w:rsidDel="00000000" w:rsidP="00000000" w:rsidRDefault="00000000" w:rsidRPr="00000000" w14:paraId="00000008">
      <w:pPr>
        <w:pStyle w:val="Heading3"/>
        <w:jc w:val="both"/>
        <w:rPr/>
      </w:pPr>
      <w:bookmarkStart w:colFirst="0" w:colLast="0" w:name="_heading=h.2et92p0" w:id="4"/>
      <w:bookmarkEnd w:id="4"/>
      <w:r w:rsidDel="00000000" w:rsidR="00000000" w:rsidRPr="00000000">
        <w:rPr>
          <w:rtl w:val="0"/>
        </w:rPr>
        <w:t xml:space="preserve">La prueba de asociación implícita</w:t>
      </w:r>
    </w:p>
    <w:p w:rsidR="00000000" w:rsidDel="00000000" w:rsidP="00000000" w:rsidRDefault="00000000" w:rsidRPr="00000000" w14:paraId="00000009">
      <w:pPr>
        <w:jc w:val="both"/>
        <w:rPr/>
      </w:pPr>
      <w:r w:rsidDel="00000000" w:rsidR="00000000" w:rsidRPr="00000000">
        <w:rPr>
          <w:rtl w:val="0"/>
        </w:rPr>
        <w:t xml:space="preserve">El </w:t>
      </w:r>
      <w:r w:rsidDel="00000000" w:rsidR="00000000" w:rsidRPr="00000000">
        <w:rPr>
          <w:b w:val="1"/>
          <w:rtl w:val="0"/>
        </w:rPr>
        <w:t xml:space="preserve">Test de Asociación Implícita (TAI) </w:t>
      </w:r>
      <w:r w:rsidDel="00000000" w:rsidR="00000000" w:rsidRPr="00000000">
        <w:rPr>
          <w:rtl w:val="0"/>
        </w:rPr>
        <w:t xml:space="preserve">no se utiliza para mitigar directamente los sesgos, sino para poner de relieve sesgos inconscientes de los que, de otro modo, no seríamos conscientes. El TAI está estructurado de forma que pide al sujeto que clasifique las palabras en categorías en función de las asociaciones y que haga juicios instantáneos sobre cómo clasificar las palabras y las cualidades que se le presentan. La medida del test es la fuerza de las asociaciones entre conceptos (normalmente grupos de personas) y evaluaciones o estereotipos (normalmente cualidades percibidas).</w:t>
      </w:r>
      <w:r w:rsidDel="00000000" w:rsidR="00000000" w:rsidRPr="00000000">
        <w:rPr>
          <w:vertAlign w:val="superscript"/>
        </w:rPr>
        <w:footnoteReference w:customMarkFollows="0" w:id="5"/>
      </w:r>
      <w:r w:rsidDel="00000000" w:rsidR="00000000" w:rsidRPr="00000000">
        <w:rPr>
          <w:vertAlign w:val="superscript"/>
          <w:rtl w:val="0"/>
        </w:rPr>
        <w:t xml:space="preserve"> </w:t>
      </w:r>
      <w:r w:rsidDel="00000000" w:rsidR="00000000" w:rsidRPr="00000000">
        <w:rPr>
          <w:rtl w:val="0"/>
        </w:rPr>
        <w:t xml:space="preserve">El Proyecto Implícito, que puso en marcha el TAI, señala que el objetivo de los tests es ser educativos y aumentar la autoconciencia, y que no deben utilizarse como herramienta de diagnóstico.</w:t>
      </w:r>
      <w:r w:rsidDel="00000000" w:rsidR="00000000" w:rsidRPr="00000000">
        <w:rPr>
          <w:vertAlign w:val="superscript"/>
        </w:rPr>
        <w:footnoteReference w:customMarkFollows="0" w:id="6"/>
      </w:r>
      <w:r w:rsidDel="00000000" w:rsidR="00000000" w:rsidRPr="00000000">
        <w:rPr>
          <w:vertAlign w:val="superscript"/>
          <w:rtl w:val="0"/>
        </w:rPr>
        <w:t xml:space="preserve"> </w:t>
      </w:r>
      <w:r w:rsidDel="00000000" w:rsidR="00000000" w:rsidRPr="00000000">
        <w:rPr>
          <w:rtl w:val="0"/>
        </w:rPr>
        <w:t xml:space="preserve">No obstante, son una plataforma útil para que las personas practiquen la confrontación de una evaluación de sus propios sesgos internos.</w:t>
      </w:r>
    </w:p>
    <w:p w:rsidR="00000000" w:rsidDel="00000000" w:rsidP="00000000" w:rsidRDefault="00000000" w:rsidRPr="00000000" w14:paraId="0000000A">
      <w:pPr>
        <w:pStyle w:val="Heading3"/>
        <w:jc w:val="both"/>
        <w:rPr/>
      </w:pPr>
      <w:bookmarkStart w:colFirst="0" w:colLast="0" w:name="_heading=h.tyjcwt" w:id="5"/>
      <w:bookmarkEnd w:id="5"/>
      <w:r w:rsidDel="00000000" w:rsidR="00000000" w:rsidRPr="00000000">
        <w:rPr>
          <w:rtl w:val="0"/>
        </w:rPr>
        <w:t xml:space="preserve">Capacitaciones anti-sesgos</w:t>
      </w:r>
    </w:p>
    <w:p w:rsidR="00000000" w:rsidDel="00000000" w:rsidP="00000000" w:rsidRDefault="00000000" w:rsidRPr="00000000" w14:paraId="0000000B">
      <w:pPr>
        <w:jc w:val="both"/>
        <w:rPr/>
      </w:pPr>
      <w:r w:rsidDel="00000000" w:rsidR="00000000" w:rsidRPr="00000000">
        <w:rPr>
          <w:rtl w:val="0"/>
        </w:rPr>
        <w:t xml:space="preserve">Una forma cada vez más común de abordar de manera práctica los sesgos cognitivos en el mundo real es </w:t>
      </w:r>
      <w:r w:rsidDel="00000000" w:rsidR="00000000" w:rsidRPr="00000000">
        <w:rPr>
          <w:b w:val="1"/>
          <w:rtl w:val="0"/>
        </w:rPr>
        <w:t xml:space="preserve">la capacitación contra los sesgos</w:t>
      </w:r>
      <w:r w:rsidDel="00000000" w:rsidR="00000000" w:rsidRPr="00000000">
        <w:rPr>
          <w:rtl w:val="0"/>
        </w:rPr>
        <w:t xml:space="preserve">. Estas capacitaciones, que se realizan a menudo en entornos académicos o laborales, tienen como objetivo aumentar las culturas de diversidad, equidad e inclusión. Si bien estas capacitaciones han resultado a menudo difíciles de implementar, debido a las estructuras sociales profundamente arraigadas que pretenden resaltar y desmantelar, también siguen siendo una herramienta valiosa para difundir la conciencia y las estrategias de mitigación de los sesgos.</w:t>
      </w:r>
      <w:r w:rsidDel="00000000" w:rsidR="00000000" w:rsidRPr="00000000">
        <w:rPr>
          <w:vertAlign w:val="superscript"/>
        </w:rPr>
        <w:footnoteReference w:customMarkFollows="0" w:id="7"/>
      </w:r>
      <w:r w:rsidDel="00000000" w:rsidR="00000000" w:rsidRPr="00000000">
        <w:rPr>
          <w:rtl w:val="0"/>
        </w:rPr>
        <w:t xml:space="preserve"> </w:t>
      </w:r>
    </w:p>
    <w:p w:rsidR="00000000" w:rsidDel="00000000" w:rsidP="00000000" w:rsidRDefault="00000000" w:rsidRPr="00000000" w14:paraId="0000000C">
      <w:pPr>
        <w:jc w:val="both"/>
        <w:rPr/>
      </w:pPr>
      <w:r w:rsidDel="00000000" w:rsidR="00000000" w:rsidRPr="00000000">
        <w:rPr>
          <w:rtl w:val="0"/>
        </w:rPr>
        <w:t xml:space="preserve">Abordar los sesgos implícitos no es una tarea fácil, pero es importante. Comprender la lógica cognitiva que subyace a cómo se desarrollan y almacenan los sesgos es un primer paso importante. Herramientas como el TAI tienen como objetivo revelar cómo se construyen nuestros esquemas, y el entrenamiento antisesgos nos da pasos concretos a seguir para iniciar el proceso. Sin embargo, para muchas personas, se trata de un proceso que dura toda la vida y que demuestra la fuerza (a veces peligrosa) de las asociaciones en nuestro cerebro.</w:t>
      </w:r>
    </w:p>
    <w:p w:rsidR="00000000" w:rsidDel="00000000" w:rsidP="00000000" w:rsidRDefault="00000000" w:rsidRPr="00000000" w14:paraId="0000000D">
      <w:pPr>
        <w:pStyle w:val="Heading3"/>
        <w:jc w:val="both"/>
        <w:rPr/>
      </w:pPr>
      <w:bookmarkStart w:colFirst="0" w:colLast="0" w:name="_heading=h.3dy6vkm" w:id="6"/>
      <w:bookmarkEnd w:id="6"/>
      <w:r w:rsidDel="00000000" w:rsidR="00000000" w:rsidRPr="00000000">
        <w:rPr>
          <w:rtl w:val="0"/>
        </w:rPr>
      </w:r>
    </w:p>
    <w:p w:rsidR="00000000" w:rsidDel="00000000" w:rsidP="00000000" w:rsidRDefault="00000000" w:rsidRPr="00000000" w14:paraId="0000000E">
      <w:pPr>
        <w:pStyle w:val="Heading3"/>
        <w:jc w:val="both"/>
        <w:rPr/>
      </w:pPr>
      <w:bookmarkStart w:colFirst="0" w:colLast="0" w:name="_heading=h.1t3h5sf" w:id="7"/>
      <w:bookmarkEnd w:id="7"/>
      <w:r w:rsidDel="00000000" w:rsidR="00000000" w:rsidRPr="00000000">
        <w:rPr>
          <w:rtl w:val="0"/>
        </w:rPr>
        <w:t xml:space="preserve">Referencias</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Acerca del IAT. (sin fecha). Proyecto Implícito.</w:t>
      </w:r>
    </w:p>
    <w:p w:rsidR="00000000" w:rsidDel="00000000" w:rsidP="00000000" w:rsidRDefault="00000000" w:rsidRPr="00000000" w14:paraId="00000010">
      <w:pPr>
        <w:ind w:firstLine="720"/>
        <w:jc w:val="both"/>
        <w:rPr>
          <w:color w:val="df2f26"/>
          <w:sz w:val="20"/>
          <w:szCs w:val="20"/>
        </w:rPr>
      </w:pPr>
      <w:r w:rsidDel="00000000" w:rsidR="00000000" w:rsidRPr="00000000">
        <w:rPr>
          <w:color w:val="df2f26"/>
          <w:sz w:val="20"/>
          <w:szCs w:val="20"/>
          <w:rtl w:val="0"/>
        </w:rPr>
        <w:t xml:space="preserve"> </w:t>
      </w:r>
      <w:hyperlink r:id="rId8">
        <w:r w:rsidDel="00000000" w:rsidR="00000000" w:rsidRPr="00000000">
          <w:rPr>
            <w:color w:val="df2f26"/>
            <w:sz w:val="20"/>
            <w:szCs w:val="20"/>
            <w:u w:val="single"/>
            <w:rtl w:val="0"/>
          </w:rPr>
          <w:t xml:space="preserve">https://www.projectimplicit.net/resources/about-the-iat/</w:t>
        </w:r>
      </w:hyperlink>
      <w:r w:rsidDel="00000000" w:rsidR="00000000" w:rsidRPr="00000000">
        <w:rPr>
          <w:rtl w:val="0"/>
        </w:rPr>
      </w:r>
    </w:p>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Boudreau, E. (4 de marzo de 2020). Qué hace que una capacitación antisesgos sea eficaz. </w:t>
      </w:r>
      <w:r w:rsidDel="00000000" w:rsidR="00000000" w:rsidRPr="00000000">
        <w:rPr>
          <w:i w:val="1"/>
          <w:sz w:val="20"/>
          <w:szCs w:val="20"/>
          <w:rtl w:val="0"/>
        </w:rPr>
        <w:t xml:space="preserve">Facultad de Educación de la Universidad de Harvard </w:t>
      </w:r>
      <w:r w:rsidDel="00000000" w:rsidR="00000000" w:rsidRPr="00000000">
        <w:rPr>
          <w:sz w:val="20"/>
          <w:szCs w:val="20"/>
          <w:rtl w:val="0"/>
        </w:rPr>
        <w:t xml:space="preserve">.</w:t>
      </w:r>
    </w:p>
    <w:p w:rsidR="00000000" w:rsidDel="00000000" w:rsidP="00000000" w:rsidRDefault="00000000" w:rsidRPr="00000000" w14:paraId="00000012">
      <w:pPr>
        <w:ind w:firstLine="720"/>
        <w:jc w:val="both"/>
        <w:rPr>
          <w:color w:val="df2f26"/>
          <w:sz w:val="20"/>
          <w:szCs w:val="20"/>
        </w:rPr>
      </w:pPr>
      <w:hyperlink r:id="rId9">
        <w:r w:rsidDel="00000000" w:rsidR="00000000" w:rsidRPr="00000000">
          <w:rPr>
            <w:color w:val="df2f26"/>
            <w:sz w:val="20"/>
            <w:szCs w:val="20"/>
            <w:u w:val="single"/>
            <w:rtl w:val="0"/>
          </w:rPr>
          <w:t xml:space="preserve">https://www.gse.harvard.edu/news/uk/20/03/what-makes- Effective-anti-bias-training</w:t>
        </w:r>
      </w:hyperlink>
      <w:r w:rsidDel="00000000" w:rsidR="00000000" w:rsidRPr="00000000">
        <w:rPr>
          <w:rtl w:val="0"/>
        </w:rPr>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Lección 1 sobre sesgo implícito: esquemas. (2016). Oficina de Equidad, Diversidad e Inclusión de la UCLA.</w:t>
      </w:r>
    </w:p>
    <w:p w:rsidR="00000000" w:rsidDel="00000000" w:rsidP="00000000" w:rsidRDefault="00000000" w:rsidRPr="00000000" w14:paraId="00000014">
      <w:pPr>
        <w:ind w:firstLine="720"/>
        <w:jc w:val="both"/>
        <w:rPr>
          <w:color w:val="df2f26"/>
          <w:sz w:val="20"/>
          <w:szCs w:val="20"/>
        </w:rPr>
      </w:pPr>
      <w:hyperlink r:id="rId10">
        <w:r w:rsidDel="00000000" w:rsidR="00000000" w:rsidRPr="00000000">
          <w:rPr>
            <w:color w:val="df2f26"/>
            <w:sz w:val="20"/>
            <w:szCs w:val="20"/>
            <w:u w:val="single"/>
            <w:rtl w:val="0"/>
          </w:rPr>
          <w:t xml:space="preserve">https://www.youtube.com/watch?v=OQGIgohunVw</w:t>
        </w:r>
      </w:hyperlink>
      <w:r w:rsidDel="00000000" w:rsidR="00000000" w:rsidRPr="00000000">
        <w:rPr>
          <w:rtl w:val="0"/>
        </w:rPr>
      </w:r>
    </w:p>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Lección 2 sobre sesgo implícito: actitudes y estereotipos. (2016). Oficina de Equidad, Diversidad e Inclusión de la UCLA.</w:t>
      </w:r>
    </w:p>
    <w:p w:rsidR="00000000" w:rsidDel="00000000" w:rsidP="00000000" w:rsidRDefault="00000000" w:rsidRPr="00000000" w14:paraId="00000016">
      <w:pPr>
        <w:ind w:firstLine="720"/>
        <w:jc w:val="both"/>
        <w:rPr>
          <w:sz w:val="20"/>
          <w:szCs w:val="20"/>
        </w:rPr>
      </w:pPr>
      <w:hyperlink r:id="rId11">
        <w:r w:rsidDel="00000000" w:rsidR="00000000" w:rsidRPr="00000000">
          <w:rPr>
            <w:color w:val="df2f26"/>
            <w:sz w:val="20"/>
            <w:szCs w:val="20"/>
            <w:u w:val="single"/>
            <w:rtl w:val="0"/>
          </w:rPr>
          <w:t xml:space="preserve">https://www.youtube.com/watch?v=7FgqGAXvLB8</w:t>
        </w:r>
      </w:hyperlink>
      <w:r w:rsidDel="00000000" w:rsidR="00000000" w:rsidRPr="00000000">
        <w:rPr>
          <w:rtl w:val="0"/>
        </w:rPr>
      </w:r>
    </w:p>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Esquemas. (sin fecha). El Laboratorio de Decisiones.</w:t>
      </w:r>
    </w:p>
    <w:p w:rsidR="00000000" w:rsidDel="00000000" w:rsidP="00000000" w:rsidRDefault="00000000" w:rsidRPr="00000000" w14:paraId="00000018">
      <w:pPr>
        <w:ind w:firstLine="720"/>
        <w:jc w:val="both"/>
        <w:rPr>
          <w:color w:val="df2f26"/>
          <w:sz w:val="20"/>
          <w:szCs w:val="20"/>
        </w:rPr>
      </w:pPr>
      <w:hyperlink r:id="rId12">
        <w:r w:rsidDel="00000000" w:rsidR="00000000" w:rsidRPr="00000000">
          <w:rPr>
            <w:color w:val="df2f26"/>
            <w:sz w:val="20"/>
            <w:szCs w:val="20"/>
            <w:u w:val="single"/>
            <w:rtl w:val="0"/>
          </w:rPr>
          <w:t xml:space="preserve">https://thedecisionlab.com/reference-guide/psychology/schemas</w:t>
        </w:r>
      </w:hyperlink>
      <w:r w:rsidDel="00000000" w:rsidR="00000000" w:rsidRPr="00000000">
        <w:rPr>
          <w:rtl w:val="0"/>
        </w:rPr>
      </w:r>
    </w:p>
    <w:p w:rsidR="00000000" w:rsidDel="00000000" w:rsidP="00000000" w:rsidRDefault="00000000" w:rsidRPr="00000000" w14:paraId="00000019">
      <w:pPr>
        <w:ind w:left="0" w:firstLine="0"/>
        <w:jc w:val="both"/>
        <w:rPr>
          <w:sz w:val="20"/>
          <w:szCs w:val="20"/>
        </w:rPr>
      </w:pPr>
      <w:r w:rsidDel="00000000" w:rsidR="00000000" w:rsidRPr="00000000">
        <w:rPr>
          <w:rtl w:val="0"/>
        </w:rPr>
      </w:r>
    </w:p>
    <w:p w:rsidR="00000000" w:rsidDel="00000000" w:rsidP="00000000" w:rsidRDefault="00000000" w:rsidRPr="00000000" w14:paraId="0000001A">
      <w:pPr>
        <w:jc w:val="both"/>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806.4000000000001" w:top="1800" w:left="806.4000000000001" w:right="261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after="0" w:before="0" w:lineRule="auto"/>
      <w:ind w:left="0" w:firstLine="0"/>
      <w:rPr>
        <w:b w:val="1"/>
        <w:sz w:val="14"/>
        <w:szCs w:val="14"/>
      </w:rPr>
    </w:pPr>
    <w:r w:rsidDel="00000000" w:rsidR="00000000" w:rsidRPr="00000000">
      <w:rPr>
        <w:rtl w:val="0"/>
      </w:rPr>
    </w:r>
  </w:p>
  <w:tbl>
    <w:tblPr>
      <w:tblStyle w:val="Table3"/>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290"/>
      <w:gridCol w:w="6495"/>
      <w:tblGridChange w:id="0">
        <w:tblGrid>
          <w:gridCol w:w="3000"/>
          <w:gridCol w:w="1290"/>
          <w:gridCol w:w="6495"/>
        </w:tblGrid>
      </w:tblGridChange>
    </w:tblGrid>
    <w:tr>
      <w:trPr>
        <w:cantSplit w:val="0"/>
        <w:trHeight w:val="320" w:hRule="atLeast"/>
        <w:tblHeader w:val="0"/>
      </w:trPr>
      <w:tc>
        <w:tcPr>
          <w:gridSpan w:val="2"/>
          <w:tcBorders>
            <w:top w:color="000000" w:space="0" w:sz="0" w:val="nil"/>
            <w:left w:color="78736e" w:space="0" w:sz="8" w:val="single"/>
            <w:bottom w:color="000000" w:space="0" w:sz="0" w:val="nil"/>
            <w:right w:color="000000" w:space="0" w:sz="0" w:val="nil"/>
          </w:tcBorders>
          <w:shd w:fill="auto" w:val="clear"/>
          <w:tcMar>
            <w:top w:w="90.72" w:type="dxa"/>
            <w:left w:w="90.72" w:type="dxa"/>
            <w:bottom w:w="90.72" w:type="dxa"/>
            <w:right w:w="90.72" w:type="dxa"/>
          </w:tcMar>
          <w:vAlign w:val="top"/>
        </w:tcPr>
        <w:p w:rsidR="00000000" w:rsidDel="00000000" w:rsidP="00000000" w:rsidRDefault="00000000" w:rsidRPr="00000000" w14:paraId="00000031">
          <w:pPr>
            <w:spacing w:after="0" w:line="240" w:lineRule="auto"/>
            <w:rPr>
              <w:sz w:val="14"/>
              <w:szCs w:val="14"/>
            </w:rPr>
          </w:pPr>
          <w:r w:rsidDel="00000000" w:rsidR="00000000" w:rsidRPr="00000000">
            <w:rPr>
              <w:sz w:val="14"/>
              <w:szCs w:val="14"/>
              <w:rtl w:val="0"/>
            </w:rPr>
            <w:t xml:space="preserve">©2022 Minerva Project, Inc. Todos los derechos reservados.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3">
          <w:pPr>
            <w:spacing w:after="0" w:line="240" w:lineRule="auto"/>
            <w:ind w:left="0" w:firstLine="0"/>
            <w:rPr>
              <w:sz w:val="14"/>
              <w:szCs w:val="14"/>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60" w:before="0" w:line="240" w:lineRule="auto"/>
      <w:ind w:left="0" w:right="0" w:firstLine="0"/>
      <w:rPr>
        <w:b w:val="1"/>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spacing w:after="0" w:before="0" w:line="240" w:lineRule="auto"/>
      <w:rPr>
        <w:b w:val="1"/>
        <w:sz w:val="14"/>
        <w:szCs w:val="14"/>
      </w:rPr>
    </w:pPr>
    <w:r w:rsidDel="00000000" w:rsidR="00000000" w:rsidRPr="00000000">
      <w:rPr>
        <w:rtl w:val="0"/>
      </w:rPr>
    </w:r>
  </w:p>
  <w:p w:rsidR="00000000" w:rsidDel="00000000" w:rsidP="00000000" w:rsidRDefault="00000000" w:rsidRPr="00000000" w14:paraId="00000036">
    <w:pPr>
      <w:tabs>
        <w:tab w:val="right" w:leader="none" w:pos="8640"/>
      </w:tabs>
      <w:spacing w:after="360" w:line="240" w:lineRule="auto"/>
      <w:ind w:left="-270" w:firstLine="0"/>
      <w:rPr>
        <w:b w:val="1"/>
        <w:sz w:val="14"/>
        <w:szCs w:val="1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-85723</wp:posOffset>
          </wp:positionH>
          <wp:positionV relativeFrom="paragraph">
            <wp:posOffset>146304</wp:posOffset>
          </wp:positionV>
          <wp:extent cx="1371600" cy="1227726"/>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1600" cy="1227726"/>
                  </a:xfrm>
                  <a:prstGeom prst="rect"/>
                  <a:ln/>
                </pic:spPr>
              </pic:pic>
            </a:graphicData>
          </a:graphic>
        </wp:anchor>
      </w:drawing>
    </w:r>
  </w:p>
  <w:tbl>
    <w:tblPr>
      <w:tblStyle w:val="Table4"/>
      <w:tblW w:w="1074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290"/>
      <w:gridCol w:w="1860"/>
      <w:tblGridChange w:id="0">
        <w:tblGrid>
          <w:gridCol w:w="4590"/>
          <w:gridCol w:w="4290"/>
          <w:gridCol w:w="1860"/>
        </w:tblGrid>
      </w:tblGridChange>
    </w:tblGrid>
    <w:tr>
      <w:trPr>
        <w:cantSplit w:val="0"/>
        <w:trHeight w:val="1500" w:hRule="atLeast"/>
        <w:tblHeader w:val="0"/>
      </w:trPr>
      <w:tc>
        <w:tcPr>
          <w:tcBorders>
            <w:top w:color="000000" w:space="0" w:sz="0" w:val="nil"/>
            <w:left w:color="000000" w:space="0" w:sz="0" w:val="nil"/>
            <w:bottom w:color="000000" w:space="0" w:sz="0" w:val="nil"/>
            <w:right w:color="78736e"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4.000000000000004" w:lineRule="auto"/>
            <w:rPr>
              <w:b w:val="1"/>
              <w:sz w:val="14"/>
              <w:szCs w:val="14"/>
            </w:rPr>
          </w:pPr>
          <w:r w:rsidDel="00000000" w:rsidR="00000000" w:rsidRPr="00000000">
            <w:rPr>
              <w:rtl w:val="0"/>
            </w:rPr>
          </w:r>
        </w:p>
      </w:tc>
      <w:tc>
        <w:tcPr>
          <w:tcBorders>
            <w:top w:color="000000" w:space="0" w:sz="0" w:val="nil"/>
            <w:left w:color="78736e"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©2022 Minerva Project Inc. Todos los derechos reservados.</w:t>
          </w:r>
        </w:p>
      </w:tc>
      <w:tc>
        <w:tcPr>
          <w:tcBorders>
            <w:top w:color="000000" w:space="0" w:sz="0" w:val="nil"/>
            <w:left w:color="78736e" w:space="0" w:sz="8" w:val="single"/>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proyectominerva.com</w:t>
          </w:r>
        </w:p>
      </w:tc>
    </w:tr>
  </w:tbl>
  <w:p w:rsidR="00000000" w:rsidDel="00000000" w:rsidP="00000000" w:rsidRDefault="00000000" w:rsidRPr="00000000" w14:paraId="0000003A">
    <w:pPr>
      <w:tabs>
        <w:tab w:val="right" w:leader="none" w:pos="8640"/>
      </w:tabs>
      <w:spacing w:after="360" w:line="240" w:lineRule="auto"/>
      <w:ind w:left="-270" w:firstLine="0"/>
      <w:rPr>
        <w:b w:val="1"/>
        <w:sz w:val="14"/>
        <w:szCs w:val="14"/>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C">
      <w:pPr>
        <w:spacing w:after="0" w:line="240" w:lineRule="auto"/>
        <w:rPr>
          <w:sz w:val="16"/>
          <w:szCs w:val="16"/>
        </w:rPr>
      </w:pPr>
      <w:r w:rsidDel="00000000" w:rsidR="00000000" w:rsidRPr="00000000">
        <w:rPr>
          <w:rStyle w:val="FootnoteReference"/>
          <w:vertAlign w:val="superscript"/>
        </w:rPr>
        <w:footnoteRef/>
      </w:r>
      <w:r w:rsidDel="00000000" w:rsidR="00000000" w:rsidRPr="00000000">
        <w:rPr>
          <w:b w:val="1"/>
          <w:color w:val="df2f26"/>
          <w:sz w:val="16"/>
          <w:szCs w:val="16"/>
          <w:rtl w:val="0"/>
        </w:rPr>
        <w:t xml:space="preserve">Lección 1 sobre sesgo implícito: esquemas. </w:t>
      </w:r>
      <w:r w:rsidDel="00000000" w:rsidR="00000000" w:rsidRPr="00000000">
        <w:rPr>
          <w:sz w:val="16"/>
          <w:szCs w:val="16"/>
          <w:rtl w:val="0"/>
        </w:rPr>
        <w:t xml:space="preserve">(2016). Oficina de Equidad, Diversidad e Inclusión de la UCLA.</w:t>
      </w:r>
    </w:p>
  </w:footnote>
  <w:footnote w:id="1">
    <w:p w:rsidR="00000000" w:rsidDel="00000000" w:rsidP="00000000" w:rsidRDefault="00000000" w:rsidRPr="00000000" w14:paraId="0000001D">
      <w:pPr>
        <w:spacing w:after="0" w:line="240" w:lineRule="auto"/>
        <w:rPr>
          <w:sz w:val="16"/>
          <w:szCs w:val="16"/>
        </w:rPr>
      </w:pPr>
      <w:r w:rsidDel="00000000" w:rsidR="00000000" w:rsidRPr="00000000">
        <w:rPr>
          <w:rStyle w:val="FootnoteReference"/>
          <w:vertAlign w:val="superscript"/>
        </w:rPr>
        <w:footnoteRef/>
      </w:r>
      <w:r w:rsidDel="00000000" w:rsidR="00000000" w:rsidRPr="00000000">
        <w:rPr>
          <w:b w:val="1"/>
          <w:color w:val="df2f26"/>
          <w:sz w:val="16"/>
          <w:szCs w:val="16"/>
          <w:rtl w:val="0"/>
        </w:rPr>
        <w:t xml:space="preserve">Esquemas </w:t>
      </w:r>
      <w:r w:rsidDel="00000000" w:rsidR="00000000" w:rsidRPr="00000000">
        <w:rPr>
          <w:color w:val="df2f26"/>
          <w:sz w:val="16"/>
          <w:szCs w:val="16"/>
          <w:rtl w:val="0"/>
        </w:rPr>
        <w:t xml:space="preserve">. </w:t>
      </w:r>
      <w:r w:rsidDel="00000000" w:rsidR="00000000" w:rsidRPr="00000000">
        <w:rPr>
          <w:sz w:val="16"/>
          <w:szCs w:val="16"/>
          <w:rtl w:val="0"/>
        </w:rPr>
        <w:t xml:space="preserve">(sin fecha). El Laboratorio de Decisiones.</w:t>
      </w:r>
    </w:p>
  </w:footnote>
  <w:footnote w:id="4">
    <w:p w:rsidR="00000000" w:rsidDel="00000000" w:rsidP="00000000" w:rsidRDefault="00000000" w:rsidRPr="00000000" w14:paraId="0000001E">
      <w:pPr>
        <w:spacing w:after="0" w:line="240" w:lineRule="auto"/>
        <w:rPr>
          <w:sz w:val="16"/>
          <w:szCs w:val="16"/>
        </w:rPr>
      </w:pPr>
      <w:r w:rsidDel="00000000" w:rsidR="00000000" w:rsidRPr="00000000">
        <w:rPr>
          <w:rStyle w:val="FootnoteReference"/>
          <w:vertAlign w:val="superscript"/>
        </w:rPr>
        <w:footnoteRef/>
      </w:r>
      <w:r w:rsidDel="00000000" w:rsidR="00000000" w:rsidRPr="00000000">
        <w:rPr>
          <w:b w:val="1"/>
          <w:color w:val="df2f26"/>
          <w:sz w:val="16"/>
          <w:szCs w:val="16"/>
          <w:rtl w:val="0"/>
        </w:rPr>
        <w:t xml:space="preserve">Lección 2 sobre sesgo implícito: actitudes y estereotipos. </w:t>
      </w:r>
      <w:r w:rsidDel="00000000" w:rsidR="00000000" w:rsidRPr="00000000">
        <w:rPr>
          <w:sz w:val="16"/>
          <w:szCs w:val="16"/>
          <w:rtl w:val="0"/>
        </w:rPr>
        <w:t xml:space="preserve">(2016). Oficina de Equidad, Diversidad e Inclusión de la UCLA.</w:t>
      </w:r>
    </w:p>
  </w:footnote>
  <w:footnote w:id="2">
    <w:p w:rsidR="00000000" w:rsidDel="00000000" w:rsidP="00000000" w:rsidRDefault="00000000" w:rsidRPr="00000000" w14:paraId="0000001F">
      <w:pPr>
        <w:spacing w:after="0" w:line="240" w:lineRule="auto"/>
        <w:rPr>
          <w:sz w:val="20"/>
          <w:szCs w:val="20"/>
        </w:rPr>
      </w:pPr>
      <w:r w:rsidDel="00000000" w:rsidR="00000000" w:rsidRPr="00000000">
        <w:rPr>
          <w:rStyle w:val="FootnoteReference"/>
          <w:vertAlign w:val="superscript"/>
        </w:rPr>
        <w:footnoteRef/>
      </w:r>
      <w:r w:rsidDel="00000000" w:rsidR="00000000" w:rsidRPr="00000000">
        <w:rPr>
          <w:b w:val="1"/>
          <w:color w:val="df2f26"/>
          <w:sz w:val="16"/>
          <w:szCs w:val="16"/>
          <w:rtl w:val="0"/>
        </w:rPr>
        <w:t xml:space="preserve">Lección 2 sobre sesgo implícito: actitudes y estereotipos. </w:t>
      </w:r>
      <w:r w:rsidDel="00000000" w:rsidR="00000000" w:rsidRPr="00000000">
        <w:rPr>
          <w:sz w:val="16"/>
          <w:szCs w:val="16"/>
          <w:rtl w:val="0"/>
        </w:rPr>
        <w:t xml:space="preserve">(2016). Oficina de Equidad, Diversidad e Inclusión de la UCLA.</w:t>
      </w:r>
      <w:r w:rsidDel="00000000" w:rsidR="00000000" w:rsidRPr="00000000">
        <w:rPr>
          <w:rtl w:val="0"/>
        </w:rPr>
      </w:r>
    </w:p>
  </w:footnote>
  <w:footnote w:id="3">
    <w:p w:rsidR="00000000" w:rsidDel="00000000" w:rsidP="00000000" w:rsidRDefault="00000000" w:rsidRPr="00000000" w14:paraId="00000020">
      <w:pPr>
        <w:spacing w:after="0" w:line="240" w:lineRule="auto"/>
        <w:rPr>
          <w:sz w:val="20"/>
          <w:szCs w:val="20"/>
        </w:rPr>
      </w:pPr>
      <w:r w:rsidDel="00000000" w:rsidR="00000000" w:rsidRPr="00000000">
        <w:rPr>
          <w:rStyle w:val="FootnoteReference"/>
          <w:vertAlign w:val="superscript"/>
        </w:rPr>
        <w:footnoteRef/>
      </w:r>
      <w:r w:rsidDel="00000000" w:rsidR="00000000" w:rsidRPr="00000000">
        <w:rPr>
          <w:b w:val="1"/>
          <w:color w:val="df2f26"/>
          <w:sz w:val="16"/>
          <w:szCs w:val="16"/>
          <w:rtl w:val="0"/>
        </w:rPr>
        <w:t xml:space="preserve">Lección 2 sobre sesgo implícito: actitudes y estereotipos. </w:t>
      </w:r>
      <w:r w:rsidDel="00000000" w:rsidR="00000000" w:rsidRPr="00000000">
        <w:rPr>
          <w:sz w:val="16"/>
          <w:szCs w:val="16"/>
          <w:rtl w:val="0"/>
        </w:rPr>
        <w:t xml:space="preserve">(2016). Oficina de Equidad, Diversidad e Inclusión de la UCLA.</w:t>
      </w:r>
      <w:r w:rsidDel="00000000" w:rsidR="00000000" w:rsidRPr="00000000">
        <w:rPr>
          <w:rtl w:val="0"/>
        </w:rPr>
      </w:r>
    </w:p>
  </w:footnote>
  <w:footnote w:id="5">
    <w:p w:rsidR="00000000" w:rsidDel="00000000" w:rsidP="00000000" w:rsidRDefault="00000000" w:rsidRPr="00000000" w14:paraId="00000021">
      <w:pPr>
        <w:spacing w:after="0" w:line="240" w:lineRule="auto"/>
        <w:rPr>
          <w:sz w:val="16"/>
          <w:szCs w:val="16"/>
        </w:rPr>
      </w:pPr>
      <w:r w:rsidDel="00000000" w:rsidR="00000000" w:rsidRPr="00000000">
        <w:rPr>
          <w:rStyle w:val="FootnoteReference"/>
          <w:vertAlign w:val="superscript"/>
        </w:rPr>
        <w:footnoteRef/>
      </w:r>
      <w:r w:rsidDel="00000000" w:rsidR="00000000" w:rsidRPr="00000000">
        <w:rPr>
          <w:b w:val="1"/>
          <w:color w:val="df2f26"/>
          <w:sz w:val="16"/>
          <w:szCs w:val="16"/>
          <w:rtl w:val="0"/>
        </w:rPr>
        <w:t xml:space="preserve">Acerca del IAT. </w:t>
      </w:r>
      <w:r w:rsidDel="00000000" w:rsidR="00000000" w:rsidRPr="00000000">
        <w:rPr>
          <w:sz w:val="16"/>
          <w:szCs w:val="16"/>
          <w:rtl w:val="0"/>
        </w:rPr>
        <w:t xml:space="preserve">(sin fecha). Proyecto Implícito.</w:t>
      </w:r>
    </w:p>
  </w:footnote>
  <w:footnote w:id="6">
    <w:p w:rsidR="00000000" w:rsidDel="00000000" w:rsidP="00000000" w:rsidRDefault="00000000" w:rsidRPr="00000000" w14:paraId="00000022">
      <w:pPr>
        <w:spacing w:after="0" w:line="240" w:lineRule="auto"/>
        <w:rPr>
          <w:sz w:val="20"/>
          <w:szCs w:val="20"/>
        </w:rPr>
      </w:pPr>
      <w:r w:rsidDel="00000000" w:rsidR="00000000" w:rsidRPr="00000000">
        <w:rPr>
          <w:rStyle w:val="FootnoteReference"/>
          <w:vertAlign w:val="superscript"/>
        </w:rPr>
        <w:footnoteRef/>
      </w:r>
      <w:r w:rsidDel="00000000" w:rsidR="00000000" w:rsidRPr="00000000">
        <w:rPr>
          <w:b w:val="1"/>
          <w:color w:val="df2f26"/>
          <w:sz w:val="16"/>
          <w:szCs w:val="16"/>
          <w:rtl w:val="0"/>
        </w:rPr>
        <w:t xml:space="preserve">Acerca del IAT. </w:t>
      </w:r>
      <w:r w:rsidDel="00000000" w:rsidR="00000000" w:rsidRPr="00000000">
        <w:rPr>
          <w:sz w:val="16"/>
          <w:szCs w:val="16"/>
          <w:rtl w:val="0"/>
        </w:rPr>
        <w:t xml:space="preserve">(sin fecha). Proyecto Implícito.</w:t>
      </w:r>
      <w:r w:rsidDel="00000000" w:rsidR="00000000" w:rsidRPr="00000000">
        <w:rPr>
          <w:rtl w:val="0"/>
        </w:rPr>
      </w:r>
    </w:p>
  </w:footnote>
  <w:footnote w:id="7">
    <w:p w:rsidR="00000000" w:rsidDel="00000000" w:rsidP="00000000" w:rsidRDefault="00000000" w:rsidRPr="00000000" w14:paraId="00000023">
      <w:pPr>
        <w:spacing w:after="0" w:line="240" w:lineRule="auto"/>
        <w:rPr>
          <w:sz w:val="16"/>
          <w:szCs w:val="16"/>
        </w:rPr>
      </w:pPr>
      <w:r w:rsidDel="00000000" w:rsidR="00000000" w:rsidRPr="00000000">
        <w:rPr>
          <w:rStyle w:val="FootnoteReference"/>
          <w:vertAlign w:val="superscript"/>
        </w:rPr>
        <w:footnoteRef/>
      </w:r>
      <w:r w:rsidDel="00000000" w:rsidR="00000000" w:rsidRPr="00000000">
        <w:rPr>
          <w:b w:val="1"/>
          <w:color w:val="df2f26"/>
          <w:sz w:val="16"/>
          <w:szCs w:val="16"/>
          <w:rtl w:val="0"/>
        </w:rPr>
        <w:t xml:space="preserve">Boudreau, E. </w:t>
      </w:r>
      <w:r w:rsidDel="00000000" w:rsidR="00000000" w:rsidRPr="00000000">
        <w:rPr>
          <w:sz w:val="16"/>
          <w:szCs w:val="16"/>
          <w:rtl w:val="0"/>
        </w:rPr>
        <w:t xml:space="preserve">(4 de marzo de 2020). Qué hace que una capacitación antisesgos sea eficaz. </w:t>
      </w:r>
      <w:r w:rsidDel="00000000" w:rsidR="00000000" w:rsidRPr="00000000">
        <w:rPr>
          <w:i w:val="1"/>
          <w:sz w:val="16"/>
          <w:szCs w:val="16"/>
          <w:rtl w:val="0"/>
        </w:rPr>
        <w:t xml:space="preserve">Facultad de Educación de la Universidad de Harvard </w:t>
      </w:r>
      <w:r w:rsidDel="00000000" w:rsidR="00000000" w:rsidRPr="00000000">
        <w:rPr>
          <w:sz w:val="16"/>
          <w:szCs w:val="16"/>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tabs>
        <w:tab w:val="center" w:leader="none" w:pos="4320"/>
        <w:tab w:val="right" w:leader="none" w:pos="8640"/>
      </w:tabs>
      <w:spacing w:after="0" w:before="0" w:line="240" w:lineRule="auto"/>
      <w:ind w:left="0" w:firstLine="0"/>
      <w:rPr>
        <w:b w:val="1"/>
        <w:sz w:val="14"/>
        <w:szCs w:val="14"/>
      </w:rPr>
    </w:pPr>
    <w:r w:rsidDel="00000000" w:rsidR="00000000" w:rsidRPr="00000000">
      <w:rPr>
        <w:rtl w:val="0"/>
      </w:rPr>
    </w:r>
  </w:p>
  <w:tbl>
    <w:tblPr>
      <w:tblStyle w:val="Table1"/>
      <w:tblW w:w="10435.79809725158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60"/>
      <w:gridCol w:w="2760"/>
      <w:gridCol w:w="3370.7980972515857"/>
      <w:tblGridChange w:id="0">
        <w:tblGrid>
          <w:gridCol w:w="2145"/>
          <w:gridCol w:w="2160"/>
          <w:gridCol w:w="2760"/>
          <w:gridCol w:w="3370.7980972515857"/>
        </w:tblGrid>
      </w:tblGridChange>
    </w:tblGrid>
    <w:tr>
      <w:trPr>
        <w:cantSplit w:val="0"/>
        <w:tblHeader w:val="0"/>
      </w:trPr>
      <w:tc>
        <w:tcPr>
          <w:tcBorders>
            <w:top w:color="000000" w:space="0" w:sz="0" w:val="nil"/>
            <w:left w:color="78736e" w:space="0" w:sz="4" w:val="single"/>
            <w:bottom w:color="000000" w:space="0" w:sz="0" w:val="nil"/>
            <w:right w:color="78736e"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b w:val="1"/>
              <w:sz w:val="14"/>
              <w:szCs w:val="14"/>
            </w:rPr>
          </w:pPr>
          <w:r w:rsidDel="00000000" w:rsidR="00000000" w:rsidRPr="00000000">
            <w:rPr>
              <w:b w:val="1"/>
              <w:sz w:val="14"/>
              <w:szCs w:val="14"/>
              <w:rtl w:val="0"/>
            </w:rPr>
            <w:t xml:space="preserve">Proyecto Minerva</w:t>
          </w:r>
        </w:p>
      </w:tc>
      <w:tc>
        <w:tcPr>
          <w:tcBorders>
            <w:top w:color="000000" w:space="0" w:sz="0" w:val="nil"/>
            <w:left w:color="78736e"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sz w:val="14"/>
              <w:szCs w:val="14"/>
            </w:rPr>
          </w:pPr>
          <w:r w:rsidDel="00000000" w:rsidR="00000000" w:rsidRPr="00000000">
            <w:rPr>
              <w:sz w:val="14"/>
              <w:szCs w:val="14"/>
              <w:rtl w:val="0"/>
            </w:rPr>
            <w:t xml:space="preserve">Recursos de aprendizaje</w:t>
          </w:r>
        </w:p>
      </w:tc>
      <w:tc>
        <w:tcPr>
          <w:tcBorders>
            <w:top w:color="000000" w:space="0" w:sz="0" w:val="nil"/>
            <w:left w:color="78736e"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sz w:val="14"/>
              <w:szCs w:val="14"/>
            </w:rPr>
          </w:pPr>
          <w:r w:rsidDel="00000000" w:rsidR="00000000" w:rsidRPr="00000000">
            <w:rPr>
              <w:sz w:val="14"/>
              <w:szCs w:val="14"/>
              <w:rtl w:val="0"/>
            </w:rPr>
            <w:t xml:space="preserve">Actualizado en noviembre de 2022</w:t>
          </w:r>
        </w:p>
      </w:tc>
      <w:tc>
        <w:tcPr>
          <w:tcBorders>
            <w:top w:color="000000" w:space="0" w:sz="0" w:val="nil"/>
            <w:left w:color="000000" w:space="0" w:sz="0" w:val="nil"/>
            <w:bottom w:color="000000" w:space="0" w:sz="0" w:val="nil"/>
            <w:right w:color="78736e"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ind w:left="0" w:right="-15" w:firstLine="0"/>
            <w:jc w:val="right"/>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firstLine="0"/>
      <w:rPr>
        <w:sz w:val="14"/>
        <w:szCs w:val="1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firstLine="0"/>
      <w:rPr>
        <w:b w:val="1"/>
        <w:sz w:val="14"/>
        <w:szCs w:val="14"/>
      </w:rPr>
    </w:pPr>
    <w:r w:rsidDel="00000000" w:rsidR="00000000" w:rsidRPr="00000000">
      <w:rPr>
        <w:rtl w:val="0"/>
      </w:rPr>
    </w:r>
  </w:p>
  <w:tbl>
    <w:tblPr>
      <w:tblStyle w:val="Table2"/>
      <w:tblW w:w="10456.3794772507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60"/>
      <w:gridCol w:w="3945"/>
      <w:gridCol w:w="2206.379477250726"/>
      <w:tblGridChange w:id="0">
        <w:tblGrid>
          <w:gridCol w:w="2145"/>
          <w:gridCol w:w="2160"/>
          <w:gridCol w:w="3945"/>
          <w:gridCol w:w="2206.379477250726"/>
        </w:tblGrid>
      </w:tblGridChange>
    </w:tblGrid>
    <w:tr>
      <w:trPr>
        <w:cantSplit w:val="0"/>
        <w:tblHeader w:val="0"/>
      </w:trPr>
      <w:tc>
        <w:tcPr>
          <w:tcBorders>
            <w:top w:color="000000" w:space="0" w:sz="0" w:val="nil"/>
            <w:left w:color="78736e" w:space="0" w:sz="4" w:val="single"/>
            <w:bottom w:color="000000" w:space="0" w:sz="0" w:val="nil"/>
            <w:right w:color="78736e"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14"/>
              <w:szCs w:val="14"/>
            </w:rPr>
          </w:pPr>
          <w:r w:rsidDel="00000000" w:rsidR="00000000" w:rsidRPr="00000000">
            <w:rPr>
              <w:b w:val="1"/>
              <w:sz w:val="14"/>
              <w:szCs w:val="14"/>
              <w:rtl w:val="0"/>
            </w:rPr>
            <w:t xml:space="preserve">Proyecto Minerva</w:t>
          </w:r>
        </w:p>
      </w:tc>
      <w:tc>
        <w:tcPr>
          <w:tcBorders>
            <w:top w:color="000000" w:space="0" w:sz="0" w:val="nil"/>
            <w:left w:color="78736e"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Recursos de aprendizaje</w:t>
          </w:r>
        </w:p>
      </w:tc>
      <w:tc>
        <w:tcPr>
          <w:tcBorders>
            <w:top w:color="000000" w:space="0" w:sz="0" w:val="nil"/>
            <w:left w:color="78736e"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Actualizado en noviembre de 2022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right"/>
            <w:rPr>
              <w:b w:val="1"/>
              <w:sz w:val="14"/>
              <w:szCs w:val="14"/>
            </w:rPr>
          </w:pP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firstLine="0"/>
      <w:jc w:val="left"/>
      <w:rPr>
        <w:b w:val="1"/>
        <w:sz w:val="14"/>
        <w:szCs w:val="1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ind w:left="0" w:firstLine="0"/>
    </w:pPr>
    <w:rPr>
      <w:rFonts w:ascii="Helvetica Neue Light" w:cs="Helvetica Neue Light" w:eastAsia="Helvetica Neue Light" w:hAnsi="Helvetica Neue Light"/>
      <w:color w:val="df2f26"/>
      <w:sz w:val="42"/>
      <w:szCs w:val="42"/>
    </w:rPr>
  </w:style>
  <w:style w:type="paragraph" w:styleId="Heading2">
    <w:name w:val="heading 2"/>
    <w:basedOn w:val="Normal"/>
    <w:next w:val="Normal"/>
    <w:pPr>
      <w:keepNext w:val="1"/>
      <w:keepLines w:val="1"/>
      <w:pageBreakBefore w:val="0"/>
    </w:pPr>
    <w:rPr>
      <w:b w:val="1"/>
      <w:sz w:val="28"/>
      <w:szCs w:val="28"/>
    </w:rPr>
  </w:style>
  <w:style w:type="paragraph" w:styleId="Heading3">
    <w:name w:val="heading 3"/>
    <w:basedOn w:val="Normal"/>
    <w:next w:val="Normal"/>
    <w:pPr>
      <w:keepNext w:val="1"/>
      <w:keepLines w:val="1"/>
      <w:pageBreakBefore w:val="0"/>
    </w:pPr>
    <w:rPr>
      <w:color w:val="d72526"/>
      <w:sz w:val="28"/>
      <w:szCs w:val="28"/>
    </w:rPr>
  </w:style>
  <w:style w:type="paragraph" w:styleId="Heading4">
    <w:name w:val="heading 4"/>
    <w:basedOn w:val="Normal"/>
    <w:next w:val="Normal"/>
    <w:pPr>
      <w:keepNext w:val="1"/>
      <w:keepLines w:val="1"/>
      <w:pageBreakBefore w:val="0"/>
      <w:spacing w:after="160" w:lineRule="auto"/>
      <w:ind w:left="0" w:firstLine="0"/>
    </w:pPr>
    <w:rPr>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line="240" w:lineRule="auto"/>
    </w:pPr>
    <w:rPr>
      <w:rFonts w:ascii="Helvetica Neue Light" w:cs="Helvetica Neue Light" w:eastAsia="Helvetica Neue Light" w:hAnsi="Helvetica Neue Light"/>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ind w:left="0" w:firstLine="0"/>
    </w:pPr>
    <w:rPr>
      <w:rFonts w:ascii="Helvetica Neue Light" w:cs="Helvetica Neue Light" w:eastAsia="Helvetica Neue Light" w:hAnsi="Helvetica Neue Light"/>
      <w:color w:val="df2f26"/>
      <w:sz w:val="42"/>
      <w:szCs w:val="42"/>
    </w:rPr>
  </w:style>
  <w:style w:type="paragraph" w:styleId="Heading2">
    <w:name w:val="heading 2"/>
    <w:basedOn w:val="Normal"/>
    <w:next w:val="Normal"/>
    <w:pPr>
      <w:keepNext w:val="1"/>
      <w:keepLines w:val="1"/>
      <w:pageBreakBefore w:val="0"/>
    </w:pPr>
    <w:rPr>
      <w:b w:val="1"/>
      <w:sz w:val="28"/>
      <w:szCs w:val="28"/>
    </w:rPr>
  </w:style>
  <w:style w:type="paragraph" w:styleId="Heading3">
    <w:name w:val="heading 3"/>
    <w:basedOn w:val="Normal"/>
    <w:next w:val="Normal"/>
    <w:pPr>
      <w:keepNext w:val="1"/>
      <w:keepLines w:val="1"/>
      <w:pageBreakBefore w:val="0"/>
    </w:pPr>
    <w:rPr>
      <w:color w:val="d72526"/>
      <w:sz w:val="28"/>
      <w:szCs w:val="28"/>
    </w:rPr>
  </w:style>
  <w:style w:type="paragraph" w:styleId="Heading4">
    <w:name w:val="heading 4"/>
    <w:basedOn w:val="Normal"/>
    <w:next w:val="Normal"/>
    <w:pPr>
      <w:keepNext w:val="1"/>
      <w:keepLines w:val="1"/>
      <w:pageBreakBefore w:val="0"/>
      <w:spacing w:after="160" w:lineRule="auto"/>
      <w:ind w:left="0" w:firstLine="0"/>
    </w:pPr>
    <w:rPr>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line="240" w:lineRule="auto"/>
    </w:pPr>
    <w:rPr>
      <w:rFonts w:ascii="Helvetica Neue Light" w:cs="Helvetica Neue Light" w:eastAsia="Helvetica Neue Light" w:hAnsi="Helvetica Neue Light"/>
      <w:sz w:val="56"/>
      <w:szCs w:val="56"/>
    </w:rPr>
  </w:style>
  <w:style w:type="paragraph" w:styleId="Subtitle">
    <w:name w:val="Subtitle"/>
    <w:basedOn w:val="Normal"/>
    <w:next w:val="Normal"/>
    <w:pPr>
      <w:keepNext w:val="1"/>
      <w:keepLines w:val="1"/>
      <w:pageBreakBefore w:val="0"/>
      <w:ind w:left="0" w:firstLine="0"/>
    </w:pPr>
    <w:rPr>
      <w:b w:val="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ind w:left="0" w:firstLine="0"/>
    </w:pPr>
    <w:rPr>
      <w:b w:val="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7FgqGAXvLB8" TargetMode="External"/><Relationship Id="rId10" Type="http://schemas.openxmlformats.org/officeDocument/2006/relationships/hyperlink" Target="https://www.youtube.com/watch?v=OQGIgohunVw" TargetMode="External"/><Relationship Id="rId13" Type="http://schemas.openxmlformats.org/officeDocument/2006/relationships/header" Target="header1.xml"/><Relationship Id="rId12" Type="http://schemas.openxmlformats.org/officeDocument/2006/relationships/hyperlink" Target="https://thedecisionlab.com/reference-guide/psychology/schem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gse.harvard.edu/news/uk/20/03/what-makes-effective-anti-bias-training"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projectimplicit.net/resources/about-the-i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N+gT/FOsWlgzvtx7RF3eRbcQ==">CgMxLjAyCGguZ2pkZ3hzMgloLjMwajB6bGwyCWguMWZvYjl0ZTIJaC4zem55c2g3MgloLjJldDkycDAyCGgudHlqY3d0MgloLjNkeTZ2a20yCWguMXQzaDVzZjgAciExeVZRYU5mcjBfMUM3b0IxeDVoeW5zSzI2SFVIR3JwZnc=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