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E4057"/>
          <w:sz w:val="44"/>
          <w:szCs w:val="44"/>
        </w:rPr>
        <w:t xml:space="preserve">ShiftLens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ED RN Staffing Calculator — Algorithm Specification</w:t>
      </w:r>
    </w:p>
    <w:p>
      <w:pPr>
        <w:spacing w:after="40"/>
        <w:jc w:val="center"/>
      </w:pPr>
      <w:r>
        <w:rPr>
          <w:i/>
          <w:iCs/>
          <w:color w:val="555555"/>
          <w:sz w:val="20"/>
          <w:szCs w:val="20"/>
        </w:rPr>
        <w:t xml:space="preserve">Version 3 — smoothed, budget-capped, boarding reframed as FTE/budget output</w:t>
      </w:r>
    </w:p>
    <w:p>
      <w:pPr>
        <w:spacing w:after="400"/>
        <w:jc w:val="center"/>
      </w:pPr>
      <w:r>
        <w:rPr>
          <w:color w:val="555555"/>
          <w:sz w:val="20"/>
          <w:szCs w:val="20"/>
        </w:rPr>
        <w:t xml:space="preserve">Community-ED Staffing Calculator Project · July 2026</w:t>
      </w:r>
    </w:p>
    <w:p>
      <w:pPr>
        <w:pStyle w:val="Heading1"/>
        <w:spacing w:after="160" w:before="320"/>
      </w:pPr>
      <w:r>
        <w:t xml:space="preserve">0. Purpose &amp; Scope</w:t>
      </w:r>
    </w:p>
    <w:p>
      <w:pPr>
        <w:spacing w:after="160"/>
      </w:pPr>
      <w:r>
        <w:t xml:space="preserve">This document specifies the calculation engine for ShiftLens, independent of implementation language and independent of app/UI design. It is written to be handed to a separate UI-design conversation as the authoritative statement of what the engine does, what it needs as input, and what it produces — Section 9 collects the open questions that conversation needs to resolve.</w:t>
      </w:r>
    </w:p>
    <w:p>
      <w:pPr>
        <w:spacing w:after="160"/>
      </w:pPr>
      <w:r>
        <w:t xml:space="preserve">The engine has three independent outputs — a core staffing grid, a shortfall diagnostic, and a boarding FTE/budget summary — deliberately kept separate rather than blended, per ENA's own position that boarded-patient caregiver hours should not be folded into core ED wHPPV calculations.</w:t>
      </w:r>
    </w:p>
    <w:p>
      <w:pPr>
        <w:spacing w:after="160"/>
      </w:pPr>
      <w:r>
        <w:t xml:space="preserve">Every parameter in this spec carries an evidence-status tag, consistent with the project's transparency-table discipline:</w:t>
      </w:r>
    </w:p>
    <w:p>
      <w:pPr>
        <w:spacing w:after="160"/>
      </w:pPr>
      <w:r>
        <w:rPr>
          <w:b/>
          <w:bCs/>
          <w:color w:val="1B5E20"/>
          <w:sz w:val="18"/>
          <w:szCs w:val="18"/>
        </w:rPr>
        <w:t xml:space="preserve"> [ESTABLISHED] </w:t>
      </w:r>
      <w:r>
        <w:t xml:space="preserve"> direct empirical measurement, multi-site.  </w:t>
      </w:r>
      <w:r>
        <w:rPr>
          <w:b/>
          <w:bCs/>
          <w:color w:val="0D47A1"/>
          <w:sz w:val="18"/>
          <w:szCs w:val="18"/>
        </w:rPr>
        <w:t xml:space="preserve"> [CONSENSUS] </w:t>
      </w:r>
      <w:r>
        <w:t xml:space="preserve"> professional-society guideline position.  </w:t>
      </w:r>
      <w:r>
        <w:rPr>
          <w:b/>
          <w:bCs/>
          <w:color w:val="E65100"/>
          <w:sz w:val="18"/>
          <w:szCs w:val="18"/>
        </w:rPr>
        <w:t xml:space="preserve"> [CONVENTION] </w:t>
      </w:r>
      <w:r>
        <w:t xml:space="preserve"> common industry practice, not independently validated.  </w:t>
      </w:r>
      <w:r>
        <w:rPr>
          <w:b/>
          <w:bCs/>
          <w:color w:val="B71C1C"/>
          <w:sz w:val="18"/>
          <w:szCs w:val="18"/>
        </w:rPr>
        <w:t xml:space="preserve"> [ASSUMPTION] </w:t>
      </w:r>
      <w:r>
        <w:t xml:space="preserve"> no evidence base — an engineering starting point, exposed so it can be overridden.  </w:t>
      </w:r>
      <w:r>
        <w:rPr>
          <w:b/>
          <w:bCs/>
          <w:color w:val="4A148C"/>
          <w:sz w:val="18"/>
          <w:szCs w:val="18"/>
        </w:rPr>
        <w:t xml:space="preserve"> [USER INPUT] </w:t>
      </w:r>
      <w:r>
        <w:t xml:space="preserve"> ED-specific data or policy choice; never hardcoded.</w:t>
      </w:r>
    </w:p>
    <w:p>
      <w:pPr>
        <w:pStyle w:val="Heading1"/>
        <w:spacing w:after="160" w:before="320"/>
      </w:pPr>
      <w:r>
        <w:t xml:space="preserve">1. Inputs</w:t>
      </w:r>
    </w:p>
    <w:p>
      <w:pPr>
        <w:spacing w:after="160"/>
      </w:pPr>
      <w:r>
        <w:t xml:space="preserve">All inputs are generic — no NYPW-specific values are built into the engine. NYPW's dataset is test data only, used to validate the calculation, never to seed defaults.</w:t>
      </w:r>
    </w:p>
    <w:p>
      <w:pPr>
        <w:pStyle w:val="Heading2"/>
        <w:spacing w:after="120" w:before="260"/>
      </w:pPr>
      <w:r>
        <w:t xml:space="preserve">1.1 Required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shd w:fill="2E405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shd w:fill="2E405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Grain</w:t>
            </w:r>
          </w:p>
        </w:tc>
        <w:tc>
          <w:tcPr>
            <w:tcW w:type="dxa" w:w="4760"/>
            <w:shd w:fill="2E405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Arrivals</w:t>
            </w:r>
          </w:p>
        </w:tc>
        <w:tc>
          <w:tcPr>
            <w:tcW w:type="dxa" w:w="24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168 cells: hour-of-day × day-of-week, median count</w:t>
            </w:r>
          </w:p>
        </w:tc>
        <w:tc>
          <w:tcPr>
            <w:tcW w:type="dxa" w:w="476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core demand signal. Minimum viable input — the engine can run on this alone.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 visit volume</w:t>
            </w:r>
          </w:p>
        </w:tc>
        <w:tc>
          <w:tcPr>
            <w:tcW w:type="dxa" w:w="24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figure, or derived</w:t>
            </w:r>
          </w:p>
        </w:tc>
        <w:tc>
          <w:tcPr>
            <w:tcW w:type="dxa" w:w="476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not entered directly, computed as sum(168-cell arrivals) × 52.</w:t>
            </w:r>
          </w:p>
        </w:tc>
      </w:tr>
      <w:tr>
        <w:tc>
          <w:tcPr>
            <w:tcW w:type="dxa" w:w="2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wHPPV target</w:t>
            </w:r>
          </w:p>
        </w:tc>
        <w:tc>
          <w:tcPr>
            <w:tcW w:type="dxa" w:w="24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figure</w:t>
            </w:r>
          </w:p>
        </w:tc>
        <w:tc>
          <w:tcPr>
            <w:tcW w:type="dxa" w:w="476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pre-populated from the EDBA cohort matching the ED's entered volume band; always user-editable — it is framed to end users as “what similar EDs run at,” never a mandated target.</w:t>
            </w:r>
          </w:p>
        </w:tc>
      </w:tr>
      <w:tr>
        <w:tc>
          <w:tcPr>
            <w:tcW w:type="dxa" w:w="22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Shift menu</w:t>
            </w:r>
          </w:p>
        </w:tc>
        <w:tc>
          <w:tcPr>
            <w:tcW w:type="dxa" w:w="24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of (start time, length)</w:t>
            </w:r>
          </w:p>
        </w:tc>
        <w:tc>
          <w:tcPr>
            <w:tcW w:type="dxa" w:w="476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User-defined; no fixed assumption about 8s vs. 12s or shift count.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60"/>
      </w:pPr>
      <w:r>
        <w:t xml:space="preserve">1.2 Optional inputs (graceful degradation if absent)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shd w:fill="2E405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shd w:fill="2E405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Enables</w:t>
            </w:r>
          </w:p>
        </w:tc>
        <w:tc>
          <w:tcPr>
            <w:tcW w:type="dxa" w:w="4360"/>
            <w:shd w:fill="2E405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If absent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ESI mix by hour × day (1-2 / 3 / 4-5 counts)</w:t>
            </w:r>
          </w:p>
        </w:tc>
        <w:tc>
          <w:tcPr>
            <w:tcW w:type="dxa" w:w="24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Acuity reweighting (Step 1b)</w:t>
            </w:r>
          </w:p>
        </w:tc>
        <w:tc>
          <w:tcPr>
            <w:tcW w:type="dxa" w:w="436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allocation runs on raw volume only; a confidence flag is shown.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Admit rate (by hour, or one annual figure)</w:t>
            </w:r>
          </w:p>
        </w:tc>
        <w:tc>
          <w:tcPr>
            <w:tcW w:type="dxa" w:w="24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Boarding line (Step 2)</w:t>
            </w:r>
          </w:p>
        </w:tc>
        <w:tc>
          <w:tcPr>
            <w:tcW w:type="dxa" w:w="436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Boarding output is not produced — not estimated from a placeholder. Prior version's key lesson: a placeholder admit rate materially distorted output and looked like a calculator error rather than a labeled assumption.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Boarding duration by hour × day</w:t>
            </w:r>
          </w:p>
        </w:tc>
        <w:tc>
          <w:tcPr>
            <w:tcW w:type="dxa" w:w="24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Boarding line (Step 2)</w:t>
            </w:r>
          </w:p>
        </w:tc>
        <w:tc>
          <w:tcPr>
            <w:tcW w:type="dxa" w:w="436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Boarding output is not produced.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Boarding ratio target</w:t>
            </w:r>
          </w:p>
        </w:tc>
        <w:tc>
          <w:tcPr>
            <w:tcW w:type="dxa" w:w="24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Boarding line (Step 2)</w:t>
            </w:r>
          </w:p>
        </w:tc>
        <w:tc>
          <w:tcPr>
            <w:tcW w:type="dxa" w:w="436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Defaults to 1:4 within the literature's 1:4–6 convention range; user-adjustable.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 salary + benefit factor</w:t>
            </w:r>
          </w:p>
        </w:tc>
        <w:tc>
          <w:tcPr>
            <w:tcW w:type="dxa" w:w="24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Boarding $ cost layer (Step 2, designed, not yet built)</w:t>
            </w:r>
          </w:p>
        </w:tc>
        <w:tc>
          <w:tcPr>
            <w:tcW w:type="dxa" w:w="436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Dollar-cost output is not produced; FTE/hours outputs still available.</w:t>
            </w:r>
          </w:p>
        </w:tc>
      </w:tr>
    </w:tbl>
    <w:p>
      <w:pPr>
        <w:pStyle w:val="Heading1"/>
        <w:spacing w:after="160" w:before="320"/>
      </w:pPr>
      <w:r>
        <w:t xml:space="preserve">2. Step 1 — Core RN-Hours Allocation</w:t>
      </w:r>
    </w:p>
    <w:p>
      <w:pPr>
        <w:spacing w:after="160"/>
      </w:pPr>
      <w:r>
        <w:t xml:space="preserve">Demand signal: benchmarked arrivals, not occupancy. LOS is deliberately excluded from this step.</w:t>
      </w:r>
    </w:p>
    <w:p>
      <w:pPr>
        <w:pStyle w:val="Heading2"/>
        <w:spacing w:after="120" w:before="260"/>
      </w:pPr>
      <w:r>
        <w:t xml:space="preserve">2.1 Fixed annual total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annual_core_rn_hours_budget = annual_visits × wHPPV_target</w:t>
      </w:r>
      <w:r>
        <w:rPr>
          <w:b/>
          <w:bCs/>
          <w:color w:val="4A148C"/>
          <w:sz w:val="18"/>
          <w:szCs w:val="18"/>
        </w:rPr>
        <w:t xml:space="preserve"> [USER INPUT] </w:t>
      </w:r>
    </w:p>
    <w:p>
      <w:pPr>
        <w:spacing w:after="160"/>
      </w:pPr>
      <w:r>
        <w:t xml:space="preserve">This is the pie. Nothing downstream in Step 1 or 1b is permitted to change its size — only how it is sliced across the 168 cells.</w:t>
      </w:r>
    </w:p>
    <w:p>
      <w:pPr>
        <w:pStyle w:val="Heading2"/>
        <w:spacing w:after="120" w:before="260"/>
      </w:pPr>
      <w:r>
        <w:t xml:space="preserve">2.2 Allocation across hour × day-of-week</w:t>
      </w:r>
    </w:p>
    <w:p>
      <w:pPr>
        <w:spacing w:after="160"/>
      </w:pPr>
      <w:r>
        <w:t xml:space="preserve">For each of the 168 cells: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weighted_arrivals[cell] = raw arrivals[cell] (Step 1b below modifies this if ESI data is present)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cell_share = weighted_arrivals[cell] ÷ Σ(weighted_arrivals across all 168 cells)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cell_core_rn_hours = cell_share × annual_core_rn_hours_budget ÷ 52</w:t>
      </w:r>
    </w:p>
    <w:p>
      <w:pPr>
        <w:spacing w:after="160"/>
      </w:pPr>
      <w:r>
        <w:t xml:space="preserve">Because it is a one-hour bucket, cell_core_rn_hours is simultaneously “RN-hours needed this hour” and “RN headcount needed this hour” (pre-rounding). Summing the 168-cell grid across a year reproduces annual_core_rn_hours_budget exactly, by construction — this reconciliation check should be run on every calculation as a build-in sanity test, not a one-off diagnostic.</w:t>
      </w:r>
    </w:p>
    <w:p>
      <w:pPr>
        <w:pStyle w:val="Heading2"/>
        <w:spacing w:after="120" w:before="260"/>
      </w:pPr>
      <w:r>
        <w:t xml:space="preserve">2.3 Step 1c — day-of-week smoothing</w:t>
      </w:r>
    </w:p>
    <w:p>
      <w:pPr>
        <w:spacing w:after="160"/>
      </w:pPr>
      <w:r>
        <w:t xml:space="preserve">Evidence status: </w:t>
      </w:r>
      <w:r>
        <w:rPr>
          <w:b/>
          <w:bCs/>
          <w:color w:val="B71C1C"/>
          <w:sz w:val="18"/>
          <w:szCs w:val="18"/>
        </w:rPr>
        <w:t xml:space="preserve"> [ASSUMPTION] </w:t>
      </w:r>
      <w:r>
        <w:t xml:space="preserve"> (engineering parameter, not evidence-derived). Applied to the continuous cell_core_rn_hours curve, before rounding or the Step 3 solve.</w:t>
      </w:r>
    </w:p>
    <w:p>
      <w:pPr>
        <w:spacing w:after="160"/>
      </w:pPr>
      <w:r>
        <w:t xml:space="preserve">A single week of real arrival data produces a noisy 168-cell curve. Solving the shift-fit (Step 3) directly against that noise produces jumpy, hard-to-staff schedules where adjacent days swing for no operationally real reason. Smoothing each hour's value against its neighboring days first — before anything downstream sees it — fixes this at the source rather than papering over it in the solve.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smoothed[day, hour] = 0.6 × raw[day, hour] + 0.2 × raw[day−1, hour] + 0.2 × raw[day+1, hour]  — circular across the 7-day cycle (Sunday's “previous day” is Saturday).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Weights are adjustable but must sum to 1 — this is what guarantees the annual total is preserved exactly (verified in testing: reconciliation gap stayed at 0.0000% after smoothing).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Downstream steps (rounding, acuity was already applied upstream, Step 3 solve) all operate on the smoothed curve, not the raw one.</w:t>
      </w:r>
    </w:p>
    <w:p>
      <w:pPr>
        <w:pStyle w:val="Heading1"/>
        <w:spacing w:after="160" w:before="320"/>
      </w:pPr>
      <w:r>
        <w:t xml:space="preserve">3. Step 1b — Acuity Reweighting (subordinate to Step 1)</w:t>
      </w:r>
    </w:p>
    <w:p>
      <w:pPr>
        <w:spacing w:after="160"/>
      </w:pPr>
      <w:r>
        <w:t xml:space="preserve">Evidence status: </w:t>
      </w:r>
      <w:r>
        <w:rPr>
          <w:b/>
          <w:bCs/>
          <w:color w:val="B71C1C"/>
          <w:sz w:val="18"/>
          <w:szCs w:val="18"/>
        </w:rPr>
        <w:t xml:space="preserve"> [ASSUMPTION] </w:t>
      </w:r>
      <w:r>
        <w:t xml:space="preserve">, triangulated from partial, non-US or single-site sources (Clopton et al. 2019 real-time workload correlation; WANE/JDT Belgian multicentre dependency-time spread; AAEM/industry ratio conventions). </w:t>
      </w:r>
      <w:r>
        <w:rPr>
          <w:b/>
          <w:bCs/>
        </w:rPr>
        <w:t xml:space="preserve">The EDBA national regression (volume + acuity vs. wHPPV, R² = 2–3%) is not used here</w:t>
      </w:r>
      <w:r>
        <w:t xml:space="preserve"> — it is far too noisy to size an adjustment; it was a between-ED finding, not a within-ED redistribution tool.</w:t>
      </w:r>
    </w:p>
    <w:p>
      <w:pPr>
        <w:spacing w:after="160"/>
      </w:pPr>
      <w:r>
        <w:t xml:space="preserve">This step only reshapes the fixed pie from Step 1 — it never resizes it. An hour with a heavier high-acuity mix receives a larger slice than raw volume alone would give it; a fast-track-heavy hour receives a smaller slice. The annual total is unchanged.</w:t>
      </w:r>
    </w:p>
    <w:p>
      <w:pPr>
        <w:pStyle w:val="Heading2"/>
        <w:spacing w:after="120" w:before="260"/>
      </w:pPr>
      <w:r>
        <w:t xml:space="preserve">3.1 Weights (starting parameters, user-adjustable)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shd w:fill="2E405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Acuity band</w:t>
            </w:r>
          </w:p>
        </w:tc>
        <w:tc>
          <w:tcPr>
            <w:tcW w:type="dxa" w:w="2000"/>
            <w:shd w:fill="2E405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360"/>
            <w:shd w:fill="2E405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Reference unit</w:t>
            </w:r>
          </w:p>
        </w:tc>
      </w:tr>
      <w:tr>
        <w:tc>
          <w:tcPr>
            <w:tcW w:type="dxa" w:w="4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ESI 1-2 (high acuity)</w:t>
            </w:r>
          </w:p>
        </w:tc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1.75</w:t>
            </w:r>
          </w:p>
        </w:tc>
        <w:tc>
          <w:tcPr>
            <w:tcW w:type="dxa" w:w="336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ESI 3 (mid acuity)</w:t>
            </w:r>
          </w:p>
        </w:tc>
        <w:tc>
          <w:tcPr>
            <w:tcW w:type="dxa" w:w="20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1.00</w:t>
            </w:r>
          </w:p>
        </w:tc>
        <w:tc>
          <w:tcPr>
            <w:tcW w:type="dxa" w:w="336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“typical visit” unit</w:t>
            </w:r>
          </w:p>
        </w:tc>
      </w:tr>
      <w:tr>
        <w:tc>
          <w:tcPr>
            <w:tcW w:type="dxa" w:w="4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ESI 4-5 (fast-track)</w:t>
            </w:r>
          </w:p>
        </w:tc>
        <w:tc>
          <w:tcPr>
            <w:tcW w:type="dxa" w:w="2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0.50</w:t>
            </w:r>
          </w:p>
        </w:tc>
        <w:tc>
          <w:tcPr>
            <w:tcW w:type="dxa" w:w="336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60"/>
      </w:pPr>
      <w:r>
        <w:t xml:space="preserve">3.2 Calculation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weighted_arrivals[cell] = 1.75 × esi12_count[cell] + 1.00 × esi3_count[cell] + 0.50 × esi45_count[cell]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cmi_cell = weighted_arrivals[cell] ÷ raw_arrivals[cell]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cmi_reference = Σ(weighted_arrivals) ÷ Σ(raw_arrivals)  — the ED's own volume-weighted average acuity mix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acuity_adjustment[cell] = cmi_cell ÷ cmi_reference  — normalizing against the ED's own average (not an external standard) is what allows this layer to sit on top of the wHPPV anchor without double-counting whatever “typical” acuity mix is already baked into that anchor</w:t>
      </w:r>
    </w:p>
    <w:p>
      <w:pPr>
        <w:spacing w:after="160"/>
      </w:pPr>
      <w:r>
        <w:t xml:space="preserve">Feed weighted_arrivals (not raw arrivals) into the Step 1.2 allocation when ESI data is present; otherwise Step 1 runs on raw arrivals unmodified.</w:t>
      </w:r>
    </w:p>
    <w:p>
      <w:pPr>
        <w:pStyle w:val="Heading1"/>
        <w:spacing w:after="160" w:before="320"/>
      </w:pPr>
      <w:r>
        <w:t xml:space="preserve">4. Step 2 — Boarding Line (separate output, FTE/budget-framed)</w:t>
      </w:r>
    </w:p>
    <w:p>
      <w:pPr>
        <w:spacing w:after="160"/>
      </w:pPr>
      <w:r>
        <w:t xml:space="preserve">Evidence status: boarding-ratio convention is </w:t>
      </w:r>
      <w:r>
        <w:rPr>
          <w:b/>
          <w:bCs/>
          <w:color w:val="E65100"/>
          <w:sz w:val="18"/>
          <w:szCs w:val="18"/>
        </w:rPr>
        <w:t xml:space="preserve"> [CONVENTION] </w:t>
      </w:r>
      <w:r>
        <w:t xml:space="preserve"> — now cross-validated against Moretz &amp; Chmielewski's full “Throughput, Boarding, and the Bottom Line” presentation (BRG/EDBA Innovations), which states the same 4:1 default directly. Occupancy modeling is used here deliberately, unlike Step 1 — boarding duration is driven by inpatient bed availability and hospital throughput, not by ED nursing staffing levels, so there is no circularity risk analogous to Step 1's LOS problem.</w:t>
      </w:r>
    </w:p>
    <w:p>
      <w:pPr>
        <w:pStyle w:val="Heading2"/>
        <w:spacing w:after="120" w:before="260"/>
      </w:pPr>
      <w:r>
        <w:t xml:space="preserve">4.1 Calculation, per cell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admits_this_hour = arrivals[cell] × admit_rate     [admit_rate is USER INPUT — never a hardcoded placeholder]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boarding_census = admits_this_hour × boarding_duration[cell]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boarding_rn_hours_needed = boarding_census ÷ boarding_ratio     [default 1:4, adjustable within 1:4–6]</w:t>
      </w:r>
    </w:p>
    <w:p>
      <w:pPr>
        <w:pStyle w:val="Heading2"/>
        <w:spacing w:after="120" w:before="260"/>
      </w:pPr>
      <w:r>
        <w:t xml:space="preserve">4.2 Output — FTE/budget summary, not a shift grid</w:t>
      </w:r>
    </w:p>
    <w:p>
      <w:pPr>
        <w:spacing w:after="160"/>
      </w:pPr>
      <w:r>
        <w:rPr>
          <w:b/>
          <w:bCs/>
        </w:rPr>
        <w:t xml:space="preserve">Design change from earlier drafts: boarding is no longer run through the Step 3 shift-fit solver.</w:t>
      </w:r>
      <w:r>
        <w:t xml:space="preserve"> Forcing boarding through a shift-block grid presupposes one specific staffing mechanism (dedicated hold nurses on fixed 12-hour blocks). The real decision — hospital-funded dedicated hold nurses vs. additive ED coverage vs. seasonal hire vs. float/PRN — belongs to hospital leadership, and a grid quietly forecloses that choice. The deck's own recommended method (Productivity Target Buffer) is itself a budgeting/accounting tool, not a scheduling tool — it never produces a shift grid — which is the model to follow here.</w:t>
      </w:r>
    </w:p>
    <w:p>
      <w:pPr>
        <w:pStyle w:val="Heading3"/>
        <w:spacing w:after="100" w:before="200"/>
      </w:pPr>
      <w:r>
        <w:t xml:space="preserve">4.2.1 Top-line: annual and weekly FTE (matches the deck's own conversion)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annual_boarding_hours = Σ(boarding_rn_hours_needed across 168 cells) × 52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annual_FTE = annual_boarding_hours ÷ 2080</w:t>
      </w:r>
      <w:r>
        <w:t xml:space="preserve">   — identical to the deck's formula (“Care hours required ÷ 2080 = FTEs devoted to caring for boarding patient”).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weekly_boarding_hours = annual_boarding_hours ÷ 52; weekly_FTE = weekly_boarding_hours ÷ 40 — same figure at a different scale, useful for different audiences (annual for budget planning, weekly for staffing conversations).</w:t>
      </w:r>
    </w:p>
    <w:p>
      <w:pPr>
        <w:pStyle w:val="Heading3"/>
        <w:spacing w:after="100" w:before="200"/>
      </w:pPr>
      <w:r>
        <w:t xml:space="preserve">4.2.2 Per-day-of-week breakdown (extends beyond the deck's method)</w:t>
      </w:r>
    </w:p>
    <w:p>
      <w:pPr>
        <w:spacing w:after="160"/>
      </w:pPr>
      <w:r>
        <w:t xml:space="preserve">The deck's method produces one blended annual/pay-period number — sufficient for a retrospective productivity report, not sufficient for deciding how to staff the gap. Reporting a flat FTE figure would silently assume the need is uniform across the week, which testing on NYPW data showed is false (roughly 2x difference between the highest- and lowest-need days).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daily_hold_hours[day] = Σ(boarding_rn_hours_needed across that day's 24 hours)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avg_concurrent_headcount[day] = mean(boarding_rn_hours_needed across that day's 24 hours)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peak_concurrent_headcount[day] = ceiling(max(boarding_rn_hours_needed across that day's 24 hours))</w:t>
      </w:r>
    </w:p>
    <w:p>
      <w:pPr>
        <w:spacing w:after="160"/>
      </w:pPr>
      <w:r>
        <w:t xml:space="preserve">This is the layer that actually supports the leadership decision: a flat week means a flat FTE add is reasonable; a lopsided week (as found in testing — Sun–Tue running roughly double Thu–Sat) suggests a smaller dedicated core sized to the low days, with float/PRN/overtime absorbing the surge days, rather than staffing every day to the average.</w:t>
      </w:r>
    </w:p>
    <w:p>
      <w:pPr>
        <w:pStyle w:val="Heading3"/>
        <w:spacing w:after="100" w:before="200"/>
      </w:pPr>
      <w:r>
        <w:t xml:space="preserve">4.2.3 Dollar cost layer (designed, not yet built)</w:t>
      </w:r>
    </w:p>
    <w:p>
      <w:pPr>
        <w:spacing w:after="160"/>
      </w:pPr>
      <w:r>
        <w:t xml:space="preserve">Mirrors the deck's third formula line: annualized_cost = annual_boarding_hours × department_RN_salary × (1 + benefit_factor). Requires two additional named USER INPUTs (RN salary, benefit factor) not yet collected — will not be estimated from a placeholder, consistent with the admit-rate lesson in Section 8.</w:t>
      </w:r>
    </w:p>
    <w:p>
      <w:pPr>
        <w:pStyle w:val="Heading3"/>
        <w:spacing w:after="100" w:before="200"/>
      </w:pPr>
      <w:r>
        <w:t xml:space="preserve">4.2.4 Seasonality caveat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boarding figures above are a rolling 12-month average. Boarding is more seasonal than arrivals, and the MVP has no season dimension — this output should carry a stronger caveat than the core grid: treat it as a floor likely to understate peak-season (e.g., winter surge) boarding need.</w:t>
      </w:r>
    </w:p>
    <w:p>
      <w:pPr>
        <w:pStyle w:val="Heading1"/>
        <w:spacing w:after="160" w:before="320"/>
      </w:pPr>
      <w:r>
        <w:t xml:space="preserve">5. Step 3 — Fit to Shift Menu (core only; boarding never enters this step)</w:t>
      </w:r>
    </w:p>
    <w:p>
      <w:pPr>
        <w:pStyle w:val="Heading2"/>
        <w:spacing w:after="120" w:before="260"/>
      </w:pPr>
      <w:r>
        <w:t xml:space="preserve">5.1 Hourly requirement</w:t>
      </w:r>
    </w:p>
    <w:p>
      <w:pPr>
        <w:spacing w:after="160"/>
      </w:pPr>
      <w:r>
        <w:t xml:space="preserve">hourly_requirement[cell] = ceiling(cell_core_rn_hours_smoothed[cell])  — the smoothed Step 1c curve, core only.</w:t>
      </w:r>
    </w:p>
    <w:p>
      <w:pPr>
        <w:pStyle w:val="Heading2"/>
        <w:spacing w:after="120" w:before="260"/>
      </w:pPr>
      <w:r>
        <w:t xml:space="preserve">5.2 Full-coverage solve (used as an upper bound, not the final answer)</w:t>
      </w:r>
    </w:p>
    <w:p>
      <w:pPr>
        <w:spacing w:after="160"/>
      </w:pPr>
      <w:r>
        <w:t xml:space="preserve">For each day independently, first solve exactly for the minimum headcount per shift-menu slot that fully covers every hour — a small covering problem (N unknowns/day for an N-shift menu), solvable by direct search at this scale rather than a general solver library.</w:t>
      </w:r>
    </w:p>
    <w:p>
      <w:pPr>
        <w:pStyle w:val="Heading2"/>
        <w:spacing w:after="120" w:before="260"/>
      </w:pPr>
      <w:r>
        <w:t xml:space="preserve">5.3 Budget-capped trim (the actual output)</w:t>
      </w:r>
    </w:p>
    <w:p>
      <w:pPr>
        <w:spacing w:after="160"/>
      </w:pPr>
      <w:r>
        <w:rPr>
          <w:b/>
          <w:bCs/>
        </w:rPr>
        <w:t xml:space="preserve">“Cover every peak hour, no matter the cost” was tested and rejected</w:t>
      </w:r>
      <w:r>
        <w:t xml:space="preserve"> — it produced 48% overcoverage against the wHPPV budget on real NYPW data. The corrected objective caps total scheduled hours near budget and accepts — and reports — shortfall, rather than silently over-scheduling.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cap_hours = weekly_budget_hours × (1 + HOURS_BUDGET_TOLERANCE)   [tolerance default ±10%, POLICY PARAMETER, user-adjustable]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Starting from the full-coverage solution, greedily remove one unit of headcount at a time — always the unit whose removal adds the least shortfall per hour of schedule it frees up — until total scheduled hours ≤ cap_hours.</w:t>
      </w:r>
    </w:p>
    <w:p>
      <w:pPr>
        <w:pStyle w:val="Heading2"/>
        <w:spacing w:after="120" w:before="260"/>
      </w:pPr>
      <w:r>
        <w:t xml:space="preserve">5.4 Transition-hour weighting</w:t>
      </w:r>
    </w:p>
    <w:p>
      <w:pPr>
        <w:spacing w:after="160"/>
      </w:pPr>
      <w:r>
        <w:t xml:space="preserve">Evidence status: </w:t>
      </w:r>
      <w:r>
        <w:rPr>
          <w:b/>
          <w:bCs/>
          <w:color w:val="B71C1C"/>
          <w:sz w:val="18"/>
          <w:szCs w:val="18"/>
        </w:rPr>
        <w:t xml:space="preserve"> [ASSUMPTION] </w:t>
      </w:r>
      <w:r>
        <w:t xml:space="preserve"> (policy parameter). Plain shortfall-counting treats a gap at 3am the same as a gap at a shift-change hour, but a coverage cliff right at a handoff is qualitatively worse — it strips continuity (an experienced nurse tracking a boarder's status) at the exact moment load is highest. Tested and retained as real behavior, not just theory.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hour_weight[h] = TRANSITION_WEIGHT (default 2.5×) if h is within TRANSITION_WINDOW (default 2 hours) of any shift start time, else 1.0.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greedy trim in 5.3 minimizes weighted shortfall, not raw shortfall — this makes the solver reluctant to create a cliff at a handoff without ever hardcoding a specific headcount anywhere.</w:t>
      </w:r>
    </w:p>
    <w:p>
      <w:pPr>
        <w:pStyle w:val="Heading2"/>
        <w:spacing w:after="120" w:before="260"/>
      </w:pPr>
      <w:r>
        <w:t xml:space="preserve">5.5 Outputs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weekly_scheduled_hours = Σ(headcount × shift length) across all slots and days — the idealized weekly staffing grid.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overcoverage_pct = (weekly_scheduled_hours − weekly_budget_hours) ÷ weekly_budget_hours</w:t>
      </w:r>
      <w:r>
        <w:t xml:space="preserve">  — should land within the configured tolerance by construction.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Shortfall table: every (day, hour) where scheduled coverage &lt; requirement, with the deficit size — reported explicitly alongside the grid, never netted against it. Validated finding: a schedule can show realized wHPPV above the benchmark target in aggregate while specific hours are still genuinely short, because hours trapped in low-demand troughs by fixed-length blocks count toward the total the same as hours that matter. The wHPPV figure and the shortfall table must always be shown together.</w:t>
      </w:r>
    </w:p>
    <w:p>
      <w:pPr>
        <w:pStyle w:val="Heading2"/>
        <w:spacing w:after="120" w:before="260"/>
      </w:pPr>
      <w:r>
        <w:t xml:space="preserve">5.6 ENA floor — corrected scope</w:t>
      </w:r>
    </w:p>
    <w:p>
      <w:pPr>
        <w:spacing w:after="160"/>
      </w:pPr>
      <w:r>
        <w:rPr>
          <w:b/>
          <w:bCs/>
        </w:rPr>
        <w:t xml:space="preserve">Correction: the ENA 2-RN floor applies at the department level, not per shift-slot.</w:t>
      </w:r>
      <w:r>
        <w:t xml:space="preserve"> An earlier draft of this solver forced every individual shift-slot to a minimum of 2, which is wrong — it produced nonsensical results (inflated totals) and isn't what ENA's guidance says. At NYPW's volume this floor is not binding regardless; it should still be implemented as a department-level check (min headcount on duty at any hour, summed across all overlapping slots ≥ 2), not folded into the per-slot solve.</w:t>
      </w:r>
    </w:p>
    <w:p>
      <w:pPr>
        <w:pStyle w:val="Heading2"/>
        <w:spacing w:after="120" w:before="260"/>
      </w:pPr>
      <w:r>
        <w:t xml:space="preserve">5.7 Validated finding: shift start-time materially changes both shortfall and mid-shift utilization</w:t>
      </w:r>
    </w:p>
    <w:p>
      <w:pPr>
        <w:spacing w:after="160"/>
      </w:pPr>
      <w:r>
        <w:t xml:space="preserve">Testing 11a–11p vs. 10a–10p mid-shift starts (same budget, same tolerance) found: total weekly shortfall dropped 18% (124 → 102 hours), and mid-shift headcount rose from a solver-driven 0–2 to 3–4 — closer to real-world practice — purely from the shift boundary sitting somewhere the arrivals data better supports. This was a genuine trade (evening-tail coverage at hour 22 got worse even as the total improved), not a free win. This is not yet a rule in the engine — it is evidence that shift-menu positioning is a real lever worth exposing as something a user can test, not just a fixed input (see Section 9).</w:t>
      </w:r>
    </w:p>
    <w:p>
      <w:pPr>
        <w:pStyle w:val="Heading1"/>
        <w:spacing w:after="160" w:before="320"/>
      </w:pPr>
      <w:r>
        <w:t xml:space="preserve">6. Outputs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shd w:fill="2E405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600"/>
            <w:shd w:fill="2E405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4160"/>
            <w:shd w:fill="2E405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staffing grid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× shift-slot headcount</w:t>
            </w:r>
          </w:p>
        </w:tc>
        <w:tc>
          <w:tcPr>
            <w:tcW w:type="dxa" w:w="416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idealized schedule — the primary deliverable.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Shortfall diagnostic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Overcoverage % + (day, hour, deficit) table</w:t>
            </w:r>
          </w:p>
        </w:tc>
        <w:tc>
          <w:tcPr>
            <w:tcW w:type="dxa" w:w="416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always be shown alongside any wHPPV figure — see 5.5.</w:t>
            </w:r>
          </w:p>
        </w:tc>
      </w:tr>
      <w:tr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Boarding FTE/budget summary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 + weekly FTE, per-day-of-week hours/headcount, optional $ cost</w:t>
            </w:r>
          </w:p>
        </w:tc>
        <w:tc>
          <w:tcPr>
            <w:tcW w:type="dxa" w:w="416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Separate budget ask; deliberately not a shift grid — see Section 4.2.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Transparency panel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Parameter list with evidence-status tags</w:t>
            </w:r>
          </w:p>
        </w:tc>
        <w:tc>
          <w:tcPr>
            <w:tcW w:type="dxa" w:w="416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non-required input shown with its tag and default; nothing silently hardcoded.</w:t>
            </w:r>
          </w:p>
        </w:tc>
      </w:tr>
    </w:tbl>
    <w:p>
      <w:pPr>
        <w:pStyle w:val="Heading1"/>
        <w:spacing w:after="160" w:before="320"/>
      </w:pPr>
      <w:r>
        <w:t xml:space="preserve">7. Explicitly Out of Scope for This Spec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App/UI design — inputs above define the data contract, not the interface; Section 9 is the handoff to that conversation.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Alternative shift-menu search / cost-savings comparison across menus, beyond the single-menu diagnostic in 5.5 (deferred past MVP).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Seasonality for arrivals or boarding (known gap, most acute for boarding — Section 4.2.4).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Monte Carlo simulation of arrivals/boarding — considered and explicitly declined for the core engine. Point estimates (medians) are kept as the generation method; simulation would add real value specifically for boarding's tail risk (right-skewed, most volatile component) but only as an optional evaluation layer run on top of an already-generated schedule, not as a replacement for the deterministic engine. Not built.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Dollar cost layer for boarding (designed in 4.2.3, not yet built — needs two more named inputs).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Validation against NYPW's or any other site's actual historical staffing — this spec should be pressure-tested against real data as a distinct step, not assumed correct because it reconciles internally.</w:t>
      </w:r>
    </w:p>
    <w:p>
      <w:pPr>
        <w:pStyle w:val="Heading1"/>
        <w:spacing w:after="160" w:before="320"/>
      </w:pPr>
      <w:r>
        <w:t xml:space="preserve">8. Change Log vs. Prior (R Prototype)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2E405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5360"/>
            <w:shd w:fill="2E4057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4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allocation now uses raw/weighted arrivals directly, not LOS-derived occupancy via Little's Law</w:t>
            </w:r>
          </w:p>
        </w:tc>
        <w:tc>
          <w:tcPr>
            <w:tcW w:type="dxa" w:w="536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Circularity: staffing levels affect LOS, so using LOS to size staffing re-derives current (possibly under-resourced) reality.</w:t>
            </w:r>
          </w:p>
        </w:tc>
      </w:tr>
      <w:tr>
        <w:tc>
          <w:tcPr>
            <w:tcW w:type="dxa" w:w="40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Removed per-hour percentile-based variability buffer (Wan et al. Scenario-2 SD) and the Z_SAFETY_MULTIPLIER policy buffer from core allocation</w:t>
            </w:r>
          </w:p>
        </w:tc>
        <w:tc>
          <w:tcPr>
            <w:tcW w:type="dxa" w:w="536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Simplification; this machinery was the major source of complexity without a proportionate accuracy gain once occupancy was removed.</w:t>
            </w:r>
          </w:p>
        </w:tc>
      </w:tr>
      <w:tr>
        <w:tc>
          <w:tcPr>
            <w:tcW w:type="dxa" w:w="4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Admit rate is now a required user input for the boarding line; boarding output is withheld (not estimated) if absent</w:t>
            </w:r>
          </w:p>
        </w:tc>
        <w:tc>
          <w:tcPr>
            <w:tcW w:type="dxa" w:w="536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prior placeholder (20%) materially distorted output and was mistaken for a calculator error rather than a labeled assumption.</w:t>
            </w:r>
          </w:p>
        </w:tc>
      </w:tr>
      <w:tr>
        <w:tc>
          <w:tcPr>
            <w:tcW w:type="dxa" w:w="40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Shift-fit is a menu-driven covering-problem solve, not a fixed 8h/12h mixed menu</w:t>
            </w:r>
          </w:p>
        </w:tc>
        <w:tc>
          <w:tcPr>
            <w:tcW w:type="dxa" w:w="536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 EDs run fixed, site-specific shift structures (e.g., NYPW's 7a-7p / 11a-11p / 7p-7a); the engine must not assume a generic menu.</w:t>
            </w:r>
          </w:p>
        </w:tc>
      </w:tr>
      <w:tr>
        <w:tc>
          <w:tcPr>
            <w:tcW w:type="dxa" w:w="4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Boarding occupancy still uses Little's Law (admits × boarding duration)</w:t>
            </w:r>
          </w:p>
        </w:tc>
        <w:tc>
          <w:tcPr>
            <w:tcW w:type="dxa" w:w="536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circularity risk here — boarding duration is driven by inpatient throughput, not ED nurse staffing — so this is retained where the prior LOS-based core calculation was not.</w:t>
            </w:r>
          </w:p>
        </w:tc>
      </w:tr>
      <w:tr>
        <w:tc>
          <w:tcPr>
            <w:tcW w:type="dxa" w:w="40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Step 1c circular day-of-week smoothing</w:t>
            </w:r>
          </w:p>
        </w:tc>
        <w:tc>
          <w:tcPr>
            <w:tcW w:type="dxa" w:w="536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Raw single-week data produced jumpy, unstaffable shift-fit solutions; smoothing fixes this at the source, preserves the annual total exactly.</w:t>
            </w:r>
          </w:p>
        </w:tc>
      </w:tr>
      <w:tr>
        <w:tc>
          <w:tcPr>
            <w:tcW w:type="dxa" w:w="4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 3 rebuilt: budget-capped shortfall minimization instead of “cover every peak, minimize hours”</w:t>
            </w:r>
          </w:p>
        </w:tc>
        <w:tc>
          <w:tcPr>
            <w:tcW w:type="dxa" w:w="536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prior objective produced 48% overcoverage on real data — mathematically correct given its own goal, but the goal was wrong. Correct behavior caps hours and reports shortfall honestly.</w:t>
            </w:r>
          </w:p>
        </w:tc>
      </w:tr>
      <w:tr>
        <w:tc>
          <w:tcPr>
            <w:tcW w:type="dxa" w:w="40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transition-hour weighting to the Step 3 objective</w:t>
            </w:r>
          </w:p>
        </w:tc>
        <w:tc>
          <w:tcPr>
            <w:tcW w:type="dxa" w:w="536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Plain shortfall-counting is blind to coverage cliffs at shift handoffs, which matter more than equivalent shortfall mid-shift for continuity of care.</w:t>
            </w:r>
          </w:p>
        </w:tc>
      </w:tr>
      <w:tr>
        <w:tc>
          <w:tcPr>
            <w:tcW w:type="dxa" w:w="4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 floor corrected to department-level, removed from per-shift-slot solve</w:t>
            </w:r>
          </w:p>
        </w:tc>
        <w:tc>
          <w:tcPr>
            <w:tcW w:type="dxa" w:w="536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Per-slot floor was a modeling error — not what ENA guidance says, and it inflated totals without cause.</w:t>
            </w:r>
          </w:p>
        </w:tc>
      </w:tr>
      <w:tr>
        <w:tc>
          <w:tcPr>
            <w:tcW w:type="dxa" w:w="40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Boarding output reframed from a shift grid to an FTE/budget summary (annual + weekly FTE, per-day-of-week detail, optional $ layer), aligned with Moretz &amp; Chmielewski's Productivity Target Buffer method</w:t>
            </w:r>
          </w:p>
        </w:tc>
        <w:tc>
          <w:tcPr>
            <w:tcW w:type="dxa" w:w="536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shift grid presupposes dedicated hold nurses on fixed blocks as the only staffing mechanism; leadership needs to choose between that, additive coverage, float/PRN, or seasonal hire — an FTE/budget framing keeps that choice open, and matches how the deck itself presents boarding cost.</w:t>
            </w:r>
          </w:p>
        </w:tc>
      </w:tr>
    </w:tbl>
    <w:p>
      <w:pPr>
        <w:pStyle w:val="Heading1"/>
        <w:spacing w:after="160" w:before="320"/>
      </w:pPr>
      <w:r>
        <w:t xml:space="preserve">9. Handoff to UI/App Design Planning</w:t>
      </w:r>
    </w:p>
    <w:p>
      <w:pPr>
        <w:spacing w:after="160"/>
      </w:pPr>
      <w:r>
        <w:t xml:space="preserve">This section exists to prime a separate conversation focused on interface design. The algorithm above is considered settled for MVP; the questions below are UI/product decisions, not calculation questions.</w:t>
      </w:r>
    </w:p>
    <w:p>
      <w:pPr>
        <w:pStyle w:val="Heading2"/>
        <w:spacing w:after="120" w:before="260"/>
      </w:pPr>
      <w:r>
        <w:t xml:space="preserve">9.1 What the UI needs to collect</w:t>
      </w:r>
    </w:p>
    <w:p>
      <w:pPr>
        <w:spacing w:after="160"/>
      </w:pPr>
      <w:r>
        <w:t xml:space="preserve">All inputs from Section 1, presented as a generic onboarding flow — no ED-specific defaults beyond the EDBA-cohort wHPPV pre-fill. NYPW's data must never appear as seeded defaults in the shipped product; it is validation data only.</w:t>
      </w:r>
    </w:p>
    <w:p>
      <w:pPr>
        <w:pStyle w:val="Heading2"/>
        <w:spacing w:after="120" w:before="260"/>
      </w:pPr>
      <w:r>
        <w:t xml:space="preserve">9.2 What the UI needs to display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Core staffing grid (Section 6) — the primary 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Shortfall diagnostic — must be visible alongside any wHPPV number, not collapsible/hideable in a way that lets a clean-looking wHPPV stand alone (Section 5.5's core finding: aggregate wHPPV can look fine while real hours are short).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Boarding FTE/budget summary (Section 4.2) — presented separately from the core grid, framed as an open decision (dedicated hold nurses / additive coverage / float-PRN / seasonal hire), not a schedule to implement directly.</w:t>
      </w:r>
    </w:p>
    <w:p>
      <w:pPr>
        <w:pStyle w:val="Heading2"/>
        <w:spacing w:after="120" w:before="260"/>
      </w:pPr>
      <w:r>
        <w:t xml:space="preserve">9.3 Open questions for the UI conversation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editing: if a user hand-edits grid headcounts, should the realized wHPPV recompute live (cheap — pure arithmetic, sum(hours)×52÷annual_visits, no re-solve needed)? Should it also live-recheck shortfall against requirements, which needs the Step 3 solver logic exposed to the client rather than run once server-side?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Shift-menu experimentation: Section 5.7 found shift start-time is a real, testable lever. Should the UI let users interactively try alternate start times and compare shortfall/overcoverage side-by-side, or is a fixed menu per ED sufficient for MVP?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Dollar cost layer (4.2.3): build now (two more inputs: RN salary, benefit factor) or defer to a later version?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Implementation language: client-side JavaScript recommended — no backend needed, the full computation (168 cells, small shift-fit search) runs instantly in-browser, matching the target user (no dedicated analytics staff, no install).</w:t>
      </w:r>
    </w:p>
    <w:p>
      <w:pPr>
        <w:pBdr>
          <w:bottom w:val="single" w:color="AAAAAA" w:sz="6" w:space="4"/>
        </w:pBdr>
        <w:spacing w:after="240"/>
      </w:pP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Prepared for Ben · Community-ED staffing calculator project · July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ShiftLens — Algorithm Specification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2026-07-12T14:48:37.212Z</dcterms:created>
  <dcterms:modified xsi:type="dcterms:W3CDTF">2026-07-12T14:48:37.229Z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