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6"/>
        <w:rPr>
          <w:rFonts w:ascii="HY신명조" w:eastAsia="HY신명조"/>
          <w:sz w:val="30"/>
          <w:szCs w:val="30"/>
        </w:rPr>
      </w:pPr>
      <w:r>
        <w:rPr>
          <w:rFonts w:ascii="HY신명조" w:eastAsia="HY신명조" w:hint="eastAsia"/>
          <w:sz w:val="30"/>
          <w:szCs w:val="30"/>
        </w:rPr>
        <w:t>O</w:t>
      </w:r>
      <w:r>
        <w:rPr>
          <w:rFonts w:ascii="HY신명조" w:eastAsia="HY신명조" w:hint="eastAsia"/>
          <w:sz w:val="30"/>
          <w:szCs w:val="30"/>
        </w:rPr>
        <w:t>ral Cancer &amp; Pathology</w:t>
      </w:r>
      <w:r>
        <w:t xml:space="preserve"> </w:t>
      </w:r>
    </w:p>
    <w:p>
      <w:pPr>
        <w:pStyle w:val="MS"/>
        <w:spacing w:after="240"/>
        <w:rPr>
          <w:rFonts w:ascii="HY신명조" w:eastAsia="HY신명조" w:hAnsi="HY신명조"/>
          <w:sz w:val="22"/>
          <w:szCs w:val="22"/>
        </w:rPr>
      </w:pPr>
      <w:r>
        <w:rPr>
          <w:rFonts w:ascii="돋움체" w:eastAsia="돋움체" w:hAnsi="돋움체" w:hint="eastAsia"/>
          <w:b/>
          <w:bCs/>
          <w:sz w:val="24"/>
          <w:szCs w:val="24"/>
        </w:rPr>
        <w:t>치은</w:t>
      </w:r>
      <w:r>
        <w:rPr>
          <w:rFonts w:ascii="돋움체" w:eastAsia="돋움체" w:hAnsi="돋움체"/>
          <w:b/>
          <w:bCs/>
          <w:sz w:val="24"/>
          <w:szCs w:val="24"/>
        </w:rPr>
        <w:t xml:space="preserve"> 사마귀양 병변의 </w:t>
      </w:r>
      <w:r>
        <w:rPr>
          <w:rFonts w:ascii="돋움체" w:eastAsia="돋움체" w:hAnsi="돋움체" w:hint="eastAsia"/>
          <w:b/>
          <w:bCs/>
          <w:sz w:val="24"/>
          <w:szCs w:val="24"/>
        </w:rPr>
        <w:t>임상병리학적 감별 진단</w:t>
      </w:r>
      <w:r>
        <w:rPr>
          <w:rFonts w:ascii="돋움체" w:eastAsia="돋움체" w:hAnsi="돋움체"/>
          <w:b/>
          <w:bCs/>
          <w:sz w:val="24"/>
          <w:szCs w:val="24"/>
        </w:rPr>
        <w:t>: Verruciform Xanthoma</w:t>
      </w:r>
      <w:r>
        <w:rPr>
          <w:rFonts w:ascii="돋움체" w:eastAsia="돋움체" w:hAnsi="돋움체" w:hint="eastAsia"/>
          <w:b/>
          <w:bCs/>
          <w:sz w:val="24"/>
          <w:szCs w:val="24"/>
        </w:rPr>
        <w:t xml:space="preserve"> 3례를 중심으로 한 증례보고</w:t>
      </w:r>
    </w:p>
    <w:p>
      <w:pPr>
        <w:pStyle w:val="MS"/>
        <w:spacing w:after="240"/>
        <w:rPr>
          <w:rFonts w:ascii="HY신명조" w:eastAsia="HY신명조" w:hAnsi="HY신명조"/>
          <w:sz w:val="22"/>
          <w:szCs w:val="22"/>
        </w:rPr>
      </w:pPr>
      <w:r>
        <w:rPr>
          <w:rFonts w:ascii="HY신명조" w:eastAsia="HY신명조" w:hAnsi="HY신명조" w:hint="eastAsia"/>
          <w:sz w:val="22"/>
          <w:szCs w:val="22"/>
        </w:rPr>
        <w:t>김소현</w:t>
      </w:r>
      <w:r>
        <w:rPr>
          <w:rFonts w:ascii="HY신명조" w:eastAsia="HY신명조" w:hAnsi="HY신명조"/>
          <w:sz w:val="22"/>
          <w:szCs w:val="22"/>
        </w:rPr>
        <w:t>*, 조진용</w:t>
      </w:r>
    </w:p>
    <w:p>
      <w:pPr>
        <w:pStyle w:val="a5"/>
        <w:rPr>
          <w:lang/>
          <w:rFonts w:ascii="HY신명조" w:eastAsia="HY신명조" w:hAnsi="HY신명조"/>
          <w:sz w:val="22"/>
          <w:szCs w:val="22"/>
          <w:rtl w:val="off"/>
        </w:rPr>
      </w:pPr>
      <w:r>
        <w:rPr>
          <w:rFonts w:ascii="HY신명조" w:eastAsia="HY신명조" w:hAnsi="HY신명조" w:hint="eastAsia"/>
          <w:sz w:val="22"/>
          <w:szCs w:val="22"/>
        </w:rPr>
        <w:t xml:space="preserve">가천대학교 길병원 </w:t>
      </w:r>
      <w:r>
        <w:rPr>
          <w:rFonts w:ascii="HY신명조" w:eastAsia="HY신명조" w:hAnsi="HY신명조" w:hint="eastAsia"/>
          <w:sz w:val="22"/>
          <w:szCs w:val="22"/>
        </w:rPr>
        <w:t>구강악안면외과</w:t>
      </w:r>
    </w:p>
    <w:p>
      <w:pPr>
        <w:pStyle w:val="a5"/>
      </w:pPr>
    </w:p>
    <w:p>
      <w:pPr>
        <w:pStyle w:val="MS"/>
        <w:spacing w:after="240" w:line="220" w:lineRule="exact"/>
        <w:rPr/>
      </w:pPr>
      <w:r>
        <w:rPr>
          <w:rFonts w:hint="eastAsia"/>
        </w:rPr>
        <w:t>서론</w:t>
      </w:r>
    </w:p>
    <w:p>
      <w:pPr>
        <w:pStyle w:val="MS"/>
        <w:spacing w:after="240" w:line="220" w:lineRule="exact"/>
      </w:pPr>
      <w:r>
        <w:rPr>
          <w:rFonts w:hint="eastAsia"/>
        </w:rPr>
        <w:t>구강</w:t>
      </w:r>
      <w:r>
        <w:t xml:space="preserve"> 사마귀양 </w:t>
      </w:r>
      <w:r>
        <w:t>황색종</w:t>
      </w:r>
      <w:r>
        <w:t xml:space="preserve">(Oral Verruciform Xanthoma, OVX)은 임상적으로 전형적인 사마귀 형태부터 </w:t>
      </w:r>
      <w:r>
        <w:t>편평세포암종</w:t>
      </w:r>
      <w:r>
        <w:t xml:space="preserve">(SCC)을 의심케 하는 </w:t>
      </w:r>
      <w:r>
        <w:t>출혈성</w:t>
      </w:r>
      <w:r>
        <w:t xml:space="preserve"> 궤양까지 다양한 양상을 보이는 양성 병변이다. 육안상으로는 </w:t>
      </w:r>
      <w:r>
        <w:t>종양성</w:t>
      </w:r>
      <w:r>
        <w:t xml:space="preserve"> 질환인 </w:t>
      </w:r>
      <w:r>
        <w:t>편평유두종</w:t>
      </w:r>
      <w:r>
        <w:t xml:space="preserve">(Squamous papilloma)이나 </w:t>
      </w:r>
      <w:r>
        <w:t>전암</w:t>
      </w:r>
      <w:r>
        <w:t xml:space="preserve"> </w:t>
      </w:r>
      <w:r>
        <w:t>병소인</w:t>
      </w:r>
      <w:r>
        <w:t xml:space="preserve"> </w:t>
      </w:r>
      <w:r>
        <w:t>편평상피</w:t>
      </w:r>
      <w:r>
        <w:t xml:space="preserve"> 이형성증(Squamous dysplasia)과 구별이 불가능하여 진단적 딜레마를 유발한다. 본 연구</w:t>
      </w:r>
      <w:r>
        <w:rPr>
          <w:rFonts w:hint="eastAsia"/>
        </w:rPr>
        <w:t>는</w:t>
      </w:r>
      <w:r>
        <w:t xml:space="preserve"> 육안상 유사한 형태를 보인 5가지 치은 사마귀양 증례의 임상 및 조직학적 특징을 비교 분석하여 </w:t>
      </w:r>
      <w:r>
        <w:rPr>
          <w:rFonts w:hint="eastAsia"/>
        </w:rPr>
        <w:t>감별진단의</w:t>
      </w:r>
      <w:r>
        <w:t xml:space="preserve"> 중요성을 고찰하고자 한다.</w:t>
      </w:r>
    </w:p>
    <w:p>
      <w:pPr>
        <w:pStyle w:val="MS"/>
        <w:spacing w:after="240" w:line="220" w:lineRule="exact"/>
        <w:rPr/>
      </w:pPr>
      <w:r>
        <w:rPr>
          <w:rFonts w:hint="eastAsia"/>
        </w:rPr>
        <w:t>증례보고</w:t>
      </w:r>
    </w:p>
    <w:p>
      <w:pPr>
        <w:pStyle w:val="MS"/>
        <w:spacing w:after="240" w:line="220" w:lineRule="exact"/>
      </w:pPr>
      <w:r>
        <w:rPr>
          <w:rFonts w:hint="eastAsia"/>
        </w:rPr>
        <w:t>치은</w:t>
      </w:r>
      <w:r>
        <w:t xml:space="preserve"> 사마귀양 병변을 주소로 내원한 5명의 남성 환자(평균 49.4세)를 후향적으로 분석하였다. 5례 모두 초기의 임상적 </w:t>
      </w:r>
      <w:r>
        <w:rPr>
          <w:rFonts w:hint="eastAsia"/>
        </w:rPr>
        <w:t>양상은</w:t>
      </w:r>
      <w:r>
        <w:t xml:space="preserve"> 유사했으나, 조직검사 결과 </w:t>
      </w:r>
      <w:r>
        <w:rPr>
          <w:rFonts w:hint="eastAsia"/>
        </w:rPr>
        <w:t>황색종</w:t>
      </w:r>
      <w:r>
        <w:t xml:space="preserve"> 3례(증례 1~3), </w:t>
      </w:r>
      <w:r>
        <w:t>편평유두종</w:t>
      </w:r>
      <w:r>
        <w:t xml:space="preserve"> 1례(증례 4), </w:t>
      </w:r>
      <w:r>
        <w:t>편평상피</w:t>
      </w:r>
      <w:r>
        <w:t xml:space="preserve"> 이형성증 1례(증례 5)로 </w:t>
      </w:r>
      <w:r>
        <w:t>확진되었다</w:t>
      </w:r>
      <w:r>
        <w:t xml:space="preserve">. </w:t>
      </w:r>
      <w:r>
        <w:rPr>
          <w:rFonts w:hint="eastAsia"/>
        </w:rPr>
        <w:t>황색종으</w:t>
      </w:r>
      <w:r>
        <w:t>로 진단된 증례</w:t>
      </w:r>
      <w:r>
        <w:rPr>
          <w:rFonts w:hint="eastAsia"/>
        </w:rPr>
        <w:t>들</w:t>
      </w:r>
      <w:r>
        <w:t>의 조직 표본에서는 일정한 깊이로 증식된 상피 돌기(rete ridges) 사이의 결합조직</w:t>
      </w:r>
      <w:r>
        <w:rPr>
          <w:rFonts w:hint="eastAsia"/>
        </w:rPr>
        <w:t>에서</w:t>
      </w:r>
      <w:r>
        <w:t xml:space="preserve"> 유두 내에 국한되어 축적</w:t>
      </w:r>
      <w:r>
        <w:rPr>
          <w:rFonts w:hint="eastAsia"/>
        </w:rPr>
        <w:t>된</w:t>
      </w:r>
      <w:r>
        <w:t xml:space="preserve"> 지질 함유 거품 세포(foam cells)가 공통적으로 관찰되었다. 특히 증례 1</w:t>
      </w:r>
      <w:r>
        <w:rPr>
          <w:rFonts w:hint="eastAsia"/>
        </w:rPr>
        <w:t>,2는</w:t>
      </w:r>
      <w:r>
        <w:t xml:space="preserve"> 궤양성으로 악성이 의심되었</w:t>
      </w:r>
      <w:r>
        <w:rPr>
          <w:rFonts w:hint="eastAsia"/>
        </w:rPr>
        <w:t xml:space="preserve">으나 </w:t>
      </w:r>
      <w:r>
        <w:t xml:space="preserve">전형적인 거품 세포 군집이 확인되어 </w:t>
      </w:r>
      <w:r>
        <w:rPr>
          <w:rFonts w:hint="eastAsia"/>
        </w:rPr>
        <w:t>황색종으로 진단되었다</w:t>
      </w:r>
      <w:r>
        <w:t xml:space="preserve">. </w:t>
      </w:r>
      <w:r>
        <w:rPr>
          <w:rFonts w:hint="eastAsia"/>
        </w:rPr>
        <w:t>황색종으</w:t>
      </w:r>
      <w:r>
        <w:t xml:space="preserve">로 강하게 의심되었던 증례 4(Papilloma)는 거품 세포 없이 섬유혈관성 </w:t>
      </w:r>
      <w:r>
        <w:t>중심핵</w:t>
      </w:r>
      <w:r>
        <w:t xml:space="preserve">(fibrovascular core)을 동반한 단순 양성 상피 증식만 관찰되었다. </w:t>
      </w:r>
      <w:r>
        <w:rPr>
          <w:rFonts w:hint="eastAsia"/>
        </w:rPr>
        <w:t>증례</w:t>
      </w:r>
      <w:r>
        <w:t xml:space="preserve"> 5(Dysplasia)는 </w:t>
      </w:r>
      <w:r>
        <w:rPr>
          <w:rFonts w:hint="eastAsia"/>
        </w:rPr>
        <w:t>단</w:t>
      </w:r>
      <w:r>
        <w:t xml:space="preserve">순 사마귀 양상이었으나, 조직학적으로는 뚜렷한 세포 및 구조적 이형성이 확인되어 </w:t>
      </w:r>
      <w:r>
        <w:t>저등급</w:t>
      </w:r>
      <w:r>
        <w:t xml:space="preserve"> </w:t>
      </w:r>
      <w:r>
        <w:t>편평상피</w:t>
      </w:r>
      <w:r>
        <w:t xml:space="preserve"> 이형성증으로 진단되었다.</w:t>
      </w:r>
    </w:p>
    <w:p>
      <w:pPr>
        <w:pStyle w:val="MS"/>
        <w:spacing w:after="240" w:line="220" w:lineRule="exact"/>
        <w:rPr/>
      </w:pPr>
      <w:r>
        <w:rPr>
          <w:rFonts w:hint="eastAsia"/>
        </w:rPr>
        <w:t>결론</w:t>
      </w:r>
    </w:p>
    <w:p>
      <w:pPr>
        <w:pStyle w:val="MS"/>
        <w:spacing w:after="240" w:line="220" w:lineRule="exact"/>
      </w:pPr>
      <w:r>
        <w:t>치은의 사마귀양 병변은 임상적 외관만으로는 거품 세포 침윤이 특징인 반응성 병변(</w:t>
      </w:r>
      <w:r>
        <w:rPr>
          <w:rFonts w:hint="eastAsia"/>
        </w:rPr>
        <w:t>황색종</w:t>
      </w:r>
      <w:r>
        <w:t>), 단순 상피 증식(</w:t>
      </w:r>
      <w:r>
        <w:t>유두종</w:t>
      </w:r>
      <w:r>
        <w:t xml:space="preserve">), 그리고 상피 세포의 이형성을 동반한 </w:t>
      </w:r>
      <w:r>
        <w:t>전암</w:t>
      </w:r>
      <w:r>
        <w:t xml:space="preserve"> </w:t>
      </w:r>
      <w:r>
        <w:t>병소</w:t>
      </w:r>
      <w:r>
        <w:t xml:space="preserve">(이형성증)를 구별할 수 없다. 온순해 보이는 병변이 </w:t>
      </w:r>
      <w:r>
        <w:t>전암</w:t>
      </w:r>
      <w:r>
        <w:t xml:space="preserve"> </w:t>
      </w:r>
      <w:r>
        <w:t>병소일</w:t>
      </w:r>
      <w:r>
        <w:t xml:space="preserve"> 수 있고 악성처럼 보이는 병변이 단순 재발성 양성 </w:t>
      </w:r>
      <w:r>
        <w:t>병소일</w:t>
      </w:r>
      <w:r>
        <w:t xml:space="preserve"> 수 있으므로, 모든 치은 사마귀양 병변은 충분히 깊은 </w:t>
      </w:r>
      <w:r>
        <w:t>생검을</w:t>
      </w:r>
      <w:r>
        <w:t xml:space="preserve"> 통해 병리학적 확진을 내리는 것이 필수적이다.</w:t>
      </w:r>
    </w:p>
    <w:p>
      <w:pPr>
        <w:pStyle w:val="MS"/>
        <w:jc w:val="left"/>
        <w:spacing w:after="240" w:line="220" w:lineRule="exact"/>
        <w:rPr>
          <w:lang/>
          <w:rFonts w:ascii="Arial" w:eastAsia="HY신명조" w:hAnsi="Arial" w:cs="Arial"/>
          <w:b/>
          <w:bCs/>
          <w:sz w:val="24"/>
          <w:szCs w:val="24"/>
          <w:rtl w:val="off"/>
        </w:rPr>
      </w:pPr>
    </w:p>
    <w:p>
      <w:pPr>
        <w:pStyle w:val="MS"/>
        <w:spacing w:after="240"/>
        <w:rPr>
          <w:rFonts w:ascii="Arial" w:eastAsia="HY신명조" w:hAnsi="Arial" w:cs="Arial"/>
          <w:b/>
          <w:bCs/>
          <w:sz w:val="24"/>
          <w:szCs w:val="24"/>
        </w:rPr>
      </w:pPr>
      <w:r>
        <w:rPr>
          <w:rFonts w:ascii="Arial" w:eastAsia="HY신명조" w:hAnsi="Arial" w:cs="Arial"/>
          <w:b/>
          <w:bCs/>
          <w:sz w:val="24"/>
          <w:szCs w:val="24"/>
        </w:rPr>
        <w:t>Clinicopathological Differential Diagnosis of Gingival Verrucous Lesions: A Case Report Focusing on Three Cases of Verruciform Xanthoma</w:t>
      </w:r>
    </w:p>
    <w:p>
      <w:pPr>
        <w:pStyle w:val="MS"/>
        <w:spacing w:after="240"/>
        <w:rPr>
          <w:rFonts w:ascii="Times New Roman" w:eastAsia="HY신명조"/>
          <w:sz w:val="22"/>
        </w:rPr>
      </w:pPr>
      <w:r>
        <w:rPr>
          <w:rFonts w:ascii="Times New Roman" w:eastAsia="HY신명조"/>
          <w:sz w:val="22"/>
        </w:rPr>
        <w:t>So</w:t>
      </w:r>
      <w:r>
        <w:rPr>
          <w:rFonts w:ascii="Times New Roman" w:eastAsia="HY신명조"/>
          <w:sz w:val="22"/>
        </w:rPr>
        <w:t xml:space="preserve"> Hyun Kim*, Jin-Yong Cho</w:t>
      </w:r>
    </w:p>
    <w:p>
      <w:pPr>
        <w:pStyle w:val="MS"/>
        <w:spacing w:after="240"/>
        <w:rPr>
          <w:rFonts w:ascii="Times New Roman" w:eastAsia="HY신명조"/>
          <w:sz w:val="22"/>
        </w:rPr>
      </w:pPr>
      <w:r>
        <w:rPr>
          <w:rFonts w:ascii="Times New Roman" w:eastAsia="HY신명조"/>
          <w:sz w:val="22"/>
        </w:rPr>
        <w:t xml:space="preserve">Department of Oral and Maxillofacial Surgery, </w:t>
      </w:r>
      <w:r>
        <w:rPr>
          <w:rFonts w:ascii="Times New Roman" w:eastAsia="HY신명조"/>
          <w:sz w:val="22"/>
        </w:rPr>
        <w:t>Gachon</w:t>
      </w:r>
      <w:r>
        <w:rPr>
          <w:rFonts w:ascii="Times New Roman" w:eastAsia="HY신명조"/>
          <w:sz w:val="22"/>
        </w:rPr>
        <w:t xml:space="preserve"> University Gil Medical Center</w:t>
      </w:r>
    </w:p>
    <w:p>
      <w:pPr>
        <w:pStyle w:val="MS"/>
        <w:spacing w:after="240" w:line="220" w:lineRule="exact"/>
        <w:rPr>
          <w:lang w:eastAsia="ko-KR"/>
          <w:rFonts w:ascii="Times New Roman"/>
          <w:rtl w:val="off"/>
        </w:rPr>
      </w:pPr>
      <w:r>
        <w:rPr>
          <w:lang w:eastAsia="ko-KR"/>
          <w:rFonts w:ascii="Times New Roman"/>
          <w:rtl w:val="off"/>
        </w:rPr>
        <w:t>Introduction</w:t>
      </w:r>
    </w:p>
    <w:p>
      <w:pPr>
        <w:pStyle w:val="MS"/>
        <w:spacing w:after="240" w:line="220" w:lineRule="exact"/>
        <w:rPr>
          <w:rFonts w:ascii="Times New Roman"/>
        </w:rPr>
      </w:pPr>
      <w:r>
        <w:rPr>
          <w:lang w:eastAsia="ko-KR"/>
          <w:rFonts w:ascii="Times New Roman"/>
          <w:rtl w:val="off"/>
        </w:rPr>
        <w:t>Oral Verruciform Xanthoma (OVX) is a benign lesion that clinically exhibits a highly variable spectrum, ranging from typical verrucous appearances to bleeding ulcers mimicking squamous cell carcinoma (SCC). Macroscopically, it is indistinguishable from neoplastic lesions like squamous papilloma or premalignant lesions such as squamous dysplasia, creating a diagnostic dilemma. This study aims to evaluate the importance of differential diagnosis by comparatively analyzing the clinical and histopathological characteristics of five gingival verrucous cases that presented with similar macroscopic appearances.</w:t>
      </w:r>
    </w:p>
    <w:p>
      <w:pPr>
        <w:pStyle w:val="MS"/>
        <w:spacing w:after="240" w:line="220" w:lineRule="exact"/>
        <w:rPr>
          <w:rFonts w:ascii="Times New Roman"/>
        </w:rPr>
      </w:pPr>
      <w:r>
        <w:rPr>
          <w:rFonts w:ascii="Times New Roman"/>
        </w:rPr>
        <w:t>Case Report</w:t>
      </w:r>
    </w:p>
    <w:p>
      <w:pPr>
        <w:pStyle w:val="MS"/>
        <w:spacing w:after="240" w:line="220" w:lineRule="exact"/>
        <w:rPr>
          <w:rFonts w:ascii="Times New Roman"/>
        </w:rPr>
      </w:pPr>
      <w:r>
        <w:rPr>
          <w:rFonts w:ascii="Times New Roman"/>
        </w:rPr>
        <w:t>We retrospectively analyzed five male patients (mean age: 49.4 years) who presented with gingival verrucous lesions. Despite similar initial clinical presentations in all five cases, histopathologic examination definitively diagnosed 3 cases of Verruciform Xanthoma (Cases 1-3), 1 case of Squamous Papilloma (Case 4), and 1 case of Squamous Dysplasia (Case 5). In the tissue specimens diagnosed as VX, the accumulation of lipid-laden foam cells strictly confined to the connective tissue papillae between uniformly elongated rete ridges was commonly observed. Notably, Cases 1 and 2 were suspected of malignancy due to their ulcerated appearance, but were diagnosed as VX after confirming typical clusters of foam cells. Case 4 (Papilloma), which was strongly suspected to be VX, exhibited only benign epithelial proliferation accompanied by a fibrovascular core, without any foam cells. Case 5 (Dysplasia) presented as a simple verrucous mass, but histologically demonstrated distinct cellular and structural atypia, leading to a diagnosis of low-grade squamous dysplasia.</w:t>
      </w:r>
    </w:p>
    <w:p>
      <w:pPr>
        <w:pStyle w:val="MS"/>
        <w:spacing w:after="240" w:line="220" w:lineRule="exact"/>
        <w:rPr>
          <w:lang/>
          <w:rFonts w:ascii="Times New Roman"/>
          <w:rtl w:val="off"/>
        </w:rPr>
      </w:pPr>
      <w:r>
        <w:rPr>
          <w:lang w:eastAsia="ko-KR"/>
          <w:rFonts w:ascii="Times New Roman"/>
          <w:rtl w:val="off"/>
        </w:rPr>
        <w:t>C</w:t>
      </w:r>
      <w:r>
        <w:rPr>
          <w:lang w:eastAsia="ko-KR"/>
          <w:rFonts w:ascii="Times New Roman"/>
          <w:rtl w:val="off"/>
        </w:rPr>
        <w:t>o</w:t>
      </w:r>
      <w:r>
        <w:rPr>
          <w:lang w:eastAsia="ko-KR"/>
          <w:rFonts w:ascii="Times New Roman"/>
          <w:rtl w:val="off"/>
        </w:rPr>
        <w:t>n</w:t>
      </w:r>
      <w:r>
        <w:rPr>
          <w:lang w:eastAsia="ko-KR"/>
          <w:rFonts w:ascii="Times New Roman"/>
          <w:rtl w:val="off"/>
        </w:rPr>
        <w:t>c</w:t>
      </w:r>
      <w:r>
        <w:rPr>
          <w:lang w:eastAsia="ko-KR"/>
          <w:rFonts w:ascii="Times New Roman"/>
          <w:rtl w:val="off"/>
        </w:rPr>
        <w:t>l</w:t>
      </w:r>
      <w:r>
        <w:rPr>
          <w:lang w:eastAsia="ko-KR"/>
          <w:rFonts w:ascii="Times New Roman"/>
          <w:rtl w:val="off"/>
        </w:rPr>
        <w:t>u</w:t>
      </w:r>
      <w:r>
        <w:rPr>
          <w:lang w:eastAsia="ko-KR"/>
          <w:rFonts w:ascii="Times New Roman"/>
          <w:rtl w:val="off"/>
        </w:rPr>
        <w:t>s</w:t>
      </w:r>
      <w:r>
        <w:rPr>
          <w:lang w:eastAsia="ko-KR"/>
          <w:rFonts w:ascii="Times New Roman"/>
          <w:rtl w:val="off"/>
        </w:rPr>
        <w:t>i</w:t>
      </w:r>
      <w:r>
        <w:rPr>
          <w:lang w:eastAsia="ko-KR"/>
          <w:rFonts w:ascii="Times New Roman"/>
          <w:rtl w:val="off"/>
        </w:rPr>
        <w:t>o</w:t>
      </w:r>
      <w:r>
        <w:rPr>
          <w:lang w:eastAsia="ko-KR"/>
          <w:rFonts w:ascii="Times New Roman"/>
          <w:rtl w:val="off"/>
        </w:rPr>
        <w:t>n</w:t>
      </w:r>
    </w:p>
    <w:p>
      <w:pPr>
        <w:pStyle w:val="MS"/>
        <w:spacing w:after="240" w:line="220" w:lineRule="exact"/>
        <w:rPr>
          <w:rFonts w:ascii="Times New Roman"/>
        </w:rPr>
      </w:pPr>
      <w:r>
        <w:rPr>
          <w:rFonts w:ascii="Times New Roman"/>
        </w:rPr>
        <w:t>Gingival verrucous lesions cannot be differentiated based solely on clinical appearance into a reactive lesion characterized by foam cell infiltration (VX), a simple epithelial proliferation (Papilloma), or a premalignant lesion accompanied by epithelial atypia (Dysplasia). Since a benign-looking lesion can harbor a premalignant disorder and an aggressive-looking lesion can be a simple recurrent benign entity, it is essential to obtain a definitive histopathologic diagnosis for all gingival verrucous lesions through an adequately deep biopsy.</w:t>
      </w:r>
    </w:p>
    <w:sectPr>
      <w:pgSz w:w="11906" w:h="16838"/>
      <w:pgMar w:top="720" w:right="720" w:bottom="720" w:left="720" w:header="851" w:footer="992" w:gutter="0"/>
      <w:cols w:num="2"/>
      <w:docGrid w:linePitch="360"/>
      <w:head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신명조">
    <w:panose1 w:val="02030600000101010101"/>
    <w:family w:val="roman"/>
    <w:charset w:val="81"/>
    <w:notTrueType w:val="false"/>
    <w:sig w:usb0="900002A7" w:usb1="29D77CF9" w:usb2="00000010" w:usb3="00000001" w:csb0="00080000" w:csb1="00000001"/>
  </w:font>
  <w:font w:name="돋움체">
    <w:panose1 w:val="020B0609000101010101"/>
    <w:family w:val="modern"/>
    <w:charset w:val="81"/>
    <w:notTrueType w:val="false"/>
    <w:sig w:usb0="B00002AF" w:usb1="69D77CFB" w:usb2="00000030" w:usb3="00000001" w:csb0="4008009F" w:csb1="DFD70000"/>
  </w:font>
  <w:font w:name="Arial">
    <w:panose1 w:val="020B0604020202020204"/>
    <w:family w:val="swiss"/>
    <w:charset w:val="00"/>
    <w:notTrueType w:val="false"/>
    <w:sig w:usb0="E0002EFF" w:usb1="C000785B" w:usb2="00000009" w:usb3="00000001" w:csb0="400001FF" w:csb1="FFFF0000"/>
  </w:font>
  <w:font w:name="Times New Roman">
    <w:panose1 w:val="02020603050405020304"/>
    <w:family w:val="roman"/>
    <w:charset w:val="00"/>
    <w:notTrueType w:val="false"/>
    <w:sig w:usb0="E0002EFF" w:usb1="C000785B" w:usb2="00000009" w:usb3="00000001" w:csb0="400001FF" w:csb1="FFFF0000"/>
  </w:font>
  <w:font w:name="Century Gothic">
    <w:panose1 w:val="020B0502020202020204"/>
    <w:family w:val="swiss"/>
    <w:charset w:val="00"/>
    <w:notTrueType w:val="false"/>
    <w:sig w:usb0="00000287" w:usb1="00000001" w:usb2="00000001" w:usb3="00000001" w:csb0="2000009F" w:csb1="DFD70000"/>
  </w:font>
  <w:font w:name="맑은 고딕">
    <w:panose1 w:val="020B0503020000020004"/>
    <w:family w:val="modern"/>
    <w:charset w:val="81"/>
    <w:notTrueType w:val="false"/>
    <w:sig w:usb0="9000002F" w:usb1="29D77CFB" w:usb2="00000012" w:usb3="00000001" w:csb0="00080001" w:csb1="00000001"/>
  </w:font>
  <w:font w:name="MS Mincho">
    <w:panose1 w:val="02020609040205080304"/>
    <w:family w:val="modern"/>
    <w:charset w:val="80"/>
    <w:notTrueType w:val="false"/>
    <w:sig w:usb0="A00002BF" w:usb1="68C7FCFB" w:usb2="00000010" w:usb3="00000001" w:csb0="4002009F" w:csb1="DFD70000"/>
  </w:font>
  <w:font w:name="바탕">
    <w:panose1 w:val="02030600000101010101"/>
    <w:family w:val="roman"/>
    <w:charset w:val="81"/>
    <w:notTrueType w:val="false"/>
    <w:sig w:usb0="B00002AF" w:usb1="69D77CFB" w:usb2="00000030" w:usb3="00000001" w:csb0="4008009F" w:csb1="DFD70000"/>
  </w:font>
  <w:font w:name="굴림">
    <w:panose1 w:val="020B0600000101010101"/>
    <w:family w:val="modern"/>
    <w:charset w:val="81"/>
    <w:notTrueType w:val="false"/>
    <w:sig w:usb0="B00002AF" w:usb1="69D77CFB" w:usb2="00000030" w:usb3="00000001" w:csb0="4008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MsoHeader0"/>
      <w:ind w:right="-282"/>
      <w:jc w:val="left"/>
      <w:spacing w:line="312" w:lineRule="auto"/>
      <w:rPr>
        <w:rFonts w:ascii="Century Gothic" w:eastAsia="맑은 고딕" w:hAnsi="Century Gothic"/>
        <w:b/>
        <w:bCs/>
        <w:sz w:val="24"/>
        <w:szCs w:val="24"/>
      </w:rPr>
    </w:pPr>
    <w:r>
      <w:rPr>
        <w:rFonts w:ascii="MS Mincho" w:eastAsia="MS Mincho" w:hAnsi="MS Mincho" w:cs="MS Mincho" w:hint="eastAsia"/>
        <w:sz w:val="26"/>
        <w:szCs w:val="26"/>
      </w:rPr>
      <w:t>▮</w:t>
    </w:r>
    <w:r>
      <w:rPr>
        <w:rFonts w:ascii="Century Gothic" w:eastAsia="맑은 고딕" w:hAnsi="Century Gothic"/>
        <w:b/>
        <w:bCs/>
        <w:sz w:val="24"/>
        <w:szCs w:val="24"/>
      </w:rPr>
      <w:t>K</w:t>
    </w:r>
    <w:r>
      <w:rPr>
        <w:rFonts w:ascii="Century Gothic" w:eastAsia="맑은 고딕" w:hAnsi="Century Gothic" w:hint="eastAsia"/>
        <w:b/>
        <w:bCs/>
        <w:sz w:val="24"/>
        <w:szCs w:val="24"/>
      </w:rPr>
      <w:t>A</w:t>
    </w:r>
    <w:r>
      <w:rPr>
        <w:rFonts w:ascii="Century Gothic" w:eastAsia="맑은 고딕" w:hAnsi="Century Gothic"/>
        <w:b/>
        <w:bCs/>
        <w:sz w:val="24"/>
        <w:szCs w:val="24"/>
      </w:rPr>
      <w:t>OMS</w:t>
    </w:r>
    <w:r>
      <w:rPr>
        <w:rFonts w:ascii="Century Gothic" w:eastAsia="맑은 고딕" w:hAnsi="Century Gothic"/>
        <w:b/>
        <w:bCs/>
        <w:sz w:val="24"/>
        <w:szCs w:val="24"/>
      </w:rPr>
      <w:t xml:space="preserve"> 202</w:t>
    </w:r>
    <w:r>
      <w:rPr>
        <w:rFonts w:ascii="Century Gothic" w:eastAsia="맑은 고딕" w:hAnsi="Century Gothic"/>
        <w:b/>
        <w:bCs/>
        <w:sz w:val="24"/>
        <w:szCs w:val="24"/>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3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eastAsia="맑은 고딕" w:hAnsi="맑은 고딕" w:cs="Times New Roman"/>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11"/>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jc w:val="both"/>
    </w:pPr>
    <w:rPr>
      <w:szCs w:val="22"/>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3"/>
  </w:style>
  <w:style w:type="paragraph" w:styleId="a4">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4"/>
  </w:style>
  <w:style w:type="paragraph" w:customStyle="1" w:styleId="MsoHeader0">
    <w:name w:val="MsoHeader"/>
    <w:basedOn w:val="a"/>
    <w:pPr>
      <w:autoSpaceDE/>
      <w:autoSpaceDN/>
      <w:widowControl/>
      <w:wordWrap/>
      <w:snapToGrid w:val="0"/>
      <w:spacing w:line="384" w:lineRule="auto"/>
    </w:pPr>
    <w:rPr>
      <w:rFonts w:ascii="바탕" w:eastAsia="바탕" w:hAnsi="Times New Roman" w:cs="굴림"/>
      <w:color w:val="000000"/>
      <w:szCs w:val="20"/>
      <w:kern w:val="0"/>
    </w:rPr>
  </w:style>
  <w:style w:type="paragraph" w:customStyle="1" w:styleId="a5">
    <w:name w:val="바탕글"/>
    <w:basedOn w:val="a"/>
    <w:pPr>
      <w:autoSpaceDE/>
      <w:autoSpaceDN/>
      <w:widowControl/>
      <w:wordWrap/>
      <w:snapToGrid w:val="0"/>
      <w:spacing w:line="384" w:lineRule="auto"/>
    </w:pPr>
    <w:rPr>
      <w:rFonts w:ascii="바탕" w:eastAsia="바탕" w:hAnsi="바탕" w:cs="굴림"/>
      <w:color w:val="000000"/>
      <w:szCs w:val="20"/>
      <w:kern w:val="0"/>
    </w:rPr>
  </w:style>
  <w:style w:type="paragraph" w:customStyle="1" w:styleId="MS">
    <w:name w:val="MS바탕글"/>
    <w:basedOn w:val="a"/>
    <w:pPr>
      <w:autoSpaceDE/>
      <w:autoSpaceDN/>
      <w:widowControl/>
      <w:wordWrap/>
      <w:snapToGrid w:val="0"/>
      <w:spacing w:line="384" w:lineRule="auto"/>
    </w:pPr>
    <w:rPr>
      <w:rFonts w:ascii="바탕" w:eastAsia="바탕" w:hAnsi="Times New Roman" w:cs="굴림"/>
      <w:color w:val="000000"/>
      <w:szCs w:val="20"/>
      <w:kern w:val="0"/>
    </w:rPr>
  </w:style>
  <w:style w:type="paragraph" w:styleId="a6">
    <w:name w:val="No Spacing"/>
    <w:uiPriority w:val="1"/>
    <w:qFormat/>
    <w:pPr>
      <w:autoSpaceDE w:val="off"/>
      <w:autoSpaceDN w:val="off"/>
      <w:widowControl w:val="off"/>
      <w:wordWrap w:val="off"/>
      <w:jc w:val="both"/>
    </w:pPr>
    <w:rPr>
      <w:szCs w:val="22"/>
      <w:kern w:val="2"/>
    </w:rPr>
  </w:style>
  <w:style w:type="paragraph" w:styleId="a7">
    <w:name w:val="Revision"/>
    <w:uiPriority w:val="99"/>
    <w:hidden/>
    <w:semiHidden/>
    <w:rPr>
      <w:szCs w:val="22"/>
      <w:kern w:val="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Microsoft Corporation</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dc:creator>
  <cp:keywords/>
  <dc:description/>
  <cp:lastModifiedBy>trauma</cp:lastModifiedBy>
  <cp:revision>1</cp:revision>
  <dcterms:created xsi:type="dcterms:W3CDTF">2026-03-10T14:14:14Z</dcterms:created>
  <dcterms:modified xsi:type="dcterms:W3CDTF">2026-03-12T04:11:59Z</dcterms:modified>
  <cp:version>1100.0100.01</cp:version>
</cp:coreProperties>
</file>