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DA0D06" w14:textId="3FBC12F4" w:rsidR="00D93E71" w:rsidRDefault="00B869A9" w:rsidP="002E114A">
      <w:pPr>
        <w:pStyle w:val="a6"/>
      </w:pPr>
      <w:r w:rsidRPr="00B869A9">
        <w:rPr>
          <w:rFonts w:ascii="HY신명조" w:eastAsia="HY신명조" w:hint="eastAsia"/>
          <w:sz w:val="30"/>
          <w:szCs w:val="30"/>
        </w:rPr>
        <w:t>Oral Cancer &amp; Pathology</w:t>
      </w:r>
    </w:p>
    <w:p w14:paraId="57329125" w14:textId="761C4C8E" w:rsidR="00D93E71" w:rsidRPr="00B869A9" w:rsidRDefault="00B869A9" w:rsidP="00D93E71">
      <w:pPr>
        <w:pStyle w:val="MS"/>
        <w:spacing w:after="240"/>
        <w:jc w:val="left"/>
        <w:rPr>
          <w:rFonts w:ascii="HY신명조" w:eastAsia="HY신명조"/>
        </w:rPr>
      </w:pPr>
      <w:r>
        <w:rPr>
          <w:rFonts w:ascii="HY신명조" w:eastAsia="돋움체" w:hAnsi="HY신명조" w:hint="eastAsia"/>
          <w:b/>
          <w:bCs/>
          <w:sz w:val="24"/>
          <w:szCs w:val="24"/>
        </w:rPr>
        <w:t>골다공증</w:t>
      </w:r>
      <w:r>
        <w:rPr>
          <w:rFonts w:ascii="HY신명조" w:eastAsia="돋움체" w:hAnsi="HY신명조" w:hint="eastAsia"/>
          <w:b/>
          <w:bCs/>
          <w:sz w:val="24"/>
          <w:szCs w:val="24"/>
        </w:rPr>
        <w:t xml:space="preserve"> </w:t>
      </w:r>
      <w:r>
        <w:rPr>
          <w:rFonts w:ascii="HY신명조" w:eastAsia="돋움체" w:hAnsi="HY신명조" w:hint="eastAsia"/>
          <w:b/>
          <w:bCs/>
          <w:sz w:val="24"/>
          <w:szCs w:val="24"/>
        </w:rPr>
        <w:t>환자에서</w:t>
      </w:r>
      <w:r>
        <w:rPr>
          <w:rFonts w:ascii="HY신명조" w:eastAsia="돋움체" w:hAnsi="HY신명조" w:hint="eastAsia"/>
          <w:b/>
          <w:bCs/>
          <w:sz w:val="24"/>
          <w:szCs w:val="24"/>
        </w:rPr>
        <w:t xml:space="preserve"> MRONJ </w:t>
      </w:r>
      <w:r>
        <w:rPr>
          <w:rFonts w:ascii="HY신명조" w:eastAsia="돋움체" w:hAnsi="HY신명조" w:hint="eastAsia"/>
          <w:b/>
          <w:bCs/>
          <w:sz w:val="24"/>
          <w:szCs w:val="24"/>
        </w:rPr>
        <w:t>예측을</w:t>
      </w:r>
      <w:r>
        <w:rPr>
          <w:rFonts w:ascii="HY신명조" w:eastAsia="돋움체" w:hAnsi="HY신명조" w:hint="eastAsia"/>
          <w:b/>
          <w:bCs/>
          <w:sz w:val="24"/>
          <w:szCs w:val="24"/>
        </w:rPr>
        <w:t xml:space="preserve"> </w:t>
      </w:r>
      <w:r>
        <w:rPr>
          <w:rFonts w:ascii="HY신명조" w:eastAsia="돋움체" w:hAnsi="HY신명조" w:hint="eastAsia"/>
          <w:b/>
          <w:bCs/>
          <w:sz w:val="24"/>
          <w:szCs w:val="24"/>
        </w:rPr>
        <w:t>위한</w:t>
      </w:r>
      <w:r>
        <w:rPr>
          <w:rFonts w:ascii="HY신명조" w:eastAsia="돋움체" w:hAnsi="HY신명조" w:hint="eastAsia"/>
          <w:b/>
          <w:bCs/>
          <w:sz w:val="24"/>
          <w:szCs w:val="24"/>
        </w:rPr>
        <w:t xml:space="preserve"> </w:t>
      </w:r>
      <w:r>
        <w:rPr>
          <w:rFonts w:ascii="HY신명조" w:eastAsia="돋움체" w:hAnsi="HY신명조" w:hint="eastAsia"/>
          <w:b/>
          <w:bCs/>
          <w:sz w:val="24"/>
          <w:szCs w:val="24"/>
        </w:rPr>
        <w:t>단순화</w:t>
      </w:r>
      <w:r>
        <w:rPr>
          <w:rFonts w:ascii="HY신명조" w:eastAsia="돋움체" w:hAnsi="HY신명조" w:hint="eastAsia"/>
          <w:b/>
          <w:bCs/>
          <w:sz w:val="24"/>
          <w:szCs w:val="24"/>
        </w:rPr>
        <w:t xml:space="preserve"> </w:t>
      </w:r>
      <w:r>
        <w:rPr>
          <w:rFonts w:ascii="HY신명조" w:eastAsia="돋움체" w:hAnsi="HY신명조" w:hint="eastAsia"/>
          <w:b/>
          <w:bCs/>
          <w:sz w:val="24"/>
          <w:szCs w:val="24"/>
        </w:rPr>
        <w:t>임상</w:t>
      </w:r>
      <w:r>
        <w:rPr>
          <w:rFonts w:ascii="HY신명조" w:eastAsia="돋움체" w:hAnsi="HY신명조" w:hint="eastAsia"/>
          <w:b/>
          <w:bCs/>
          <w:sz w:val="24"/>
          <w:szCs w:val="24"/>
        </w:rPr>
        <w:t xml:space="preserve"> </w:t>
      </w:r>
      <w:r>
        <w:rPr>
          <w:rFonts w:ascii="HY신명조" w:eastAsia="돋움체" w:hAnsi="HY신명조" w:hint="eastAsia"/>
          <w:b/>
          <w:bCs/>
          <w:sz w:val="24"/>
          <w:szCs w:val="24"/>
        </w:rPr>
        <w:t>위험</w:t>
      </w:r>
      <w:r w:rsidR="00E17F0C">
        <w:rPr>
          <w:rFonts w:ascii="HY신명조" w:eastAsia="돋움체" w:hAnsi="HY신명조" w:hint="eastAsia"/>
          <w:b/>
          <w:bCs/>
          <w:sz w:val="24"/>
          <w:szCs w:val="24"/>
        </w:rPr>
        <w:t xml:space="preserve"> </w:t>
      </w:r>
      <w:r>
        <w:rPr>
          <w:rFonts w:ascii="HY신명조" w:eastAsia="돋움체" w:hAnsi="HY신명조" w:hint="eastAsia"/>
          <w:b/>
          <w:bCs/>
          <w:sz w:val="24"/>
          <w:szCs w:val="24"/>
        </w:rPr>
        <w:t>점수의</w:t>
      </w:r>
      <w:r>
        <w:rPr>
          <w:rFonts w:ascii="HY신명조" w:eastAsia="돋움체" w:hAnsi="HY신명조" w:hint="eastAsia"/>
          <w:b/>
          <w:bCs/>
          <w:sz w:val="24"/>
          <w:szCs w:val="24"/>
        </w:rPr>
        <w:t xml:space="preserve"> </w:t>
      </w:r>
      <w:r>
        <w:rPr>
          <w:rFonts w:ascii="HY신명조" w:eastAsia="돋움체" w:hAnsi="HY신명조" w:hint="eastAsia"/>
          <w:b/>
          <w:bCs/>
          <w:sz w:val="24"/>
          <w:szCs w:val="24"/>
        </w:rPr>
        <w:t>개발</w:t>
      </w:r>
    </w:p>
    <w:p w14:paraId="49F71CD8" w14:textId="28EEC48E" w:rsidR="00D93E71" w:rsidRDefault="00B869A9" w:rsidP="00D93E71">
      <w:pPr>
        <w:pStyle w:val="MS"/>
        <w:spacing w:after="240"/>
        <w:jc w:val="left"/>
      </w:pPr>
      <w:r>
        <w:rPr>
          <w:rFonts w:ascii="HY신명조" w:eastAsia="HY신명조" w:hAnsi="HY신명조" w:hint="eastAsia"/>
          <w:sz w:val="22"/>
          <w:szCs w:val="22"/>
        </w:rPr>
        <w:t>정희원</w:t>
      </w:r>
      <w:r w:rsidR="00932DD1">
        <w:rPr>
          <w:rFonts w:ascii="HY신명조" w:eastAsia="HY신명조" w:hAnsi="HY신명조" w:hint="eastAsia"/>
          <w:sz w:val="22"/>
          <w:szCs w:val="22"/>
          <w:vertAlign w:val="superscript"/>
        </w:rPr>
        <w:t>*</w:t>
      </w:r>
      <w:r>
        <w:rPr>
          <w:rFonts w:ascii="HY신명조" w:eastAsia="HY신명조" w:hAnsi="HY신명조" w:hint="eastAsia"/>
          <w:sz w:val="22"/>
          <w:szCs w:val="22"/>
        </w:rPr>
        <w:t>,</w:t>
      </w:r>
      <w:r w:rsidR="00D93E71">
        <w:rPr>
          <w:rFonts w:ascii="HY신명조" w:eastAsia="HY신명조" w:hAnsi="HY신명조" w:hint="eastAsia"/>
          <w:sz w:val="22"/>
          <w:szCs w:val="22"/>
        </w:rPr>
        <w:t xml:space="preserve"> </w:t>
      </w:r>
      <w:r>
        <w:rPr>
          <w:rFonts w:ascii="HY신명조" w:eastAsia="HY신명조" w:hAnsi="HY신명조" w:hint="eastAsia"/>
          <w:sz w:val="22"/>
          <w:szCs w:val="22"/>
        </w:rPr>
        <w:t xml:space="preserve">정윤주, </w:t>
      </w:r>
      <w:proofErr w:type="spellStart"/>
      <w:r>
        <w:rPr>
          <w:rFonts w:ascii="HY신명조" w:eastAsia="HY신명조" w:hAnsi="HY신명조" w:hint="eastAsia"/>
          <w:sz w:val="22"/>
          <w:szCs w:val="22"/>
        </w:rPr>
        <w:t>유철원</w:t>
      </w:r>
      <w:proofErr w:type="spellEnd"/>
      <w:r>
        <w:rPr>
          <w:rFonts w:ascii="HY신명조" w:eastAsia="HY신명조" w:hAnsi="HY신명조" w:hint="eastAsia"/>
          <w:sz w:val="22"/>
          <w:szCs w:val="22"/>
        </w:rPr>
        <w:t xml:space="preserve">, </w:t>
      </w:r>
      <w:proofErr w:type="spellStart"/>
      <w:r>
        <w:rPr>
          <w:rFonts w:ascii="HY신명조" w:eastAsia="HY신명조" w:hAnsi="HY신명조" w:hint="eastAsia"/>
          <w:sz w:val="22"/>
          <w:szCs w:val="22"/>
        </w:rPr>
        <w:t>곽다운</w:t>
      </w:r>
      <w:proofErr w:type="spellEnd"/>
      <w:r>
        <w:rPr>
          <w:rFonts w:ascii="HY신명조" w:eastAsia="HY신명조" w:hAnsi="HY신명조" w:hint="eastAsia"/>
          <w:sz w:val="22"/>
          <w:szCs w:val="22"/>
        </w:rPr>
        <w:t xml:space="preserve">, </w:t>
      </w:r>
      <w:proofErr w:type="spellStart"/>
      <w:r>
        <w:rPr>
          <w:rFonts w:ascii="HY신명조" w:eastAsia="HY신명조" w:hAnsi="HY신명조" w:hint="eastAsia"/>
          <w:sz w:val="22"/>
          <w:szCs w:val="22"/>
        </w:rPr>
        <w:t>안서영</w:t>
      </w:r>
      <w:proofErr w:type="spellEnd"/>
      <w:r>
        <w:rPr>
          <w:rFonts w:ascii="HY신명조" w:eastAsia="HY신명조" w:hAnsi="HY신명조" w:hint="eastAsia"/>
          <w:sz w:val="22"/>
          <w:szCs w:val="22"/>
        </w:rPr>
        <w:t xml:space="preserve">, 박해서, 박성민, </w:t>
      </w:r>
      <w:proofErr w:type="spellStart"/>
      <w:r>
        <w:rPr>
          <w:rFonts w:ascii="HY신명조" w:eastAsia="HY신명조" w:hAnsi="HY신명조" w:hint="eastAsia"/>
          <w:sz w:val="22"/>
          <w:szCs w:val="22"/>
        </w:rPr>
        <w:t>김문영</w:t>
      </w:r>
      <w:proofErr w:type="spellEnd"/>
      <w:r>
        <w:rPr>
          <w:rFonts w:ascii="HY신명조" w:eastAsia="HY신명조" w:hAnsi="HY신명조" w:hint="eastAsia"/>
          <w:sz w:val="22"/>
          <w:szCs w:val="22"/>
        </w:rPr>
        <w:t xml:space="preserve">, </w:t>
      </w:r>
      <w:proofErr w:type="spellStart"/>
      <w:r>
        <w:rPr>
          <w:rFonts w:ascii="HY신명조" w:eastAsia="HY신명조" w:hAnsi="HY신명조" w:hint="eastAsia"/>
          <w:sz w:val="22"/>
          <w:szCs w:val="22"/>
        </w:rPr>
        <w:t>한세진</w:t>
      </w:r>
      <w:proofErr w:type="spellEnd"/>
      <w:r>
        <w:rPr>
          <w:rFonts w:ascii="HY신명조" w:eastAsia="HY신명조" w:hAnsi="HY신명조" w:hint="eastAsia"/>
          <w:sz w:val="22"/>
          <w:szCs w:val="22"/>
        </w:rPr>
        <w:t xml:space="preserve">, </w:t>
      </w:r>
      <w:proofErr w:type="spellStart"/>
      <w:r>
        <w:rPr>
          <w:rFonts w:ascii="HY신명조" w:eastAsia="HY신명조" w:hAnsi="HY신명조" w:hint="eastAsia"/>
          <w:sz w:val="22"/>
          <w:szCs w:val="22"/>
        </w:rPr>
        <w:t>김철환</w:t>
      </w:r>
      <w:proofErr w:type="spellEnd"/>
      <w:r>
        <w:rPr>
          <w:rFonts w:ascii="HY신명조" w:eastAsia="HY신명조" w:hAnsi="HY신명조" w:hint="eastAsia"/>
          <w:sz w:val="22"/>
          <w:szCs w:val="22"/>
        </w:rPr>
        <w:t>, 이재훈</w:t>
      </w:r>
    </w:p>
    <w:p w14:paraId="281A7398" w14:textId="7D961CC7" w:rsidR="00D93E71" w:rsidRDefault="00B869A9" w:rsidP="00D93E71">
      <w:pPr>
        <w:pStyle w:val="a5"/>
      </w:pPr>
      <w:r>
        <w:rPr>
          <w:rFonts w:ascii="HY신명조" w:eastAsia="HY신명조" w:hAnsi="HY신명조" w:hint="eastAsia"/>
          <w:sz w:val="22"/>
          <w:szCs w:val="22"/>
        </w:rPr>
        <w:t xml:space="preserve">단국대학교 치과대학병원 </w:t>
      </w:r>
      <w:proofErr w:type="spellStart"/>
      <w:r>
        <w:rPr>
          <w:rFonts w:ascii="HY신명조" w:eastAsia="HY신명조" w:hAnsi="HY신명조" w:hint="eastAsia"/>
          <w:sz w:val="22"/>
          <w:szCs w:val="22"/>
        </w:rPr>
        <w:t>구강악안면외과</w:t>
      </w:r>
      <w:proofErr w:type="spellEnd"/>
    </w:p>
    <w:p w14:paraId="4D259089" w14:textId="272F2F4A" w:rsidR="00B869A9" w:rsidRPr="00B869A9" w:rsidRDefault="00B869A9" w:rsidP="00B869A9">
      <w:pPr>
        <w:pStyle w:val="MS"/>
        <w:spacing w:line="220" w:lineRule="exact"/>
        <w:ind w:firstLineChars="100" w:firstLine="200"/>
        <w:rPr>
          <w:rFonts w:ascii="HY신명조" w:eastAsia="HY신명조" w:hAnsi="HY신명조"/>
        </w:rPr>
      </w:pPr>
      <w:r w:rsidRPr="00B869A9">
        <w:rPr>
          <w:rFonts w:ascii="HY신명조" w:eastAsia="HY신명조" w:hAnsi="HY신명조" w:hint="eastAsia"/>
        </w:rPr>
        <w:t>약물</w:t>
      </w:r>
      <w:r w:rsidRPr="00B869A9">
        <w:rPr>
          <w:rFonts w:ascii="HY신명조" w:eastAsia="HY신명조" w:hAnsi="HY신명조"/>
        </w:rPr>
        <w:t xml:space="preserve"> 관련 </w:t>
      </w:r>
      <w:proofErr w:type="spellStart"/>
      <w:r w:rsidRPr="00B869A9">
        <w:rPr>
          <w:rFonts w:ascii="HY신명조" w:eastAsia="HY신명조" w:hAnsi="HY신명조"/>
        </w:rPr>
        <w:t>악골괴사</w:t>
      </w:r>
      <w:proofErr w:type="spellEnd"/>
      <w:r w:rsidRPr="00B869A9">
        <w:rPr>
          <w:rFonts w:ascii="HY신명조" w:eastAsia="HY신명조" w:hAnsi="HY신명조"/>
        </w:rPr>
        <w:t>(medication-related osteonecrosis of the jaws, MRONJ)는 항흡수제 치료를 받는 골다공증 환자에서, 특히 발치나 임플란트 수술 이후에 발생할 수 있는 중요한 합병증이다. 다양한 위험요인이 보고되어 왔으나, 각각의 상대적인 기여도와 임상적 활용 가능성은 여전히 명확하지 않으며, 심장내과 분야의 CHA₂DS₂-VASc 점수처럼 일상 진료에서 간편하게 사용할 수 있는 점수 기반 위험예측 도구는 아직 확립</w:t>
      </w:r>
      <w:r w:rsidRPr="00B869A9">
        <w:rPr>
          <w:rFonts w:ascii="HY신명조" w:eastAsia="HY신명조" w:hAnsi="HY신명조" w:hint="eastAsia"/>
        </w:rPr>
        <w:t>되지</w:t>
      </w:r>
      <w:r w:rsidRPr="00B869A9">
        <w:rPr>
          <w:rFonts w:ascii="HY신명조" w:eastAsia="HY신명조" w:hAnsi="HY신명조"/>
        </w:rPr>
        <w:t xml:space="preserve"> 않았다. 본 연구는 </w:t>
      </w:r>
      <w:proofErr w:type="spellStart"/>
      <w:r w:rsidRPr="00B869A9">
        <w:rPr>
          <w:rFonts w:ascii="HY신명조" w:eastAsia="HY신명조" w:hAnsi="HY신명조"/>
        </w:rPr>
        <w:t>다변량</w:t>
      </w:r>
      <w:proofErr w:type="spellEnd"/>
      <w:r w:rsidRPr="00B869A9">
        <w:rPr>
          <w:rFonts w:ascii="HY신명조" w:eastAsia="HY신명조" w:hAnsi="HY신명조"/>
        </w:rPr>
        <w:t xml:space="preserve"> 로지스틱 회귀분석을 통해 확인된 독립적 예측요인을 기반으로, 실용적이고 직관적이며 임상에서 쉽게 적용 가능한 위험점수체계를 개발하는 것을 목적으로 하였다.</w:t>
      </w:r>
    </w:p>
    <w:p w14:paraId="3526C17F" w14:textId="77777777" w:rsidR="00B869A9" w:rsidRPr="00B869A9" w:rsidRDefault="00B869A9" w:rsidP="00B869A9">
      <w:pPr>
        <w:pStyle w:val="MS"/>
        <w:spacing w:line="220" w:lineRule="exact"/>
        <w:ind w:firstLineChars="100" w:firstLine="200"/>
        <w:rPr>
          <w:rFonts w:ascii="HY신명조" w:eastAsia="HY신명조" w:hAnsi="HY신명조"/>
        </w:rPr>
      </w:pPr>
      <w:r w:rsidRPr="00B869A9">
        <w:rPr>
          <w:rFonts w:ascii="HY신명조" w:eastAsia="HY신명조" w:hAnsi="HY신명조" w:hint="eastAsia"/>
        </w:rPr>
        <w:t>총</w:t>
      </w:r>
      <w:r w:rsidRPr="00B869A9">
        <w:rPr>
          <w:rFonts w:ascii="HY신명조" w:eastAsia="HY신명조" w:hAnsi="HY신명조"/>
        </w:rPr>
        <w:t xml:space="preserve"> 850명의 </w:t>
      </w:r>
      <w:proofErr w:type="spellStart"/>
      <w:r w:rsidRPr="00B869A9">
        <w:rPr>
          <w:rFonts w:ascii="HY신명조" w:eastAsia="HY신명조" w:hAnsi="HY신명조"/>
        </w:rPr>
        <w:t>비스포스포네이트</w:t>
      </w:r>
      <w:proofErr w:type="spellEnd"/>
      <w:r w:rsidRPr="00B869A9">
        <w:rPr>
          <w:rFonts w:ascii="HY신명조" w:eastAsia="HY신명조" w:hAnsi="HY신명조"/>
        </w:rPr>
        <w:t xml:space="preserve"> 또는 </w:t>
      </w:r>
      <w:proofErr w:type="spellStart"/>
      <w:r w:rsidRPr="00B869A9">
        <w:rPr>
          <w:rFonts w:ascii="HY신명조" w:eastAsia="HY신명조" w:hAnsi="HY신명조"/>
        </w:rPr>
        <w:t>데노수맙</w:t>
      </w:r>
      <w:proofErr w:type="spellEnd"/>
      <w:r w:rsidRPr="00B869A9">
        <w:rPr>
          <w:rFonts w:ascii="HY신명조" w:eastAsia="HY신명조" w:hAnsi="HY신명조"/>
        </w:rPr>
        <w:t xml:space="preserve"> 치료를 받은 골다공증 환자가 분석에 포함되었으며, 전체 코호트는 MRONJ 발생률을 유지하도록 Training set(70%)과 Test set(30%)으로 층화 무작위 배정되었다. Training set에서는 </w:t>
      </w:r>
      <w:proofErr w:type="spellStart"/>
      <w:r w:rsidRPr="00B869A9">
        <w:rPr>
          <w:rFonts w:ascii="HY신명조" w:eastAsia="HY신명조" w:hAnsi="HY신명조"/>
        </w:rPr>
        <w:t>단변량</w:t>
      </w:r>
      <w:proofErr w:type="spellEnd"/>
      <w:r w:rsidRPr="00B869A9">
        <w:rPr>
          <w:rFonts w:ascii="HY신명조" w:eastAsia="HY신명조" w:hAnsi="HY신명조"/>
        </w:rPr>
        <w:t xml:space="preserve"> 및 </w:t>
      </w:r>
      <w:proofErr w:type="spellStart"/>
      <w:r w:rsidRPr="00B869A9">
        <w:rPr>
          <w:rFonts w:ascii="HY신명조" w:eastAsia="HY신명조" w:hAnsi="HY신명조"/>
        </w:rPr>
        <w:t>다변량</w:t>
      </w:r>
      <w:proofErr w:type="spellEnd"/>
      <w:r w:rsidRPr="00B869A9">
        <w:rPr>
          <w:rFonts w:ascii="HY신명조" w:eastAsia="HY신명조" w:hAnsi="HY신명조"/>
        </w:rPr>
        <w:t xml:space="preserve"> 로지스틱 회귀분석을 통해 항흡수제 치료기간 ≥4년, </w:t>
      </w:r>
      <w:proofErr w:type="spellStart"/>
      <w:r w:rsidRPr="00B869A9">
        <w:rPr>
          <w:rFonts w:ascii="HY신명조" w:eastAsia="HY신명조" w:hAnsi="HY신명조"/>
        </w:rPr>
        <w:t>하악</w:t>
      </w:r>
      <w:proofErr w:type="spellEnd"/>
      <w:r w:rsidRPr="00B869A9">
        <w:rPr>
          <w:rFonts w:ascii="HY신명조" w:eastAsia="HY신명조" w:hAnsi="HY신명조"/>
        </w:rPr>
        <w:t xml:space="preserve"> 부위 수술, 약물의 피하 투여, 고혈압, 심장질환이 MRONJ 발생의 독립적 예측요인으로 확인되었고, 회귀계수의 상대적 크기를 </w:t>
      </w:r>
      <w:r w:rsidRPr="00B869A9">
        <w:rPr>
          <w:rFonts w:ascii="HY신명조" w:eastAsia="HY신명조" w:hAnsi="HY신명조" w:hint="eastAsia"/>
        </w:rPr>
        <w:t>고려하여</w:t>
      </w:r>
      <w:r w:rsidRPr="00B869A9">
        <w:rPr>
          <w:rFonts w:ascii="HY신명조" w:eastAsia="HY신명조" w:hAnsi="HY신명조"/>
        </w:rPr>
        <w:t xml:space="preserve"> 2점/1점 구조의 단순화 점수체계(총점 0</w:t>
      </w:r>
      <w:r w:rsidRPr="00B869A9">
        <w:rPr>
          <w:rFonts w:ascii="Times New Roman" w:eastAsia="HY신명조" w:cs="Times New Roman"/>
        </w:rPr>
        <w:t>–</w:t>
      </w:r>
      <w:r w:rsidRPr="00B869A9">
        <w:rPr>
          <w:rFonts w:ascii="HY신명조" w:eastAsia="HY신명조" w:hAnsi="HY신명조"/>
        </w:rPr>
        <w:t xml:space="preserve">7점)를 구성하였다. ROC 분석에서 Training set의 AUC는 0.744였으며, </w:t>
      </w:r>
      <w:proofErr w:type="spellStart"/>
      <w:r w:rsidRPr="00B869A9">
        <w:rPr>
          <w:rFonts w:ascii="HY신명조" w:eastAsia="HY신명조" w:hAnsi="HY신명조"/>
        </w:rPr>
        <w:t>유덴지수에</w:t>
      </w:r>
      <w:proofErr w:type="spellEnd"/>
      <w:r w:rsidRPr="00B869A9">
        <w:rPr>
          <w:rFonts w:ascii="HY신명조" w:eastAsia="HY신명조" w:hAnsi="HY신명조"/>
        </w:rPr>
        <w:t xml:space="preserve"> 기반해 최적 </w:t>
      </w:r>
      <w:proofErr w:type="spellStart"/>
      <w:r w:rsidRPr="00B869A9">
        <w:rPr>
          <w:rFonts w:ascii="HY신명조" w:eastAsia="HY신명조" w:hAnsi="HY신명조"/>
        </w:rPr>
        <w:t>절단값을</w:t>
      </w:r>
      <w:proofErr w:type="spellEnd"/>
      <w:r w:rsidRPr="00B869A9">
        <w:rPr>
          <w:rFonts w:ascii="HY신명조" w:eastAsia="HY신명조" w:hAnsi="HY신명조"/>
        </w:rPr>
        <w:t xml:space="preserve"> 도출하였다. 동일한 점수체계를 Test set에 적용한 결과 AUC는 0.810으로 나타나 모델의 재현성과 일반화 가능성이 확인되었다. 전체 코호트에서 위험군을 0</w:t>
      </w:r>
      <w:r w:rsidRPr="00B869A9">
        <w:rPr>
          <w:rFonts w:ascii="Times New Roman" w:eastAsia="HY신명조" w:cs="Times New Roman"/>
        </w:rPr>
        <w:t>–</w:t>
      </w:r>
      <w:r w:rsidRPr="00B869A9">
        <w:rPr>
          <w:rFonts w:ascii="HY신명조" w:eastAsia="HY신명조" w:hAnsi="HY신명조"/>
        </w:rPr>
        <w:t>2점(Low), 3</w:t>
      </w:r>
      <w:r w:rsidRPr="00B869A9">
        <w:rPr>
          <w:rFonts w:ascii="Times New Roman" w:eastAsia="HY신명조" w:cs="Times New Roman"/>
        </w:rPr>
        <w:t>–</w:t>
      </w:r>
      <w:r w:rsidRPr="00B869A9">
        <w:rPr>
          <w:rFonts w:ascii="HY신명조" w:eastAsia="HY신명조" w:hAnsi="HY신명조"/>
        </w:rPr>
        <w:t xml:space="preserve">5점(Moderate), 6점 이상(High)으로 구분하였을 때 MRONJ 발생률은 각각 약 22%, 57%, 87%로 점수 증가에 따른 뚜렷한 단계적 상승 양상을 보였다. </w:t>
      </w:r>
    </w:p>
    <w:p w14:paraId="19D161FE" w14:textId="095512A8" w:rsidR="00D93E71" w:rsidRDefault="00B869A9" w:rsidP="00B869A9">
      <w:pPr>
        <w:pStyle w:val="MS"/>
        <w:spacing w:line="220" w:lineRule="exact"/>
        <w:ind w:firstLineChars="100" w:firstLine="200"/>
      </w:pPr>
      <w:r w:rsidRPr="00B869A9">
        <w:rPr>
          <w:rFonts w:ascii="HY신명조" w:eastAsia="HY신명조" w:hAnsi="HY신명조" w:hint="eastAsia"/>
        </w:rPr>
        <w:t>본</w:t>
      </w:r>
      <w:r w:rsidRPr="00B869A9">
        <w:rPr>
          <w:rFonts w:ascii="HY신명조" w:eastAsia="HY신명조" w:hAnsi="HY신명조"/>
        </w:rPr>
        <w:t xml:space="preserve"> 연구는 </w:t>
      </w:r>
      <w:proofErr w:type="spellStart"/>
      <w:r w:rsidRPr="00B869A9">
        <w:rPr>
          <w:rFonts w:ascii="HY신명조" w:eastAsia="HY신명조" w:hAnsi="HY신명조"/>
        </w:rPr>
        <w:t>다변량</w:t>
      </w:r>
      <w:proofErr w:type="spellEnd"/>
      <w:r w:rsidRPr="00B869A9">
        <w:rPr>
          <w:rFonts w:ascii="HY신명조" w:eastAsia="HY신명조" w:hAnsi="HY신명조"/>
        </w:rPr>
        <w:t xml:space="preserve"> 회귀계수를 기반으로 한 단순화 임상 위험점수를 개발하여 MRONJ 발생 위험을 효과적으로 예측할 수 있음을 제시하였다. 개발된 점수체계는 Training/Test 분석에서 모두 양호한 </w:t>
      </w:r>
      <w:proofErr w:type="spellStart"/>
      <w:r w:rsidRPr="00B869A9">
        <w:rPr>
          <w:rFonts w:ascii="HY신명조" w:eastAsia="HY신명조" w:hAnsi="HY신명조"/>
        </w:rPr>
        <w:t>판별력을</w:t>
      </w:r>
      <w:proofErr w:type="spellEnd"/>
      <w:r w:rsidRPr="00B869A9">
        <w:rPr>
          <w:rFonts w:ascii="HY신명조" w:eastAsia="HY신명조" w:hAnsi="HY신명조"/>
        </w:rPr>
        <w:t xml:space="preserve"> 보였으며, </w:t>
      </w:r>
      <w:proofErr w:type="spellStart"/>
      <w:r w:rsidRPr="00B869A9">
        <w:rPr>
          <w:rFonts w:ascii="HY신명조" w:eastAsia="HY신명조" w:hAnsi="HY신명조"/>
        </w:rPr>
        <w:t>위험군</w:t>
      </w:r>
      <w:proofErr w:type="spellEnd"/>
      <w:r w:rsidRPr="00B869A9">
        <w:rPr>
          <w:rFonts w:ascii="HY신명조" w:eastAsia="HY신명조" w:hAnsi="HY신명조"/>
        </w:rPr>
        <w:t xml:space="preserve"> 분류에서도 일관된 위험도 증가 패턴을 나타내 임상적 활용 가능성이 높았다. 이러한 결과는 본 점수체계가 항흡수제 치료를 받는 골다공증 환자의 치조골 수술 전 위험평가 과정에서 실질적인 의사결정 도구로 활용될 수 있음을 시사하며, </w:t>
      </w:r>
      <w:r w:rsidRPr="00B869A9">
        <w:rPr>
          <w:rFonts w:ascii="HY신명조" w:eastAsia="HY신명조" w:hAnsi="HY신명조" w:hint="eastAsia"/>
        </w:rPr>
        <w:t>향후</w:t>
      </w:r>
      <w:r w:rsidRPr="00B869A9">
        <w:rPr>
          <w:rFonts w:ascii="HY신명조" w:eastAsia="HY신명조" w:hAnsi="HY신명조"/>
        </w:rPr>
        <w:t xml:space="preserve"> 외부 코호트 기반 검증을 통해 표준화된 임상 적용으로 확장될 수 있을 것이다.</w:t>
      </w:r>
    </w:p>
    <w:p w14:paraId="10A9039A" w14:textId="77777777" w:rsidR="00D93E71" w:rsidRDefault="00D93E71" w:rsidP="00D93E71">
      <w:pPr>
        <w:pStyle w:val="MS"/>
        <w:spacing w:after="240" w:line="220" w:lineRule="exact"/>
        <w:jc w:val="left"/>
        <w:rPr>
          <w:rFonts w:ascii="Arial" w:eastAsia="HY신명조" w:hAnsi="Arial" w:cs="Arial"/>
          <w:b/>
          <w:bCs/>
          <w:sz w:val="24"/>
          <w:szCs w:val="24"/>
        </w:rPr>
      </w:pPr>
    </w:p>
    <w:p w14:paraId="3EFBD282" w14:textId="77777777" w:rsidR="00D93E71" w:rsidRDefault="00D93E71" w:rsidP="00D93E71">
      <w:pPr>
        <w:pStyle w:val="MS"/>
        <w:spacing w:after="240" w:line="220" w:lineRule="exact"/>
        <w:jc w:val="left"/>
        <w:rPr>
          <w:rFonts w:ascii="Arial" w:eastAsia="HY신명조" w:hAnsi="Arial" w:cs="Arial"/>
          <w:b/>
          <w:bCs/>
          <w:sz w:val="24"/>
          <w:szCs w:val="24"/>
        </w:rPr>
      </w:pPr>
    </w:p>
    <w:p w14:paraId="5DC79B78" w14:textId="77777777" w:rsidR="00D93E71" w:rsidRDefault="00D93E71" w:rsidP="00D93E71">
      <w:pPr>
        <w:pStyle w:val="MS"/>
        <w:spacing w:after="240" w:line="220" w:lineRule="exact"/>
        <w:jc w:val="left"/>
        <w:rPr>
          <w:rFonts w:ascii="Arial" w:eastAsia="HY신명조" w:hAnsi="Arial" w:cs="Arial"/>
          <w:b/>
          <w:bCs/>
          <w:sz w:val="24"/>
          <w:szCs w:val="24"/>
        </w:rPr>
      </w:pPr>
    </w:p>
    <w:p w14:paraId="4DA4270E" w14:textId="77777777" w:rsidR="00D93E71" w:rsidRDefault="00D93E71" w:rsidP="00D93E71">
      <w:pPr>
        <w:pStyle w:val="MS"/>
        <w:spacing w:after="240" w:line="220" w:lineRule="exact"/>
        <w:jc w:val="left"/>
        <w:rPr>
          <w:rFonts w:ascii="Arial" w:eastAsia="HY신명조" w:hAnsi="Arial" w:cs="Arial"/>
          <w:b/>
          <w:bCs/>
          <w:sz w:val="24"/>
          <w:szCs w:val="24"/>
        </w:rPr>
      </w:pPr>
    </w:p>
    <w:p w14:paraId="2D7B2379" w14:textId="77777777" w:rsidR="00D93E71" w:rsidRDefault="00D93E71" w:rsidP="00D93E71">
      <w:pPr>
        <w:pStyle w:val="MS"/>
        <w:spacing w:after="240" w:line="220" w:lineRule="exact"/>
        <w:jc w:val="left"/>
        <w:rPr>
          <w:rFonts w:ascii="Arial" w:eastAsia="HY신명조" w:hAnsi="Arial" w:cs="Arial"/>
          <w:b/>
          <w:bCs/>
          <w:sz w:val="24"/>
          <w:szCs w:val="24"/>
        </w:rPr>
      </w:pPr>
    </w:p>
    <w:p w14:paraId="7DEB9CA9" w14:textId="61F265CF" w:rsidR="00D93E71" w:rsidRDefault="00B869A9" w:rsidP="00D93E71">
      <w:pPr>
        <w:pStyle w:val="MS"/>
        <w:spacing w:after="240"/>
        <w:jc w:val="left"/>
      </w:pPr>
      <w:r w:rsidRPr="00B869A9">
        <w:rPr>
          <w:rFonts w:ascii="Arial" w:eastAsia="HY신명조" w:hAnsi="Arial" w:cs="Arial"/>
          <w:b/>
          <w:bCs/>
          <w:sz w:val="24"/>
          <w:szCs w:val="24"/>
        </w:rPr>
        <w:t>Development of a Simplified Clinical Risk Score for MRONJ Prediction in Osteoporotic Patients – A Preliminary Study</w:t>
      </w:r>
    </w:p>
    <w:p w14:paraId="52E60511" w14:textId="403F12E6" w:rsidR="00D93E71" w:rsidRPr="00D93E71" w:rsidRDefault="00932DD1" w:rsidP="00D93E71">
      <w:pPr>
        <w:pStyle w:val="MS"/>
        <w:spacing w:after="240"/>
        <w:jc w:val="left"/>
        <w:rPr>
          <w:rFonts w:ascii="Times New Roman" w:cs="Times New Roman" w:hint="eastAsia"/>
          <w:sz w:val="22"/>
          <w:szCs w:val="22"/>
        </w:rPr>
      </w:pPr>
      <w:r>
        <w:rPr>
          <w:rFonts w:ascii="Times New Roman" w:eastAsia="HY신명조" w:cs="Times New Roman" w:hint="eastAsia"/>
          <w:sz w:val="22"/>
          <w:szCs w:val="22"/>
        </w:rPr>
        <w:t>Hui-One Jeong</w:t>
      </w:r>
      <w:r>
        <w:rPr>
          <w:rFonts w:ascii="Times New Roman" w:eastAsia="HY신명조" w:cs="Times New Roman" w:hint="eastAsia"/>
          <w:sz w:val="22"/>
          <w:szCs w:val="22"/>
          <w:vertAlign w:val="superscript"/>
        </w:rPr>
        <w:t>*</w:t>
      </w:r>
      <w:r>
        <w:rPr>
          <w:rFonts w:ascii="Times New Roman" w:eastAsia="HY신명조" w:cs="Times New Roman" w:hint="eastAsia"/>
          <w:sz w:val="22"/>
          <w:szCs w:val="22"/>
        </w:rPr>
        <w:t>, Yoon-Ju Jung, Cheol-Won Ryu, Da-Woon Kwack, Seo-Yeong An, Hae-Seo Park, Sung-Min Park, Moon-Young Kim, Se-Jin Han, Chul-Hwan Kim, Jae-Hoon</w:t>
      </w:r>
      <w:r w:rsidR="00C448D7">
        <w:rPr>
          <w:rFonts w:ascii="Times New Roman" w:eastAsia="HY신명조" w:cs="Times New Roman" w:hint="eastAsia"/>
          <w:sz w:val="22"/>
          <w:szCs w:val="22"/>
        </w:rPr>
        <w:t xml:space="preserve"> Lee</w:t>
      </w:r>
    </w:p>
    <w:p w14:paraId="5D5D38D0" w14:textId="18263619" w:rsidR="00D93E71" w:rsidRPr="00D93E71" w:rsidRDefault="00932DD1" w:rsidP="00D93E71">
      <w:pPr>
        <w:pStyle w:val="MS"/>
        <w:spacing w:after="240"/>
        <w:jc w:val="left"/>
        <w:rPr>
          <w:rFonts w:ascii="Times New Roman" w:cs="Times New Roman"/>
          <w:sz w:val="22"/>
          <w:szCs w:val="22"/>
        </w:rPr>
      </w:pPr>
      <w:r>
        <w:rPr>
          <w:rFonts w:ascii="Times New Roman" w:eastAsia="HY신명조" w:cs="Times New Roman" w:hint="eastAsia"/>
          <w:sz w:val="22"/>
          <w:szCs w:val="22"/>
        </w:rPr>
        <w:t xml:space="preserve">Department of Oral &amp; Maxillofacial Surgery, College of Dentistry, </w:t>
      </w:r>
      <w:proofErr w:type="spellStart"/>
      <w:r>
        <w:rPr>
          <w:rFonts w:ascii="Times New Roman" w:eastAsia="HY신명조" w:cs="Times New Roman" w:hint="eastAsia"/>
          <w:sz w:val="22"/>
          <w:szCs w:val="22"/>
        </w:rPr>
        <w:t>Dankook</w:t>
      </w:r>
      <w:proofErr w:type="spellEnd"/>
      <w:r>
        <w:rPr>
          <w:rFonts w:ascii="Times New Roman" w:eastAsia="HY신명조" w:cs="Times New Roman" w:hint="eastAsia"/>
          <w:sz w:val="22"/>
          <w:szCs w:val="22"/>
        </w:rPr>
        <w:t xml:space="preserve"> University</w:t>
      </w:r>
    </w:p>
    <w:p w14:paraId="049ADEC0" w14:textId="2DEE02A8" w:rsidR="00932DD1" w:rsidRPr="00932DD1" w:rsidRDefault="00932DD1" w:rsidP="00932DD1">
      <w:pPr>
        <w:pStyle w:val="MS"/>
        <w:spacing w:after="240" w:line="220" w:lineRule="exact"/>
        <w:ind w:firstLineChars="100" w:firstLine="200"/>
        <w:jc w:val="left"/>
        <w:rPr>
          <w:rFonts w:ascii="Times New Roman" w:eastAsia="HY신명조" w:cs="Times New Roman"/>
        </w:rPr>
      </w:pPr>
      <w:r w:rsidRPr="00932DD1">
        <w:rPr>
          <w:rFonts w:ascii="Times New Roman" w:eastAsia="HY신명조" w:cs="Times New Roman"/>
        </w:rPr>
        <w:t>Medication-related osteonecrosis of the jaws (MRONJ) is a significant complication in osteoporotic patients receiving antiresorptive therapy, particularly following dentoalveolar procedures such as tooth extraction or implant placement. Although various risk factors have been reported, their relative contributions and clinical applicability remain unclear, and a simple scoring tool analogous to the CHA₂DS₂-VASc score in cardiology has not yet been established. This study aimed to develop a practical, intuitive, and clinically applicable risk scoring system based on independent predictors identified through multivariate logistic regression.</w:t>
      </w:r>
    </w:p>
    <w:p w14:paraId="446025E5" w14:textId="422B9F15" w:rsidR="00932DD1" w:rsidRPr="00932DD1" w:rsidRDefault="00932DD1" w:rsidP="00932DD1">
      <w:pPr>
        <w:pStyle w:val="MS"/>
        <w:spacing w:after="240" w:line="220" w:lineRule="exact"/>
        <w:ind w:firstLineChars="100" w:firstLine="200"/>
        <w:jc w:val="left"/>
        <w:rPr>
          <w:rFonts w:ascii="Times New Roman" w:eastAsia="HY신명조" w:cs="Times New Roman"/>
        </w:rPr>
      </w:pPr>
      <w:r w:rsidRPr="00932DD1">
        <w:rPr>
          <w:rFonts w:ascii="Times New Roman" w:eastAsia="HY신명조" w:cs="Times New Roman"/>
        </w:rPr>
        <w:t xml:space="preserve">A total of 850 osteoporotic patients treated with bisphosphonates or denosumab were included. The entire cohort was stratified and randomly divided into a Training set (70%) and a Test set (30%) while maintaining the overall MRONJ incidence. In the Training set, both univariate and multivariate logistic regression analyses identified antiresorptive therapy duration ≥4 years, mandibular surgical site, subcutaneous </w:t>
      </w:r>
      <w:r w:rsidR="00B5541B">
        <w:rPr>
          <w:rFonts w:ascii="Times New Roman" w:eastAsia="HY신명조" w:cs="Times New Roman" w:hint="eastAsia"/>
        </w:rPr>
        <w:t>administration</w:t>
      </w:r>
      <w:r w:rsidRPr="00932DD1">
        <w:rPr>
          <w:rFonts w:ascii="Times New Roman" w:eastAsia="HY신명조" w:cs="Times New Roman"/>
        </w:rPr>
        <w:t>, hypertension, and heart disease as independent predictors of MRONJ. A simplified scoring system (total score 0–7) was constructed using a 2- and 1-point weighting scheme based on the relative magnitudes of regression coefficients. In ROC analysis, the Training set showed an AUC of 0.744, and the optimal cut-off was determined using the Youden index. When the same scoring system was applied to the Test set, the AUC increased to 0.810, supporting the model’s reproducibility and generalizability.</w:t>
      </w:r>
    </w:p>
    <w:p w14:paraId="2CD36329" w14:textId="1A4822E8" w:rsidR="001F1CD7" w:rsidRDefault="00932DD1" w:rsidP="00932DD1">
      <w:pPr>
        <w:pStyle w:val="MS"/>
        <w:spacing w:after="240" w:line="220" w:lineRule="exact"/>
        <w:ind w:firstLineChars="100" w:firstLine="200"/>
        <w:jc w:val="left"/>
      </w:pPr>
      <w:r w:rsidRPr="00932DD1">
        <w:rPr>
          <w:rFonts w:ascii="Times New Roman" w:eastAsia="HY신명조" w:cs="Times New Roman"/>
        </w:rPr>
        <w:t>When patients in the entire cohort were classified into Low (0–2 points), Moderate (3–5 points), and High (≥6 points) risk groups, the corresponding MRONJ incidences were approximately 22%, 57%, and 87%, demonstrating a clear stepwise increase with higher scores. These findings indicate that a simplified, regression-based clinical scoring system can effectively stratify MRONJ risk in osteoporotic patients undergoing dentoalveolar surgery. With further external validation, the proposed tool may serve as a practical decision-support instrument in preoperative MRONJ risk assessment</w:t>
      </w:r>
      <w:r>
        <w:rPr>
          <w:rFonts w:ascii="Times New Roman" w:eastAsia="HY신명조" w:cs="Times New Roman" w:hint="eastAsia"/>
        </w:rPr>
        <w:t>.</w:t>
      </w:r>
    </w:p>
    <w:sectPr w:rsidR="001F1CD7" w:rsidSect="00D93E71">
      <w:headerReference w:type="default" r:id="rId7"/>
      <w:pgSz w:w="11906" w:h="16838"/>
      <w:pgMar w:top="720" w:right="720" w:bottom="720" w:left="720" w:header="851" w:footer="992" w:gutter="0"/>
      <w:cols w:num="2"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896A43" w14:textId="77777777" w:rsidR="00E20B69" w:rsidRDefault="00E20B69" w:rsidP="00D93E71">
      <w:r>
        <w:separator/>
      </w:r>
    </w:p>
  </w:endnote>
  <w:endnote w:type="continuationSeparator" w:id="0">
    <w:p w14:paraId="2DC991C3" w14:textId="77777777" w:rsidR="00E20B69" w:rsidRDefault="00E20B69" w:rsidP="00D93E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굴림">
    <w:altName w:val="Gulim"/>
    <w:panose1 w:val="020B0600000101010101"/>
    <w:charset w:val="81"/>
    <w:family w:val="modern"/>
    <w:pitch w:val="variable"/>
    <w:sig w:usb0="B00002AF" w:usb1="69D77CFB" w:usb2="00000030" w:usb3="00000000" w:csb0="0008009F" w:csb1="00000000"/>
  </w:font>
  <w:font w:name="HY신명조">
    <w:panose1 w:val="02030600000101010101"/>
    <w:charset w:val="81"/>
    <w:family w:val="roman"/>
    <w:pitch w:val="variable"/>
    <w:sig w:usb0="900002A7" w:usb1="29D77CF9" w:usb2="00000010" w:usb3="00000000" w:csb0="00080000" w:csb1="00000000"/>
  </w:font>
  <w:font w:name="돋움체">
    <w:panose1 w:val="020B0609000101010101"/>
    <w:charset w:val="81"/>
    <w:family w:val="modern"/>
    <w:pitch w:val="fixed"/>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37138F" w14:textId="77777777" w:rsidR="00E20B69" w:rsidRDefault="00E20B69" w:rsidP="00D93E71">
      <w:r>
        <w:separator/>
      </w:r>
    </w:p>
  </w:footnote>
  <w:footnote w:type="continuationSeparator" w:id="0">
    <w:p w14:paraId="15592B6F" w14:textId="77777777" w:rsidR="00E20B69" w:rsidRDefault="00E20B69" w:rsidP="00D93E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784B2" w14:textId="141EA0F5" w:rsidR="000E499B" w:rsidRPr="001F1CD7" w:rsidRDefault="00D93E71" w:rsidP="00D93E71">
    <w:pPr>
      <w:pStyle w:val="MsoHeader0"/>
      <w:spacing w:line="312" w:lineRule="auto"/>
      <w:ind w:right="-282"/>
      <w:jc w:val="left"/>
      <w:rPr>
        <w:rFonts w:ascii="Century Gothic" w:eastAsia="맑은 고딕" w:hAnsi="Century Gothic"/>
        <w:b/>
        <w:bCs/>
        <w:sz w:val="24"/>
        <w:szCs w:val="24"/>
      </w:rPr>
    </w:pPr>
    <w:r>
      <w:rPr>
        <w:rFonts w:ascii="MS Mincho" w:eastAsia="MS Mincho" w:hAnsi="MS Mincho" w:cs="MS Mincho" w:hint="eastAsia"/>
        <w:sz w:val="26"/>
        <w:szCs w:val="26"/>
      </w:rPr>
      <w:t>▮</w:t>
    </w:r>
    <w:r w:rsidR="00964F1E">
      <w:rPr>
        <w:rFonts w:ascii="Century Gothic" w:eastAsia="맑은 고딕" w:hAnsi="Century Gothic"/>
        <w:b/>
        <w:bCs/>
        <w:sz w:val="24"/>
        <w:szCs w:val="24"/>
      </w:rPr>
      <w:t>K</w:t>
    </w:r>
    <w:r w:rsidR="00964F1E">
      <w:rPr>
        <w:rFonts w:ascii="Century Gothic" w:eastAsia="맑은 고딕" w:hAnsi="Century Gothic" w:hint="eastAsia"/>
        <w:b/>
        <w:bCs/>
        <w:sz w:val="24"/>
        <w:szCs w:val="24"/>
      </w:rPr>
      <w:t>A</w:t>
    </w:r>
    <w:r w:rsidR="002E114A">
      <w:rPr>
        <w:rFonts w:ascii="Century Gothic" w:eastAsia="맑은 고딕" w:hAnsi="Century Gothic"/>
        <w:b/>
        <w:bCs/>
        <w:sz w:val="24"/>
        <w:szCs w:val="24"/>
      </w:rPr>
      <w:t>OMS</w:t>
    </w:r>
    <w:r w:rsidR="007C3909">
      <w:rPr>
        <w:rFonts w:ascii="Century Gothic" w:eastAsia="맑은 고딕" w:hAnsi="Century Gothic"/>
        <w:b/>
        <w:bCs/>
        <w:sz w:val="24"/>
        <w:szCs w:val="24"/>
      </w:rPr>
      <w:t xml:space="preserve"> 202</w:t>
    </w:r>
    <w:r w:rsidR="002E114A">
      <w:rPr>
        <w:rFonts w:ascii="Century Gothic" w:eastAsia="맑은 고딕" w:hAnsi="Century Gothic"/>
        <w:b/>
        <w:bCs/>
        <w:sz w:val="24"/>
        <w:szCs w:val="24"/>
      </w:rPr>
      <w:t>6</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800"/>
  <w:drawingGridHorizontalSpacing w:val="1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3E71"/>
    <w:rsid w:val="000072A6"/>
    <w:rsid w:val="00024B16"/>
    <w:rsid w:val="000A5CD7"/>
    <w:rsid w:val="000B290C"/>
    <w:rsid w:val="000E499B"/>
    <w:rsid w:val="00115875"/>
    <w:rsid w:val="00133FAD"/>
    <w:rsid w:val="0016167D"/>
    <w:rsid w:val="00181EB1"/>
    <w:rsid w:val="001F1CD7"/>
    <w:rsid w:val="00243A25"/>
    <w:rsid w:val="0024773A"/>
    <w:rsid w:val="00281B40"/>
    <w:rsid w:val="002B2636"/>
    <w:rsid w:val="002E114A"/>
    <w:rsid w:val="002F4C54"/>
    <w:rsid w:val="0030695E"/>
    <w:rsid w:val="00323F4A"/>
    <w:rsid w:val="003A1D53"/>
    <w:rsid w:val="003A7E3C"/>
    <w:rsid w:val="00417387"/>
    <w:rsid w:val="00496CDD"/>
    <w:rsid w:val="004A06E6"/>
    <w:rsid w:val="005D19AA"/>
    <w:rsid w:val="00653E6E"/>
    <w:rsid w:val="007942F5"/>
    <w:rsid w:val="0079611C"/>
    <w:rsid w:val="007C3909"/>
    <w:rsid w:val="00827107"/>
    <w:rsid w:val="00925C33"/>
    <w:rsid w:val="00932DD1"/>
    <w:rsid w:val="00964F1E"/>
    <w:rsid w:val="00A75F26"/>
    <w:rsid w:val="00AD2589"/>
    <w:rsid w:val="00B31C58"/>
    <w:rsid w:val="00B53C5B"/>
    <w:rsid w:val="00B5541B"/>
    <w:rsid w:val="00B761AD"/>
    <w:rsid w:val="00B869A9"/>
    <w:rsid w:val="00BB529F"/>
    <w:rsid w:val="00C22731"/>
    <w:rsid w:val="00C448D7"/>
    <w:rsid w:val="00C53528"/>
    <w:rsid w:val="00CB0E3A"/>
    <w:rsid w:val="00CD5672"/>
    <w:rsid w:val="00D7238F"/>
    <w:rsid w:val="00D93E71"/>
    <w:rsid w:val="00DB4670"/>
    <w:rsid w:val="00E17F0C"/>
    <w:rsid w:val="00E20B69"/>
    <w:rsid w:val="00EC46D5"/>
    <w:rsid w:val="00EE6820"/>
    <w:rsid w:val="00F87903"/>
    <w:rsid w:val="00FB47B2"/>
    <w:rsid w:val="00FF3F1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FA3A24"/>
  <w15:docId w15:val="{2FA4B736-0FDE-4781-85C7-B3B05FD996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D2589"/>
    <w:pPr>
      <w:widowControl w:val="0"/>
      <w:wordWrap w:val="0"/>
      <w:autoSpaceDE w:val="0"/>
      <w:autoSpaceDN w:val="0"/>
      <w:jc w:val="both"/>
    </w:pPr>
    <w:rPr>
      <w:kern w:val="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D93E71"/>
    <w:pPr>
      <w:tabs>
        <w:tab w:val="center" w:pos="4513"/>
        <w:tab w:val="right" w:pos="9026"/>
      </w:tabs>
      <w:snapToGrid w:val="0"/>
    </w:pPr>
  </w:style>
  <w:style w:type="character" w:customStyle="1" w:styleId="Char">
    <w:name w:val="머리글 Char"/>
    <w:basedOn w:val="a0"/>
    <w:link w:val="a3"/>
    <w:uiPriority w:val="99"/>
    <w:rsid w:val="00D93E71"/>
  </w:style>
  <w:style w:type="paragraph" w:styleId="a4">
    <w:name w:val="footer"/>
    <w:basedOn w:val="a"/>
    <w:link w:val="Char0"/>
    <w:uiPriority w:val="99"/>
    <w:unhideWhenUsed/>
    <w:rsid w:val="00D93E71"/>
    <w:pPr>
      <w:tabs>
        <w:tab w:val="center" w:pos="4513"/>
        <w:tab w:val="right" w:pos="9026"/>
      </w:tabs>
      <w:snapToGrid w:val="0"/>
    </w:pPr>
  </w:style>
  <w:style w:type="character" w:customStyle="1" w:styleId="Char0">
    <w:name w:val="바닥글 Char"/>
    <w:basedOn w:val="a0"/>
    <w:link w:val="a4"/>
    <w:uiPriority w:val="99"/>
    <w:rsid w:val="00D93E71"/>
  </w:style>
  <w:style w:type="paragraph" w:customStyle="1" w:styleId="MsoHeader0">
    <w:name w:val="MsoHeader"/>
    <w:basedOn w:val="a"/>
    <w:rsid w:val="00D93E71"/>
    <w:pPr>
      <w:widowControl/>
      <w:wordWrap/>
      <w:autoSpaceDE/>
      <w:autoSpaceDN/>
      <w:snapToGrid w:val="0"/>
      <w:spacing w:line="384" w:lineRule="auto"/>
    </w:pPr>
    <w:rPr>
      <w:rFonts w:ascii="바탕" w:eastAsia="바탕" w:hAnsi="Times New Roman" w:cs="굴림"/>
      <w:color w:val="000000"/>
      <w:kern w:val="0"/>
      <w:szCs w:val="20"/>
    </w:rPr>
  </w:style>
  <w:style w:type="paragraph" w:customStyle="1" w:styleId="a5">
    <w:name w:val="바탕글"/>
    <w:basedOn w:val="a"/>
    <w:rsid w:val="00D93E71"/>
    <w:pPr>
      <w:widowControl/>
      <w:wordWrap/>
      <w:autoSpaceDE/>
      <w:autoSpaceDN/>
      <w:snapToGrid w:val="0"/>
      <w:spacing w:line="384" w:lineRule="auto"/>
    </w:pPr>
    <w:rPr>
      <w:rFonts w:ascii="바탕" w:eastAsia="바탕" w:hAnsi="바탕" w:cs="굴림"/>
      <w:color w:val="000000"/>
      <w:kern w:val="0"/>
      <w:szCs w:val="20"/>
    </w:rPr>
  </w:style>
  <w:style w:type="paragraph" w:customStyle="1" w:styleId="MS">
    <w:name w:val="MS바탕글"/>
    <w:basedOn w:val="a"/>
    <w:rsid w:val="00D93E71"/>
    <w:pPr>
      <w:widowControl/>
      <w:wordWrap/>
      <w:autoSpaceDE/>
      <w:autoSpaceDN/>
      <w:snapToGrid w:val="0"/>
      <w:spacing w:line="384" w:lineRule="auto"/>
    </w:pPr>
    <w:rPr>
      <w:rFonts w:ascii="바탕" w:eastAsia="바탕" w:hAnsi="Times New Roman" w:cs="굴림"/>
      <w:color w:val="000000"/>
      <w:kern w:val="0"/>
      <w:szCs w:val="20"/>
    </w:rPr>
  </w:style>
  <w:style w:type="paragraph" w:styleId="a6">
    <w:name w:val="No Spacing"/>
    <w:uiPriority w:val="1"/>
    <w:qFormat/>
    <w:rsid w:val="002E114A"/>
    <w:pPr>
      <w:widowControl w:val="0"/>
      <w:wordWrap w:val="0"/>
      <w:autoSpaceDE w:val="0"/>
      <w:autoSpaceDN w:val="0"/>
      <w:jc w:val="both"/>
    </w:pPr>
    <w:rPr>
      <w:kern w:val="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9625462">
      <w:bodyDiv w:val="1"/>
      <w:marLeft w:val="0"/>
      <w:marRight w:val="0"/>
      <w:marTop w:val="0"/>
      <w:marBottom w:val="0"/>
      <w:divBdr>
        <w:top w:val="none" w:sz="0" w:space="0" w:color="auto"/>
        <w:left w:val="none" w:sz="0" w:space="0" w:color="auto"/>
        <w:bottom w:val="none" w:sz="0" w:space="0" w:color="auto"/>
        <w:right w:val="none" w:sz="0" w:space="0" w:color="auto"/>
      </w:divBdr>
    </w:div>
    <w:div w:id="10223194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5B2BD1-CC42-4E3C-8C68-388F85B0C4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580</Words>
  <Characters>3310</Characters>
  <Application>Microsoft Office Word</Application>
  <DocSecurity>0</DocSecurity>
  <Lines>27</Lines>
  <Paragraphs>7</Paragraphs>
  <ScaleCrop>false</ScaleCrop>
  <HeadingPairs>
    <vt:vector size="2" baseType="variant">
      <vt:variant>
        <vt:lpstr>제목</vt:lpstr>
      </vt:variant>
      <vt:variant>
        <vt:i4>1</vt:i4>
      </vt:variant>
    </vt:vector>
  </HeadingPairs>
  <TitlesOfParts>
    <vt:vector size="1" baseType="lpstr">
      <vt:lpstr/>
    </vt:vector>
  </TitlesOfParts>
  <Company>Microsoft Corporation</Company>
  <LinksUpToDate>false</LinksUpToDate>
  <CharactersWithSpaces>3883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yuni</dc:creator>
  <cp:lastModifiedBy>희원 정</cp:lastModifiedBy>
  <cp:revision>5</cp:revision>
  <dcterms:created xsi:type="dcterms:W3CDTF">2026-02-26T02:31:00Z</dcterms:created>
  <dcterms:modified xsi:type="dcterms:W3CDTF">2026-02-26T02:35:00Z</dcterms:modified>
</cp:coreProperties>
</file>