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6.gif" ContentType="image/gif;charset=utf-8"/>
  <Override PartName="/word/media/rId93.gif" ContentType="image/gif;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6c5e22af475b66be9937f6000eacb29f3be82a5"/>
    <w:bookmarkStart w:id="88" w:name="app-root-wrapper"/>
    <w:p>
      <w:pPr>
        <w:pStyle w:val="FirstParagraph"/>
      </w:pPr>
      <w:r>
        <w:t xml:space="preserve">서류전형 스코어링 시스템의 평가축·척도·채점 절차를 설계하기 위해, 실제 인사 실무와 학술 연구에서 검증된 구조화 평가 도구·평정척도·복수 평가자 설계·루브릭 방법론·한국 채용 맥락·LLM 채점자 연구를 체계적으로 검토한다. 각 섹션은 근거 있는 사실과 제안을 명확히 구분한다.</w:t>
      </w:r>
    </w:p>
    <w:bookmarkStart w:id="23" w:name="지원서류-기반-구조화-평가-도구의-실제-설계"/>
    <w:p>
      <w:pPr>
        <w:pStyle w:val="Heading2"/>
      </w:pPr>
      <w:r>
        <w:t xml:space="preserve">1. 지원서류 기반 구조화 평가 도구의 실제 설계</w:t>
      </w:r>
    </w:p>
    <w:p>
      <w:pPr>
        <w:pStyle w:val="FirstParagraph"/>
      </w:pPr>
      <w:r>
        <w:rPr>
          <w:b/>
          <w:bCs/>
        </w:rPr>
        <w:t xml:space="preserve">1-1. Training &amp; Experience(T&amp;E) 평가의 유형별 설계와 타당도</w:t>
      </w:r>
    </w:p>
    <w:p>
      <w:pPr>
        <w:pStyle w:val="BodyText"/>
      </w:pPr>
      <w:r>
        <w:t xml:space="preserve">T&amp;E 평가는 지원자의 교육·훈련·경험을 직무요건과 대조하여 점수를 부여하는 절차로, 미국 공무원 채용에서 가장 널리 사용되는 서류전형 방식이다</w:t>
      </w:r>
      <w:r>
        <w:t xml:space="preserve"> </w:t>
      </w:r>
      <w:hyperlink r:id="rId9">
        <w:r>
          <w:rPr>
            <w:rStyle w:val="Hyperlink"/>
          </w:rPr>
          <w:t xml:space="preserve">( Mcgonigle &amp; Curnow, 2008 )</w:t>
        </w:r>
      </w:hyperlink>
      <w:r>
        <w:t xml:space="preserve">. McDaniel, Schmidt, &amp; Hunter(1988)의 메타분석에 따르면, T&amp;E 평가 유형에 따라 타당도가 현저히 다르다.</w:t>
      </w:r>
    </w:p>
    <w:p>
      <w:pPr>
        <w:numPr>
          <w:ilvl w:val="0"/>
          <w:numId w:val="1001"/>
        </w:numPr>
      </w:pPr>
      <w:r>
        <w:rPr>
          <w:b/>
          <w:bCs/>
        </w:rPr>
        <w:t xml:space="preserve">Point Method(점수법)</w:t>
      </w:r>
      <w:r>
        <w:t xml:space="preserve">: 이력서의 교육 수준·경력 연수 등에 사전 정해진 점수를 부여하여 합산한다. 설계가 단순하지만, 수정타당도(corrected validity)는</w:t>
      </w:r>
      <w:r>
        <w:t xml:space="preserve"> </w:t>
      </w:r>
      <w:r>
        <w:rPr>
          <w:i/>
          <w:iCs/>
        </w:rPr>
        <w:t xml:space="preserve">r</w:t>
      </w:r>
      <w:r>
        <w:t xml:space="preserve"> </w:t>
      </w:r>
      <w:r>
        <w:t xml:space="preserve">≈ 0.11–0.18 수준으로 낮다. 이는 경력 연수가 직무성과와 선형 관계에 있다는 기본 가정이 현실과 동떨어지기 때문이다</w:t>
      </w:r>
      <w:r>
        <w:t xml:space="preserve"> </w:t>
      </w:r>
      <w:hyperlink r:id="rId9">
        <w:r>
          <w:rPr>
            <w:rStyle w:val="Hyperlink"/>
          </w:rPr>
          <w:t xml:space="preserve">( Mcgonigle &amp; Curnow, 2008 )</w:t>
        </w:r>
      </w:hyperlink>
      <w:r>
        <w:t xml:space="preserve">.</w:t>
      </w:r>
    </w:p>
    <w:p>
      <w:pPr>
        <w:numPr>
          <w:ilvl w:val="0"/>
          <w:numId w:val="1001"/>
        </w:numPr>
      </w:pPr>
      <w:r>
        <w:rPr>
          <w:b/>
          <w:bCs/>
        </w:rPr>
        <w:t xml:space="preserve">Task-based Method(직무중심법)</w:t>
      </w:r>
      <w:r>
        <w:t xml:space="preserve">: 직무분석에서 도출된 개별 직무 과제(task)에 대해 지원자의 숙련도를 평가한다. Point Method보다 직무관련성이 높으나, 과제 수준의 세분화 정도에 따라 타당도 편차가 크다</w:t>
      </w:r>
      <w:r>
        <w:t xml:space="preserve"> </w:t>
      </w:r>
      <w:hyperlink r:id="rId9">
        <w:r>
          <w:rPr>
            <w:rStyle w:val="Hyperlink"/>
          </w:rPr>
          <w:t xml:space="preserve">( Mcgonigle &amp; Curnow, 2008 )</w:t>
        </w:r>
      </w:hyperlink>
      <w:r>
        <w:t xml:space="preserve">.</w:t>
      </w:r>
    </w:p>
    <w:p>
      <w:pPr>
        <w:numPr>
          <w:ilvl w:val="0"/>
          <w:numId w:val="1001"/>
        </w:numPr>
      </w:pPr>
      <w:r>
        <w:rPr>
          <w:b/>
          <w:bCs/>
        </w:rPr>
        <w:t xml:space="preserve">KSA-based Method(직무능력중심법)</w:t>
      </w:r>
      <w:r>
        <w:t xml:space="preserve">: 직무수행에 필요한 지식·기술·능력(KSAO) 각각에 대해 지원자의 숙련도를 기술·평가하게 한다. 구인(construct) 수준에서 직무와 직결되므로 Point Method보다 높은 타당도를 보이며, 수정타당도</w:t>
      </w:r>
      <w:r>
        <w:t xml:space="preserve"> </w:t>
      </w:r>
      <w:r>
        <w:rPr>
          <w:i/>
          <w:iCs/>
        </w:rPr>
        <w:t xml:space="preserve">r</w:t>
      </w:r>
      <w:r>
        <w:t xml:space="preserve"> </w:t>
      </w:r>
      <w:r>
        <w:t xml:space="preserve">≈ 0.20–0.30이 보고된다</w:t>
      </w:r>
      <w:r>
        <w:t xml:space="preserve"> </w:t>
      </w:r>
      <w:hyperlink r:id="rId9">
        <w:r>
          <w:rPr>
            <w:rStyle w:val="Hyperlink"/>
          </w:rPr>
          <w:t xml:space="preserve">( Mcgonigle &amp; Curnow, 2008 )</w:t>
        </w:r>
      </w:hyperlink>
      <w:r>
        <w:t xml:space="preserve">.</w:t>
      </w:r>
    </w:p>
    <w:p>
      <w:pPr>
        <w:numPr>
          <w:ilvl w:val="0"/>
          <w:numId w:val="1001"/>
        </w:numPr>
      </w:pPr>
      <w:r>
        <w:rPr>
          <w:b/>
          <w:bCs/>
        </w:rPr>
        <w:t xml:space="preserve">Behavioral Consistency Method(행동일치법, Schmidt &amp; Hunter)</w:t>
      </w:r>
      <w:r>
        <w:t xml:space="preserve">: 지원자가 직무관련 행동을 구체적으로 서술하게 하고, 그 서술의 직무관련성·강도를 루브릭에 따라 채점한다. "과거 행동이 미래 행동의 최적 예측변인"이라는 일관성 원칙(consistency principle)에 기반하며</w:t>
      </w:r>
      <w:r>
        <w:t xml:space="preserve"> </w:t>
      </w:r>
      <w:hyperlink r:id="rId10">
        <w:r>
          <w:rPr>
            <w:rStyle w:val="Hyperlink"/>
          </w:rPr>
          <w:t xml:space="preserve">( “Careers:,” 1985 )</w:t>
        </w:r>
      </w:hyperlink>
      <w:r>
        <w:t xml:space="preserve">, T&amp;E 유형 중 가장 높은 수정타당도</w:t>
      </w:r>
      <w:r>
        <w:t xml:space="preserve"> </w:t>
      </w:r>
      <w:r>
        <w:rPr>
          <w:i/>
          <w:iCs/>
        </w:rPr>
        <w:t xml:space="preserve">r</w:t>
      </w:r>
      <w:r>
        <w:t xml:space="preserve"> </w:t>
      </w:r>
      <w:r>
        <w:t xml:space="preserve">≈ 0.45–0.51을 보인다</w:t>
      </w:r>
      <w:r>
        <w:t xml:space="preserve"> </w:t>
      </w:r>
      <w:hyperlink r:id="rId9">
        <w:r>
          <w:rPr>
            <w:rStyle w:val="Hyperlink"/>
          </w:rPr>
          <w:t xml:space="preserve">( Mcgonigle &amp; Curnow, 2008 )</w:t>
        </w:r>
      </w:hyperlink>
      <w:r>
        <w:t xml:space="preserve">. 이는 구조화 면접의 타당도와 유사한 수준이다.</w:t>
      </w:r>
    </w:p>
    <w:p>
      <w:pPr>
        <w:pStyle w:val="FirstParagraph"/>
      </w:pPr>
      <w:r>
        <w:t xml:space="preserve">Van Iddekinge 등(2023)은 T&amp;E 평가 전반의 타당도를 직무관련성, 예측변인-준거변인 구인 일치도(predictor-criterion construct alignment)라는 관점에서 재검토하며, 행동일치법이 예측변인과 준거변인의 구인이 일치할 때 특히 높은 타당도를 보임을 확인했다</w:t>
      </w:r>
      <w:r>
        <w:t xml:space="preserve"> </w:t>
      </w:r>
      <w:hyperlink r:id="rId11">
        <w:r>
          <w:rPr>
            <w:rStyle w:val="Hyperlink"/>
          </w:rPr>
          <w:t xml:space="preserve">( Iddekinge et al., 2023 )</w:t>
        </w:r>
      </w:hyperlink>
      <w:r>
        <w:t xml:space="preserve">.</w:t>
      </w:r>
    </w:p>
    <w:p>
      <w:pPr>
        <w:pStyle w:val="BodyText"/>
      </w:pPr>
      <w:r>
        <w:rPr>
          <w:b/>
          <w:bCs/>
        </w:rPr>
        <w:t xml:space="preserve">1-2. Behavioral Consistency Method의 채점 절차</w:t>
      </w:r>
    </w:p>
    <w:p>
      <w:pPr>
        <w:pStyle w:val="BodyText"/>
      </w:pPr>
      <w:r>
        <w:t xml:space="preserve">Schmidt 등이 제안한 행동일치법의 절차는 다음과 같다</w:t>
      </w:r>
      <w:r>
        <w:t xml:space="preserve"> </w:t>
      </w:r>
      <w:hyperlink r:id="rId9">
        <w:r>
          <w:rPr>
            <w:rStyle w:val="Hyperlink"/>
          </w:rPr>
          <w:t xml:space="preserve">( Mcgonigle &amp; Curnow, 2008 )</w:t>
        </w:r>
      </w:hyperlink>
      <w:r>
        <w:t xml:space="preserve">.</w:t>
      </w:r>
    </w:p>
    <w:p>
      <w:pPr>
        <w:numPr>
          <w:ilvl w:val="0"/>
          <w:numId w:val="1002"/>
        </w:numPr>
      </w:pPr>
      <w:r>
        <w:rPr>
          <w:b/>
          <w:bCs/>
        </w:rPr>
        <w:t xml:space="preserve">직무분석 → KSAO 도출</w:t>
      </w:r>
      <w:r>
        <w:t xml:space="preserve">: 직무수행에 필요한 핵심 지식·기술·능력을 식별한다.</w:t>
      </w:r>
    </w:p>
    <w:p>
      <w:pPr>
        <w:numPr>
          <w:ilvl w:val="0"/>
          <w:numId w:val="1002"/>
        </w:numPr>
      </w:pPr>
      <w:r>
        <w:rPr>
          <w:b/>
          <w:bCs/>
        </w:rPr>
        <w:t xml:space="preserve">KSAO별 행동기술 요구</w:t>
      </w:r>
      <w:r>
        <w:t xml:space="preserve">: 지원자에게 각 KSAO와 관련하여 "구체적으로 무엇을 했는가"를 서술하게 한다. 예: "팀 갈등을 해결한 경험을 구체적으로 기술하시오."</w:t>
      </w:r>
    </w:p>
    <w:p>
      <w:pPr>
        <w:numPr>
          <w:ilvl w:val="0"/>
          <w:numId w:val="1002"/>
        </w:numPr>
      </w:pPr>
      <w:r>
        <w:rPr>
          <w:b/>
          <w:bCs/>
        </w:rPr>
        <w:t xml:space="preserve">루브릭 기반 채점</w:t>
      </w:r>
      <w:r>
        <w:t xml:space="preserve">: 평가자는 지원자의 서술을 (a) 해당 KSAO와의 관련성, (b) 행동의 구체성·복잡성, (c) 성과의 크기라는 기준에 따라 채점한다. 전형적으로 5점 또는 7점 척도를 사용하며, 각 척도 수준에는 행동 기준점(behavioral anchor)이 제시된다.</w:t>
      </w:r>
    </w:p>
    <w:p>
      <w:pPr>
        <w:numPr>
          <w:ilvl w:val="0"/>
          <w:numId w:val="1002"/>
        </w:numPr>
      </w:pPr>
      <w:r>
        <w:rPr>
          <w:b/>
          <w:bCs/>
        </w:rPr>
        <w:t xml:space="preserve">KSAO별 점수 → 가중합산</w:t>
      </w:r>
      <w:r>
        <w:t xml:space="preserve">: 직무분석에서 결정된 KSAO별 가중치를 적용하여 총점을 산출한다.</w:t>
      </w:r>
    </w:p>
    <w:p>
      <w:pPr>
        <w:pStyle w:val="FirstParagraph"/>
      </w:pPr>
      <w:r>
        <w:t xml:space="preserve">핵심 설계 원칙은 "지원자가 기술하는 행동의 직무관련성과 강도가 높을수록 높은 점수를 받는다"는 것이다. 이때 평가자는 서술의</w:t>
      </w:r>
      <w:r>
        <w:t xml:space="preserve"> </w:t>
      </w:r>
      <w:r>
        <w:rPr>
          <w:i/>
          <w:iCs/>
        </w:rPr>
        <w:t xml:space="preserve">내용</w:t>
      </w:r>
      <w:r>
        <w:t xml:space="preserve">을 평가하며, 서술의</w:t>
      </w:r>
      <w:r>
        <w:t xml:space="preserve"> </w:t>
      </w:r>
      <w:r>
        <w:rPr>
          <w:i/>
          <w:iCs/>
        </w:rPr>
        <w:t xml:space="preserve">문장력</w:t>
      </w:r>
      <w:r>
        <w:t xml:space="preserve">이나</w:t>
      </w:r>
      <w:r>
        <w:t xml:space="preserve"> </w:t>
      </w:r>
      <w:r>
        <w:rPr>
          <w:i/>
          <w:iCs/>
        </w:rPr>
        <w:t xml:space="preserve">분량</w:t>
      </w:r>
      <w:r>
        <w:t xml:space="preserve">은 평가 기준이 아니다</w:t>
      </w:r>
      <w:r>
        <w:t xml:space="preserve"> </w:t>
      </w:r>
      <w:hyperlink r:id="rId9">
        <w:r>
          <w:rPr>
            <w:rStyle w:val="Hyperlink"/>
          </w:rPr>
          <w:t xml:space="preserve">( Mcgonigle &amp; Curnow, 2008 )</w:t>
        </w:r>
      </w:hyperlink>
      <w:r>
        <w:t xml:space="preserve">.</w:t>
      </w:r>
    </w:p>
    <w:p>
      <w:pPr>
        <w:pStyle w:val="BodyText"/>
      </w:pPr>
      <w:r>
        <w:rPr>
          <w:b/>
          <w:bCs/>
        </w:rPr>
        <w:t xml:space="preserve">1-3. Accomplishment Record의 항목 구성과 채점 방식</w:t>
      </w:r>
    </w:p>
    <w:p>
      <w:pPr>
        <w:pStyle w:val="BodyText"/>
      </w:pPr>
      <w:r>
        <w:t xml:space="preserve">Hough, Keyes, &amp; Dunnette(1983)가 개발한 Accomplishment Record(AR)는 행동일치법의 특수 형태로, 지원자가 직무관련 성취를 구조화된 형식으로 기술하게 하는 도구이다</w:t>
      </w:r>
      <w:r>
        <w:t xml:space="preserve"> </w:t>
      </w:r>
      <w:hyperlink r:id="rId12">
        <w:r>
          <w:rPr>
            <w:rStyle w:val="Hyperlink"/>
          </w:rPr>
          <w:t xml:space="preserve">( Hough et al., 1983 )</w:t>
        </w:r>
      </w:hyperlink>
      <w:r>
        <w:t xml:space="preserve">.</w:t>
      </w:r>
    </w:p>
    <w:p>
      <w:pPr>
        <w:numPr>
          <w:ilvl w:val="0"/>
          <w:numId w:val="1003"/>
        </w:numPr>
      </w:pPr>
      <w:r>
        <w:rPr>
          <w:b/>
          <w:bCs/>
        </w:rPr>
        <w:t xml:space="preserve">항목 구성</w:t>
      </w:r>
      <w:r>
        <w:t xml:space="preserve">: 직무분석에서 도출된 핵심 직무차원(예: 문제해결, 리더십, 의사소통) 각각에 대해 하나의 서술 항목을 둔다. 각 항목은 "이 직무차원과 관련하여 본인이 이룬 가장 의미 있는 성취를 기술하시오"라는 형태의 개방형 질문이다.</w:t>
      </w:r>
    </w:p>
    <w:p>
      <w:pPr>
        <w:numPr>
          <w:ilvl w:val="0"/>
          <w:numId w:val="1003"/>
        </w:numPr>
      </w:pPr>
      <w:r>
        <w:rPr>
          <w:b/>
          <w:bCs/>
        </w:rPr>
        <w:t xml:space="preserve">채점 방식</w:t>
      </w:r>
      <w:r>
        <w:t xml:space="preserve">: 훈련된 평가자가 각 서술을 (a) 해당 직무차원과의 관련성, (b) 성취의 복잡성·영향력이라는 두 기준에 따라 5점 척도로 채점한다. Hough 등(1983)의 연구에서 연방 법무관 329명을 대상으로 한 동시타당도 연구에서 AR의 수정타당도는</w:t>
      </w:r>
      <w:r>
        <w:t xml:space="preserve"> </w:t>
      </w:r>
      <w:r>
        <w:rPr>
          <w:i/>
          <w:iCs/>
        </w:rPr>
        <w:t xml:space="preserve">r</w:t>
      </w:r>
      <w:r>
        <w:t xml:space="preserve"> </w:t>
      </w:r>
      <w:r>
        <w:t xml:space="preserve">≈ 0.37–0.44로, 통계적으로나 실무적으로 유의미했다</w:t>
      </w:r>
      <w:r>
        <w:t xml:space="preserve"> </w:t>
      </w:r>
      <w:hyperlink r:id="rId12">
        <w:r>
          <w:rPr>
            <w:rStyle w:val="Hyperlink"/>
          </w:rPr>
          <w:t xml:space="preserve">( Hough et al., 1983 )</w:t>
        </w:r>
      </w:hyperlink>
      <w:r>
        <w:t xml:space="preserve">.</w:t>
      </w:r>
    </w:p>
    <w:p>
      <w:pPr>
        <w:numPr>
          <w:ilvl w:val="0"/>
          <w:numId w:val="1003"/>
        </w:numPr>
      </w:pPr>
      <w:r>
        <w:rPr>
          <w:b/>
          <w:bCs/>
        </w:rPr>
        <w:t xml:space="preserve">장점</w:t>
      </w:r>
      <w:r>
        <w:t xml:space="preserve">: AR은 경험식 생체자료(biodata)나 배경조사보다 조작 정의가 명확하고, 지원자가 자신의 강점을 선택적으로 부각할 수 있으므로 반응 왜곡(faking)에 상대적으로 강하다. 또한 비적응집단(adverse impact)이 적은 것으로 보고된다</w:t>
      </w:r>
      <w:r>
        <w:t xml:space="preserve"> </w:t>
      </w:r>
      <w:hyperlink r:id="rId12">
        <w:r>
          <w:rPr>
            <w:rStyle w:val="Hyperlink"/>
          </w:rPr>
          <w:t xml:space="preserve">( Hough et al., 1983 )</w:t>
        </w:r>
      </w:hyperlink>
      <w:r>
        <w:t xml:space="preserve">.</w:t>
      </w:r>
    </w:p>
    <w:p>
      <w:pPr>
        <w:pStyle w:val="FirstParagraph"/>
      </w:pPr>
      <w:r>
        <w:t xml:space="preserve">Campion 등(2016)은 AR의 컴퓨터 자동채점(NLP 기반)을 탐색하며, 자동채점 점수가 인간 채점 점수와 유의미한 구인타당도를 보이고, 소수집단에 불이익을 주지 않으며, 약 46,000명 지원자 규모에서 실시할 경우 긍정적 재무효과가 있음을 보였다</w:t>
      </w:r>
      <w:r>
        <w:t xml:space="preserve"> </w:t>
      </w:r>
      <w:hyperlink r:id="rId13">
        <w:r>
          <w:rPr>
            <w:rStyle w:val="Hyperlink"/>
          </w:rPr>
          <w:t xml:space="preserve">( Campion et al., 2016 )</w:t>
        </w:r>
      </w:hyperlink>
      <w:r>
        <w:t xml:space="preserve">.</w:t>
      </w:r>
    </w:p>
    <w:p>
      <w:pPr>
        <w:pStyle w:val="BodyText"/>
      </w:pPr>
      <w:r>
        <w:rPr>
          <w:b/>
          <w:bCs/>
        </w:rPr>
        <w:t xml:space="preserve">1-4. Biodata(경험식 생체자료) 문항의 구성 원리와 채점 키 개발</w:t>
      </w:r>
    </w:p>
    <w:p>
      <w:pPr>
        <w:pStyle w:val="BodyText"/>
      </w:pPr>
      <w:r>
        <w:t xml:space="preserve">Biodata는 지원자의 과거 경험·행동·배경을 묻는 객관식·반객관식 문항군이며, 문항-준거 관계를 바탕으로 채점 키(scoring key)를 개발하는 것이 핵심이다</w:t>
      </w:r>
      <w:r>
        <w:t xml:space="preserve"> </w:t>
      </w:r>
      <w:hyperlink r:id="rId14">
        <w:r>
          <w:rPr>
            <w:rStyle w:val="Hyperlink"/>
          </w:rPr>
          <w:t xml:space="preserve">( Weddington &amp; Paul, 2020 )</w:t>
        </w:r>
      </w:hyperlink>
      <w:r>
        <w:t xml:space="preserve">.</w:t>
      </w:r>
    </w:p>
    <w:p>
      <w:pPr>
        <w:pStyle w:val="BodyText"/>
      </w:pPr>
      <w:r>
        <w:rPr>
          <w:b/>
          <w:bCs/>
        </w:rPr>
        <w:t xml:space="preserve">구성 원리</w:t>
      </w:r>
      <w:r>
        <w:t xml:space="preserve">: Mumford &amp; Owens(1987)의 생태모델(ecology model)에 따르면, 개인의 과거 환경·경험이 현재 행동을 형성한다는 가정 하에 문항을 설계한다</w:t>
      </w:r>
      <w:r>
        <w:t xml:space="preserve"> </w:t>
      </w:r>
      <w:hyperlink r:id="rId15">
        <w:r>
          <w:rPr>
            <w:rStyle w:val="Hyperlink"/>
          </w:rPr>
          <w:t xml:space="preserve">( Dean, 1999 )</w:t>
        </w:r>
      </w:hyperlink>
      <w:r>
        <w:t xml:space="preserve">. 문항은 (a) 검증 가능(verifiable), (b) 직무관련, (c) 비침해적(nonintrusive)이어야 한다</w:t>
      </w:r>
      <w:r>
        <w:t xml:space="preserve"> </w:t>
      </w:r>
      <w:hyperlink r:id="rId16">
        <w:r>
          <w:rPr>
            <w:rStyle w:val="Hyperlink"/>
          </w:rPr>
          <w:t xml:space="preserve">( Kilcullen et al., 1995 )</w:t>
        </w:r>
      </w:hyperlink>
      <w:r>
        <w:t xml:space="preserve">.</w:t>
      </w:r>
    </w:p>
    <w:p>
      <w:pPr>
        <w:pStyle w:val="BodyText"/>
      </w:pPr>
      <w:r>
        <w:rPr>
          <w:b/>
          <w:bCs/>
        </w:rPr>
        <w:t xml:space="preserve">채점 키 개발 방법</w:t>
      </w:r>
      <w:r>
        <w:t xml:space="preserve">: 세 가지 주요 방법이 비교 연구되었다</w:t>
      </w:r>
      <w:r>
        <w:t xml:space="preserve"> </w:t>
      </w:r>
      <w:hyperlink r:id="rId17">
        <w:r>
          <w:rPr>
            <w:rStyle w:val="Hyperlink"/>
          </w:rPr>
          <w:t xml:space="preserve">( Speer et al., 2021</w:t>
        </w:r>
      </w:hyperlink>
      <w:r>
        <w:t xml:space="preserve"> </w:t>
      </w:r>
      <w:r>
        <w:t xml:space="preserve">;</w:t>
      </w:r>
      <w:r>
        <w:t xml:space="preserve"> </w:t>
      </w:r>
      <w:hyperlink r:id="rId18">
        <w:r>
          <w:rPr>
            <w:rStyle w:val="Hyperlink"/>
          </w:rPr>
          <w:t xml:space="preserve">Cucina et al., 2012</w:t>
        </w:r>
      </w:hyperlink>
      <w:r>
        <w:t xml:space="preserve"> </w:t>
      </w:r>
      <w:r>
        <w:t xml:space="preserve">;</w:t>
      </w:r>
      <w:r>
        <w:t xml:space="preserve"> </w:t>
      </w:r>
      <w:hyperlink r:id="rId19">
        <w:r>
          <w:rPr>
            <w:rStyle w:val="Hyperlink"/>
          </w:rPr>
          <w:t xml:space="preserve">Stokes &amp; Searcy, 1999 )</w:t>
        </w:r>
      </w:hyperlink>
      <w:r>
        <w:t xml:space="preserve">.</w:t>
      </w:r>
    </w:p>
    <w:p>
      <w:pPr>
        <w:numPr>
          <w:ilvl w:val="0"/>
          <w:numId w:val="1004"/>
        </w:numPr>
      </w:pPr>
      <w:r>
        <w:rPr>
          <w:b/>
          <w:bCs/>
        </w:rPr>
        <w:t xml:space="preserve">경험적 키(empirical key)</w:t>
      </w:r>
      <w:r>
        <w:t xml:space="preserve">: 준거변인(예: 직무성과)과 각 문항 선택지 간의 통계적 관계를 바탕으로 가중치를 부여한다. Speer 등(2021)의 최신 메타분석(180개 독립 표본)에서 경험적 키의 수정타당도 ρ = 0.44로, 합리적 키(ρ = 0.24)를 크게 상회했다</w:t>
      </w:r>
      <w:r>
        <w:t xml:space="preserve"> </w:t>
      </w:r>
      <w:hyperlink r:id="rId17">
        <w:r>
          <w:rPr>
            <w:rStyle w:val="Hyperlink"/>
          </w:rPr>
          <w:t xml:space="preserve">( Speer et al., 2021 )</w:t>
        </w:r>
      </w:hyperlink>
      <w:r>
        <w:t xml:space="preserve">. 단, 교차타당도 검증 시 타당도 축소(shrinkage)가 발생할 수 있으며, 표본이 N &lt; 300일 때 축소가 심하다</w:t>
      </w:r>
      <w:r>
        <w:t xml:space="preserve"> </w:t>
      </w:r>
      <w:hyperlink r:id="rId20">
        <w:r>
          <w:rPr>
            <w:rStyle w:val="Hyperlink"/>
          </w:rPr>
          <w:t xml:space="preserve">( Devlin et al., 1992</w:t>
        </w:r>
      </w:hyperlink>
      <w:r>
        <w:t xml:space="preserve"> </w:t>
      </w:r>
      <w:r>
        <w:t xml:space="preserve">;</w:t>
      </w:r>
      <w:r>
        <w:t xml:space="preserve"> </w:t>
      </w:r>
      <w:hyperlink r:id="rId18">
        <w:r>
          <w:rPr>
            <w:rStyle w:val="Hyperlink"/>
          </w:rPr>
          <w:t xml:space="preserve">Cucina et al., 2012 )</w:t>
        </w:r>
      </w:hyperlink>
      <w:r>
        <w:t xml:space="preserve">.</w:t>
      </w:r>
    </w:p>
    <w:p>
      <w:pPr>
        <w:numPr>
          <w:ilvl w:val="0"/>
          <w:numId w:val="1004"/>
        </w:numPr>
      </w:pPr>
      <w:r>
        <w:rPr>
          <w:b/>
          <w:bCs/>
        </w:rPr>
        <w:t xml:space="preserve">합리적 키(rational key)</w:t>
      </w:r>
      <w:r>
        <w:t xml:space="preserve">: 이론적 구인(예: 성실성, 리더십)에 기반하여 전문가가 선택지에 가중치를 부여한다. 구인의 심리학적 의미가 명확하고 법적 방어력이 높으나, 타당도는 경험적 키에 못 미친다</w:t>
      </w:r>
      <w:r>
        <w:t xml:space="preserve"> </w:t>
      </w:r>
      <w:hyperlink r:id="rId17">
        <w:r>
          <w:rPr>
            <w:rStyle w:val="Hyperlink"/>
          </w:rPr>
          <w:t xml:space="preserve">( Speer et al., 2021</w:t>
        </w:r>
      </w:hyperlink>
      <w:r>
        <w:t xml:space="preserve"> </w:t>
      </w:r>
      <w:r>
        <w:t xml:space="preserve">;</w:t>
      </w:r>
      <w:r>
        <w:t xml:space="preserve"> </w:t>
      </w:r>
      <w:hyperlink r:id="rId19">
        <w:r>
          <w:rPr>
            <w:rStyle w:val="Hyperlink"/>
          </w:rPr>
          <w:t xml:space="preserve">Stokes &amp; Searcy, 1999 )</w:t>
        </w:r>
      </w:hyperlink>
      <w:r>
        <w:t xml:space="preserve">.</w:t>
      </w:r>
    </w:p>
    <w:p>
      <w:pPr>
        <w:numPr>
          <w:ilvl w:val="0"/>
          <w:numId w:val="1004"/>
        </w:numPr>
      </w:pPr>
      <w:r>
        <w:rPr>
          <w:b/>
          <w:bCs/>
        </w:rPr>
        <w:t xml:space="preserve">혼합 키(hybrid key)</w:t>
      </w:r>
      <w:r>
        <w:t xml:space="preserve">: 합리적 채점 후 경험적 미세조정을 거친다. Cucina 등(2012)에 따르면, 소표본에서는 혼합 키가 가장 안정적이고, 대표본(N ≥ 1,000)에서는 단계적 회귀 가중 경험적 키가 최적이다</w:t>
      </w:r>
      <w:r>
        <w:t xml:space="preserve"> </w:t>
      </w:r>
      <w:hyperlink r:id="rId18">
        <w:r>
          <w:rPr>
            <w:rStyle w:val="Hyperlink"/>
          </w:rPr>
          <w:t xml:space="preserve">( Cucina et al., 2012 )</w:t>
        </w:r>
      </w:hyperlink>
      <w:r>
        <w:t xml:space="preserve">.</w:t>
      </w:r>
    </w:p>
    <w:p>
      <w:pPr>
        <w:pStyle w:val="FirstParagraph"/>
      </w:pPr>
      <w:r>
        <w:t xml:space="preserve">Breaugh(2014)는 직무적합 서비스직 28문항 biodata 척도가 고용 후 직무성과를 강력하게 예측하며, 성별·인종에 의한 차별적 영향(adverse impact)이 없음을 보였다</w:t>
      </w:r>
      <w:r>
        <w:t xml:space="preserve"> </w:t>
      </w:r>
      <w:hyperlink r:id="rId21">
        <w:r>
          <w:rPr>
            <w:rStyle w:val="Hyperlink"/>
          </w:rPr>
          <w:t xml:space="preserve">( Breaugh et al., 2014 )</w:t>
        </w:r>
      </w:hyperlink>
      <w:r>
        <w:t xml:space="preserve">. Dean &amp; Broach(2012)는 항공교통관제사 80문항 biodata 척도가 수정타당도</w:t>
      </w:r>
      <w:r>
        <w:t xml:space="preserve"> </w:t>
      </w:r>
      <w:r>
        <w:rPr>
          <w:i/>
          <w:iCs/>
        </w:rPr>
        <w:t xml:space="preserve">r</w:t>
      </w:r>
      <w:r>
        <w:t xml:space="preserve"> </w:t>
      </w:r>
      <w:r>
        <w:t xml:space="preserve">= 0.59를 보이고, 인지능력 검사 대비 29%–32%의 증분 분산을 설명함을 보고했다</w:t>
      </w:r>
      <w:r>
        <w:t xml:space="preserve"> </w:t>
      </w:r>
      <w:hyperlink r:id="rId22">
        <w:r>
          <w:rPr>
            <w:rStyle w:val="Hyperlink"/>
          </w:rPr>
          <w:t xml:space="preserve">( Dean &amp; Broach, 2012 )</w:t>
        </w:r>
      </w:hyperlink>
      <w:r>
        <w:t xml:space="preserve">.</w:t>
      </w:r>
    </w:p>
    <w:bookmarkEnd w:id="23"/>
    <w:bookmarkStart w:id="29" w:name="평정척도rating-scale의-설계"/>
    <w:p>
      <w:pPr>
        <w:pStyle w:val="Heading2"/>
      </w:pPr>
      <w:r>
        <w:t xml:space="preserve">2. 평정척도(rating scale)의 설계</w:t>
      </w:r>
    </w:p>
    <w:p>
      <w:pPr>
        <w:pStyle w:val="FirstParagraph"/>
      </w:pPr>
      <w:r>
        <w:rPr>
          <w:b/>
          <w:bCs/>
        </w:rPr>
        <w:t xml:space="preserve">2-1. BARS(Behaviorally Anchored Rating Scales)의 개발 절차와 행동 기준점 작성</w:t>
      </w:r>
    </w:p>
    <w:p>
      <w:pPr>
        <w:pStyle w:val="BodyText"/>
      </w:pPr>
      <w:r>
        <w:t xml:space="preserve">BARS는 Smith &amp; Kendall(1963)이 제안한 이후 인사평가 분야에서 가장 널리 연구된 척도 형식이다. 개발 절차는 다음 5단계로 표준화되어 있다.</w:t>
      </w:r>
    </w:p>
    <w:p>
      <w:pPr>
        <w:numPr>
          <w:ilvl w:val="0"/>
          <w:numId w:val="1005"/>
        </w:numPr>
      </w:pPr>
      <w:r>
        <w:rPr>
          <w:b/>
          <w:bCs/>
        </w:rPr>
        <w:t xml:space="preserve">직무분석과 핵심행동 수집</w:t>
      </w:r>
      <w:r>
        <w:t xml:space="preserve">: 주요 직무차원을 식별하고, 각 차원에 대한 핵심사건(critical incident)을 수집한다.</w:t>
      </w:r>
    </w:p>
    <w:p>
      <w:pPr>
        <w:numPr>
          <w:ilvl w:val="0"/>
          <w:numId w:val="1005"/>
        </w:numPr>
      </w:pPr>
      <w:r>
        <w:rPr>
          <w:b/>
          <w:bCs/>
        </w:rPr>
        <w:t xml:space="preserve">항목 재번역(retranslation)</w:t>
      </w:r>
      <w:r>
        <w:t xml:space="preserve">: 독립된 전문가 패널이 각 핵심사건을 해당 직무차원에 배정하고, 효과성 7점 척도에 배치한다.</w:t>
      </w:r>
    </w:p>
    <w:p>
      <w:pPr>
        <w:numPr>
          <w:ilvl w:val="0"/>
          <w:numId w:val="1005"/>
        </w:numPr>
      </w:pPr>
      <w:r>
        <w:rPr>
          <w:b/>
          <w:bCs/>
        </w:rPr>
        <w:t xml:space="preserve">차원-효과성 교차판정</w:t>
      </w:r>
      <w:r>
        <w:t xml:space="preserve">: 전문가 간 일치도가 높은(보통 50%–80% 이상) 핵심사건만 유지하여 각 척도 수준의 행동 기준점(behavioral anchor)으로 채택한다.</w:t>
      </w:r>
    </w:p>
    <w:p>
      <w:pPr>
        <w:numPr>
          <w:ilvl w:val="0"/>
          <w:numId w:val="1005"/>
        </w:numPr>
      </w:pPr>
      <w:r>
        <w:rPr>
          <w:b/>
          <w:bCs/>
        </w:rPr>
        <w:t xml:space="preserve">척도 구성</w:t>
      </w:r>
      <w:r>
        <w:t xml:space="preserve">: 각 직무차원별로 5–7점 척도를 구성하고, 각 점수 수준에 대표적 행동 서술을 기준점으로 배치한다.</w:t>
      </w:r>
    </w:p>
    <w:p>
      <w:pPr>
        <w:numPr>
          <w:ilvl w:val="0"/>
          <w:numId w:val="1005"/>
        </w:numPr>
      </w:pPr>
      <w:r>
        <w:rPr>
          <w:b/>
          <w:bCs/>
        </w:rPr>
        <w:t xml:space="preserve">검토 및 수정</w:t>
      </w:r>
      <w:r>
        <w:t xml:space="preserve">: 실무자·전문가의 검토를 거쳐 모호한 기준점 문구를 수정한다.</w:t>
      </w:r>
    </w:p>
    <w:p>
      <w:pPr>
        <w:pStyle w:val="FirstParagraph"/>
      </w:pPr>
      <w:r>
        <w:t xml:space="preserve">Melchers, Lienhardt, von Aarburg, &amp; Kleinmann(2011)은 BARS의 기술적 행동 기준점(descriptively anchored rating scales)이 프레임-오브-레퍼런스(FOR) 훈련과 유사한 메커니즘—평가자에게 공통 평가 기준을 제공—으로 작동함을 보였다. 두 방법 모두 평가정확도와 평가자 간 일치도를 유의미하게 향상시켰으며, 두 방법을 결합하면 추가적인 향상이 있었다</w:t>
      </w:r>
      <w:r>
        <w:t xml:space="preserve"> </w:t>
      </w:r>
      <w:hyperlink r:id="rId24">
        <w:r>
          <w:rPr>
            <w:rStyle w:val="Hyperlink"/>
          </w:rPr>
          <w:t xml:space="preserve">( Melchers et al., 2011 )</w:t>
        </w:r>
      </w:hyperlink>
      <w:r>
        <w:t xml:space="preserve">.</w:t>
      </w:r>
    </w:p>
    <w:p>
      <w:pPr>
        <w:pStyle w:val="BodyText"/>
      </w:pPr>
      <w:r>
        <w:rPr>
          <w:b/>
          <w:bCs/>
        </w:rPr>
        <w:t xml:space="preserve">2-2. 척도 점수 개수가 신뢰도와 타당도에 미치는 영향</w:t>
      </w:r>
    </w:p>
    <w:p>
      <w:pPr>
        <w:pStyle w:val="BodyText"/>
      </w:pPr>
      <w:r>
        <w:t xml:space="preserve">Preston &amp; Colman(2000)은 2점에서 101점까지의 척도를 체계적으로 비교한 대표적 연구에서 다음을 보고했다</w:t>
      </w:r>
      <w:r>
        <w:t xml:space="preserve"> </w:t>
      </w:r>
      <w:hyperlink r:id="rId25">
        <w:r>
          <w:rPr>
            <w:rStyle w:val="Hyperlink"/>
          </w:rPr>
          <w:t xml:space="preserve">( Preston &amp; Colman, 2000 )</w:t>
        </w:r>
      </w:hyperlink>
      <w:r>
        <w:t xml:space="preserve">.</w:t>
      </w:r>
    </w:p>
    <w:p>
      <w:pPr>
        <w:numPr>
          <w:ilvl w:val="0"/>
          <w:numId w:val="1006"/>
        </w:numPr>
      </w:pPr>
      <w:r>
        <w:rPr>
          <w:b/>
          <w:bCs/>
        </w:rPr>
        <w:t xml:space="preserve">검사-재검사 신뢰도</w:t>
      </w:r>
      <w:r>
        <w:t xml:space="preserve">: 2–4점 척도에서 가장 낮고, 7–10점 척도에서 가장 높았다. 2점 척도와 7–10점 척도 간 차이는 통계적으로 유의미했다(</w:t>
      </w:r>
      <w:r>
        <w:rPr>
          <w:i/>
          <w:iCs/>
        </w:rPr>
        <w:t xml:space="preserve">p</w:t>
      </w:r>
      <w:r>
        <w:t xml:space="preserve"> </w:t>
      </w:r>
      <w:r>
        <w:t xml:space="preserve">&lt; .05). 11점 이상에서는 약간의 하락이 관찰되었다.</w:t>
      </w:r>
    </w:p>
    <w:p>
      <w:pPr>
        <w:numPr>
          <w:ilvl w:val="0"/>
          <w:numId w:val="1006"/>
        </w:numPr>
      </w:pPr>
      <w:r>
        <w:rPr>
          <w:b/>
          <w:bCs/>
        </w:rPr>
        <w:t xml:space="preserve">내적일치도(Cronbach α)</w:t>
      </w:r>
      <w:r>
        <w:t xml:space="preserve">: 2–3점 척도에서 가장 낮고, 7점 이상에서 포화에 근접했다(7, 8, 9, 10, 11, 101점 척도의 α값은 서로 유의미하게 다르지 않음).</w:t>
      </w:r>
    </w:p>
    <w:p>
      <w:pPr>
        <w:numPr>
          <w:ilvl w:val="0"/>
          <w:numId w:val="1006"/>
        </w:numPr>
      </w:pPr>
      <w:r>
        <w:rPr>
          <w:b/>
          <w:bCs/>
        </w:rPr>
        <w:t xml:space="preserve">준거타당도</w:t>
      </w:r>
      <w:r>
        <w:t xml:space="preserve">: 2–4점 척도에서 가장 낮고(</w:t>
      </w:r>
      <w:r>
        <w:rPr>
          <w:i/>
          <w:iCs/>
        </w:rPr>
        <w:t xml:space="preserve">r</w:t>
      </w:r>
      <w:r>
        <w:t xml:space="preserve"> </w:t>
      </w:r>
      <w:r>
        <w:t xml:space="preserve">&lt; 0.86), 5점 이상에서 약간 높았으나(약</w:t>
      </w:r>
      <w:r>
        <w:t xml:space="preserve"> </w:t>
      </w:r>
      <w:r>
        <w:rPr>
          <w:i/>
          <w:iCs/>
        </w:rPr>
        <w:t xml:space="preserve">r</w:t>
      </w:r>
      <w:r>
        <w:t xml:space="preserve"> </w:t>
      </w:r>
      <w:r>
        <w:t xml:space="preserve">= 0.88) 통계적으로 유의미한 차이는 아니었다.</w:t>
      </w:r>
    </w:p>
    <w:p>
      <w:pPr>
        <w:numPr>
          <w:ilvl w:val="0"/>
          <w:numId w:val="1006"/>
        </w:numPr>
      </w:pPr>
      <w:r>
        <w:rPr>
          <w:b/>
          <w:bCs/>
        </w:rPr>
        <w:t xml:space="preserve">판별력</w:t>
      </w:r>
      <w:r>
        <w:t xml:space="preserve">: 2–4점 척도에서 가장 낮았고, 9점·101점 척도에서 유의미하게 높았다.</w:t>
      </w:r>
    </w:p>
    <w:p>
      <w:pPr>
        <w:numPr>
          <w:ilvl w:val="0"/>
          <w:numId w:val="1006"/>
        </w:numPr>
      </w:pPr>
      <w:r>
        <w:rPr>
          <w:b/>
          <w:bCs/>
        </w:rPr>
        <w:t xml:space="preserve">응답자 선호</w:t>
      </w:r>
      <w:r>
        <w:t xml:space="preserve">: "사용 용이성"에서 5·7·10점이 가장 높고, "감정 표현 적절성"에서 10·9·7점이 가장 높았다.</w:t>
      </w:r>
    </w:p>
    <w:p>
      <w:pPr>
        <w:pStyle w:val="FirstParagraph"/>
      </w:pPr>
      <w:r>
        <w:t xml:space="preserve">결론적으로, 7점·9점·10점 척도가 신뢰도·타당도·판별력·선호도를 종합적으로 고려할 때 최적인 것으로 나타났다. 5점 척도의 보편적 인기는 실증적 근거에 비추어 과대평가된 측면이 있다</w:t>
      </w:r>
      <w:r>
        <w:t xml:space="preserve"> </w:t>
      </w:r>
      <w:hyperlink r:id="rId25">
        <w:r>
          <w:rPr>
            <w:rStyle w:val="Hyperlink"/>
          </w:rPr>
          <w:t xml:space="preserve">( Preston &amp; Colman, 2000 )</w:t>
        </w:r>
      </w:hyperlink>
      <w:r>
        <w:t xml:space="preserve">.</w:t>
      </w:r>
    </w:p>
    <w:p>
      <w:pPr>
        <w:pStyle w:val="BodyText"/>
      </w:pPr>
      <w:r>
        <w:rPr>
          <w:b/>
          <w:bCs/>
        </w:rPr>
        <w:t xml:space="preserve">2-3. 행동 기준점이 있는 척도와 없는 척도의 평가자 간 일치도 차이</w:t>
      </w:r>
    </w:p>
    <w:p>
      <w:pPr>
        <w:pStyle w:val="BodyText"/>
      </w:pPr>
      <w:r>
        <w:t xml:space="preserve">Melchers 등(2011)의 2×2 실험설계(기술적 행동 기준점 유무 × FOR 훈련 유무)에서</w:t>
      </w:r>
      <w:r>
        <w:t xml:space="preserve"> </w:t>
      </w:r>
      <w:hyperlink r:id="rId24">
        <w:r>
          <w:rPr>
            <w:rStyle w:val="Hyperlink"/>
          </w:rPr>
          <w:t xml:space="preserve">( Melchers et al., 2011 )</w:t>
        </w:r>
      </w:hyperlink>
      <w:r>
        <w:t xml:space="preserve">:</w:t>
      </w:r>
    </w:p>
    <w:p>
      <w:pPr>
        <w:numPr>
          <w:ilvl w:val="0"/>
          <w:numId w:val="1007"/>
        </w:numPr>
      </w:pPr>
      <w:r>
        <w:t xml:space="preserve">행동 기준점 제공만으로도 대조군(기준점 없음·훈련 없음) 대비 평가정확도와 평가자 간 일치도가 유의미하게 향상되었다.</w:t>
      </w:r>
    </w:p>
    <w:p>
      <w:pPr>
        <w:numPr>
          <w:ilvl w:val="0"/>
          <w:numId w:val="1007"/>
        </w:numPr>
      </w:pPr>
      <w:r>
        <w:t xml:space="preserve">FOR 훈련만 제공해도 동등한 수준의 향상이 있었다.</w:t>
      </w:r>
    </w:p>
    <w:p>
      <w:pPr>
        <w:numPr>
          <w:ilvl w:val="0"/>
          <w:numId w:val="1007"/>
        </w:numPr>
      </w:pPr>
      <w:r>
        <w:t xml:space="preserve">두 방법을 결합하면 개별 효과를 합산한 수준 이상의 향상(상승효과)이 관찰되었다.</w:t>
      </w:r>
    </w:p>
    <w:p>
      <w:pPr>
        <w:pStyle w:val="FirstParagraph"/>
      </w:pPr>
      <w:r>
        <w:t xml:space="preserve">이는 행동 기준점과 FOR 훈련이 같은 메커니즘—평가자의 공통 평가 프레임 제공—으로 작동하지만, 서로 다른 경로(기준점은 척도 내에 표제, 훈련은 인지적 프레임 구축)를 통해 보완적으로 기여함을 시사한다.</w:t>
      </w:r>
    </w:p>
    <w:p>
      <w:pPr>
        <w:pStyle w:val="BodyText"/>
      </w:pPr>
      <w:r>
        <w:rPr>
          <w:b/>
          <w:bCs/>
        </w:rPr>
        <w:t xml:space="preserve">2-4. 서술형 근거(rationale)를 함께 쓰게 하는 것이 채점 품질에 미치는 영향</w:t>
      </w:r>
    </w:p>
    <w:p>
      <w:pPr>
        <w:pStyle w:val="BodyText"/>
      </w:pPr>
      <w:r>
        <w:t xml:space="preserve">채점 시 서술형 근거를 요구하는 것은 평가의 투명성과 일관성을 높이는 수단으로 연구되어 왔다.</w:t>
      </w:r>
    </w:p>
    <w:p>
      <w:pPr>
        <w:numPr>
          <w:ilvl w:val="0"/>
          <w:numId w:val="1008"/>
        </w:numPr>
      </w:pPr>
      <w:r>
        <w:t xml:space="preserve">Chen 등(2026)은 "구조적 근거 프롬프팅(structural rationale prompting)"이 LLM 채점자의 인간 합치도를 유의미하게 향상시킴을 보였다</w:t>
      </w:r>
      <w:r>
        <w:t xml:space="preserve"> </w:t>
      </w:r>
      <w:hyperlink r:id="rId26">
        <w:r>
          <w:rPr>
            <w:rStyle w:val="Hyperlink"/>
          </w:rPr>
          <w:t xml:space="preserve">( Chen et al., 2026 )</w:t>
        </w:r>
      </w:hyperlink>
      <w:r>
        <w:t xml:space="preserve">. 즉, 점수를 부여하기 전에 평가 기준별 판단 근거를 구조화하여 서술하게 하면, 판단의 일관성과 준거부합성이 높아진다.</w:t>
      </w:r>
    </w:p>
    <w:p>
      <w:pPr>
        <w:numPr>
          <w:ilvl w:val="0"/>
          <w:numId w:val="1008"/>
        </w:numPr>
      </w:pPr>
      <w:r>
        <w:t xml:space="preserve">Trivedi 등(2024)은 "자기합리화(self-rationalization)"—판단과 근거를 반복적으로 생성·비교하여 DPO로 미세조정—이 판단의 정교함과 채점 정확도를 동시에 향상시킴을 보였다</w:t>
      </w:r>
      <w:r>
        <w:t xml:space="preserve"> </w:t>
      </w:r>
      <w:hyperlink r:id="rId27">
        <w:r>
          <w:rPr>
            <w:rStyle w:val="Hyperlink"/>
          </w:rPr>
          <w:t xml:space="preserve">( Trivedi et al., 2024 )</w:t>
        </w:r>
      </w:hyperlink>
      <w:r>
        <w:t xml:space="preserve">.</w:t>
      </w:r>
    </w:p>
    <w:p>
      <w:pPr>
        <w:numPr>
          <w:ilvl w:val="0"/>
          <w:numId w:val="1008"/>
        </w:numPr>
      </w:pPr>
      <w:r>
        <w:t xml:space="preserve">Johnson 등(2005)은 필기 평가에서 두 평가자의 점수가 불일치할 때 (a) 단순 평균과 (b) 토론을 통한 합의를 비교했다. 토론 방식이 정확도를 더 높이는 경향이 있었으나, 한 평가자가 다른 평가자에게 지나치게 동조하는(dominate/defer) 현상도 관찰되었다</w:t>
      </w:r>
      <w:r>
        <w:t xml:space="preserve"> </w:t>
      </w:r>
      <w:hyperlink r:id="rId28">
        <w:r>
          <w:rPr>
            <w:rStyle w:val="Hyperlink"/>
          </w:rPr>
          <w:t xml:space="preserve">( Johnson et al., 2005 )</w:t>
        </w:r>
      </w:hyperlink>
      <w:r>
        <w:t xml:space="preserve">.</w:t>
      </w:r>
    </w:p>
    <w:p>
      <w:pPr>
        <w:pStyle w:val="FirstParagraph"/>
      </w:pPr>
      <w:r>
        <w:t xml:space="preserve">인간 평가자와 LLM 평가자 모두에서, 근거 서술은 채점 품질을 향상시키는 방법이지만, 그 효과는 근거의 구조화 정도와 독립성 보장 여부에 따라 달라진다.</w:t>
      </w:r>
    </w:p>
    <w:bookmarkEnd w:id="29"/>
    <w:bookmarkStart w:id="40" w:name="복수-평가자-설계-몇-명이-어떻게-채점해야-하는가"/>
    <w:p>
      <w:pPr>
        <w:pStyle w:val="Heading2"/>
      </w:pPr>
      <w:r>
        <w:t xml:space="preserve">3. 복수 평가자 설계 — 몇 명이 어떻게 채점해야 하는가</w:t>
      </w:r>
    </w:p>
    <w:p>
      <w:pPr>
        <w:pStyle w:val="FirstParagraph"/>
      </w:pPr>
      <w:r>
        <w:rPr>
          <w:b/>
          <w:bCs/>
        </w:rPr>
        <w:t xml:space="preserve">3-1. 평가자 간 신뢰도 확보에 필요한 평가자 수</w:t>
      </w:r>
    </w:p>
    <w:p>
      <w:pPr>
        <w:pStyle w:val="BodyText"/>
      </w:pPr>
      <w:r>
        <w:t xml:space="preserve">Voskuijl &amp; van Sliedregt(2002)의 직무분석 메타분석은 평가자 수와 신뢰도의 관계를 정량화했다</w:t>
      </w:r>
      <w:r>
        <w:t xml:space="preserve"> </w:t>
      </w:r>
      <w:hyperlink r:id="rId30">
        <w:r>
          <w:rPr>
            <w:rStyle w:val="Hyperlink"/>
          </w:rPr>
          <w:t xml:space="preserve">( Voskuijl &amp; Sliedregt, 2002 )</w:t>
        </w:r>
      </w:hyperlink>
      <w:r>
        <w:t xml:space="preserve">.</w:t>
      </w:r>
    </w:p>
    <w:p>
      <w:pPr>
        <w:numPr>
          <w:ilvl w:val="0"/>
          <w:numId w:val="1009"/>
        </w:numPr>
      </w:pPr>
      <w:r>
        <w:t xml:space="preserve">경험이 없는 비전문가 평가자(재직자, 학생)가 1명일 때 평균 평가자 간 신뢰도</w:t>
      </w:r>
      <w:r>
        <w:t xml:space="preserve"> </w:t>
      </w:r>
      <w:r>
        <w:rPr>
          <w:i/>
          <w:iCs/>
        </w:rPr>
        <w:t xml:space="preserve">r</w:t>
      </w:r>
      <w:r>
        <w:t xml:space="preserve"> </w:t>
      </w:r>
      <w:r>
        <w:t xml:space="preserve">= 0.59(91개 계수 메타분석).</w:t>
      </w:r>
    </w:p>
    <w:p>
      <w:pPr>
        <w:numPr>
          <w:ilvl w:val="0"/>
          <w:numId w:val="1009"/>
        </w:numPr>
      </w:pPr>
      <w:r>
        <w:t xml:space="preserve">신뢰도 0.80을 확보하기 위해 비전문가의 경우 2–4명의 평가자가 필요하다.</w:t>
      </w:r>
    </w:p>
    <w:p>
      <w:pPr>
        <w:numPr>
          <w:ilvl w:val="0"/>
          <w:numId w:val="1009"/>
        </w:numPr>
      </w:pPr>
      <w:r>
        <w:t xml:space="preserve">전문직무분석가의 경우 1명만으로도 신뢰도 0.76에 도달하며, 직무 접촉 기반 분석 시 0.87까지 상승한다.</w:t>
      </w:r>
    </w:p>
    <w:p>
      <w:pPr>
        <w:numPr>
          <w:ilvl w:val="0"/>
          <w:numId w:val="1009"/>
        </w:numPr>
      </w:pPr>
      <w:r>
        <w:t xml:space="preserve">척도에 명확한 수준 정의(defined levels)가 있을 때, 정의가 없는 척도보다 신뢰도가 유의미하게 높았다.</w:t>
      </w:r>
    </w:p>
    <w:p>
      <w:pPr>
        <w:pStyle w:val="FirstParagraph"/>
      </w:pPr>
      <w:r>
        <w:t xml:space="preserve">Conway, Jako, &amp; Goodman(1995)의 구조화 면접 메타분석에 따르면</w:t>
      </w:r>
      <w:r>
        <w:t xml:space="preserve"> </w:t>
      </w:r>
      <w:hyperlink r:id="rId31">
        <w:r>
          <w:rPr>
            <w:rStyle w:val="Hyperlink"/>
          </w:rPr>
          <w:t xml:space="preserve">( Conway et al., 1995 )</w:t>
        </w:r>
      </w:hyperlink>
      <w:r>
        <w:t xml:space="preserve">, 고도로 구조화된 면접(질문·응답평가·점수조합 모두 표준화)에서 평가자 간 신뢰도가 높았으며, 기계적 집계(mechanical combination)가 주관적 집계보다 신뢰도 향상에 유효했다. Schmidt &amp; Zimmerman(2004)은 1명의 구조화 면접관이 얻는 타당도가 3–4명의 비구조화 면접관과 동등함을 보였다</w:t>
      </w:r>
      <w:r>
        <w:t xml:space="preserve"> </w:t>
      </w:r>
      <w:hyperlink r:id="rId32">
        <w:r>
          <w:rPr>
            <w:rStyle w:val="Hyperlink"/>
          </w:rPr>
          <w:t xml:space="preserve">( Sackett &amp; Lievens, 2007 )</w:t>
        </w:r>
      </w:hyperlink>
      <w:r>
        <w:t xml:space="preserve">.</w:t>
      </w:r>
    </w:p>
    <w:p>
      <w:pPr>
        <w:pStyle w:val="BodyText"/>
      </w:pPr>
      <w:r>
        <w:rPr>
          <w:b/>
          <w:bCs/>
        </w:rPr>
        <w:t xml:space="preserve">3-2. 합의(consensus) 방식과 평균(averaging) 방식의 비교</w:t>
      </w:r>
    </w:p>
    <w:p>
      <w:pPr>
        <w:numPr>
          <w:ilvl w:val="0"/>
          <w:numId w:val="1010"/>
        </w:numPr>
      </w:pPr>
      <w:r>
        <w:rPr>
          <w:b/>
          <w:bCs/>
        </w:rPr>
        <w:t xml:space="preserve">평균 방식(averaging)</w:t>
      </w:r>
      <w:r>
        <w:t xml:space="preserve">: 독립적으로 부여된 점수를 단순 산술평균한다. 무작위 오차를 상쇄하므로 신뢰도가 향상되며, Tsujimoto, Hamilton, &amp; Berger(1990)에 따르면, 개별 평가자의 타당도가</w:t>
      </w:r>
      <w:r>
        <w:t xml:space="preserve"> </w:t>
      </w:r>
      <w:r>
        <w:rPr>
          <w:i/>
          <w:iCs/>
        </w:rPr>
        <w:t xml:space="preserve">r</w:t>
      </w:r>
      <w:r>
        <w:t xml:space="preserve">일 때</w:t>
      </w:r>
      <w:r>
        <w:t xml:space="preserve"> </w:t>
      </w:r>
      <w:r>
        <w:rPr>
          <w:i/>
          <w:iCs/>
        </w:rPr>
        <w:t xml:space="preserve">k</w:t>
      </w:r>
      <w:r>
        <w:t xml:space="preserve">명 평가자의 합성판단 타당도는 간단히 예측 가능하다</w:t>
      </w:r>
      <w:r>
        <w:t xml:space="preserve"> </w:t>
      </w:r>
      <w:hyperlink r:id="rId33">
        <w:r>
          <w:rPr>
            <w:rStyle w:val="Hyperlink"/>
          </w:rPr>
          <w:t xml:space="preserve">( Tsujimoto et al., 1990 )</w:t>
        </w:r>
      </w:hyperlink>
      <w:r>
        <w:t xml:space="preserve">. 합성판단은 특히 평가자 간 중복도(redundancy)가 낮을 때 큰 타당도 향상을 가져온다.</w:t>
      </w:r>
    </w:p>
    <w:p>
      <w:pPr>
        <w:numPr>
          <w:ilvl w:val="0"/>
          <w:numId w:val="1010"/>
        </w:numPr>
      </w:pPr>
      <w:r>
        <w:rPr>
          <w:b/>
          <w:bCs/>
        </w:rPr>
        <w:t xml:space="preserve">합의 방식(consensus)</w:t>
      </w:r>
      <w:r>
        <w:t xml:space="preserve">: 평가자들이 토론 후 합의 점수를 도출한다. Pulakos, Schmitt, Whitney, &amp; Smith(1996)는 구조화 면접에서 합의 방식이 평균 방식보다 타당도가 유의미하게 높았으나, 그 차이는 실무적으로 미미함을 보였다</w:t>
      </w:r>
      <w:r>
        <w:t xml:space="preserve"> </w:t>
      </w:r>
      <w:hyperlink r:id="rId34">
        <w:r>
          <w:rPr>
            <w:rStyle w:val="Hyperlink"/>
          </w:rPr>
          <w:t xml:space="preserve">( Pulakos et al., 1996 )</w:t>
        </w:r>
      </w:hyperlink>
      <w:r>
        <w:t xml:space="preserve">.</w:t>
      </w:r>
    </w:p>
    <w:p>
      <w:pPr>
        <w:numPr>
          <w:ilvl w:val="0"/>
          <w:numId w:val="1010"/>
        </w:numPr>
      </w:pPr>
      <w:r>
        <w:rPr>
          <w:b/>
          <w:bCs/>
        </w:rPr>
        <w:t xml:space="preserve">오류 가능성</w:t>
      </w:r>
      <w:r>
        <w:t xml:space="preserve">: Johnson 등(2005)은 한 평가자가 토론에서 지배적 역할을 하여 다른 평가자가 동조(defer)하는 현상을 관찰했다</w:t>
      </w:r>
      <w:r>
        <w:t xml:space="preserve"> </w:t>
      </w:r>
      <w:hyperlink r:id="rId28">
        <w:r>
          <w:rPr>
            <w:rStyle w:val="Hyperlink"/>
          </w:rPr>
          <w:t xml:space="preserve">( Johnson et al., 2005 )</w:t>
        </w:r>
      </w:hyperlink>
      <w:r>
        <w:t xml:space="preserve">. 합의 방식에서는 동조 압력·지위 효과·초기 선호 고착화의 위험이 있다.</w:t>
      </w:r>
    </w:p>
    <w:p>
      <w:pPr>
        <w:pStyle w:val="FirstParagraph"/>
      </w:pPr>
      <w:r>
        <w:t xml:space="preserve">고위험(hi-stakes) 평가에서는 원칙적으로 독립 채점 후 평균을 권장하며, 불일치가 일정 범위를 초과할 때만 제한적 합의(제3평가자 투입 또는 국한적 토론)를 허용하는 설계가 일반적이다.</w:t>
      </w:r>
    </w:p>
    <w:p>
      <w:pPr>
        <w:pStyle w:val="BodyText"/>
      </w:pPr>
      <w:r>
        <w:rPr>
          <w:b/>
          <w:bCs/>
        </w:rPr>
        <w:t xml:space="preserve">3-3. 평가자 간 이견이 클 때의 처리 절차</w:t>
      </w:r>
    </w:p>
    <w:p>
      <w:pPr>
        <w:pStyle w:val="BodyText"/>
      </w:pPr>
      <w:r>
        <w:t xml:space="preserve">실무에서 널리 사용되는 절차는 다음과 같다.</w:t>
      </w:r>
    </w:p>
    <w:p>
      <w:pPr>
        <w:numPr>
          <w:ilvl w:val="0"/>
          <w:numId w:val="1011"/>
        </w:numPr>
      </w:pPr>
      <w:r>
        <w:rPr>
          <w:b/>
          <w:bCs/>
        </w:rPr>
        <w:t xml:space="preserve">제3평가자 투입(third-reader model)</w:t>
      </w:r>
      <w:r>
        <w:t xml:space="preserve">: 두 평가자의 점수 차가 사전 설정역(pretermined threshold, 예: 2점 이상)을 초과하면 제3평가자가 독립 채점 후 최종 점수를 결정한다. TOEFL·IELTS 등 대규모 시험이 이 모델을 채택한다.</w:t>
      </w:r>
    </w:p>
    <w:p>
      <w:pPr>
        <w:numPr>
          <w:ilvl w:val="0"/>
          <w:numId w:val="1011"/>
        </w:numPr>
      </w:pPr>
      <w:r>
        <w:rPr>
          <w:b/>
          <w:bCs/>
        </w:rPr>
        <w:t xml:space="preserve">국한적 토론 정규화</w:t>
      </w:r>
      <w:r>
        <w:t xml:space="preserve">: 토론 시 한 평가자가 지나치게 동조하지 않도록, 각 평가자가 자신의 판단 근거를 먼저 서면 작성한 후 공유·토론하는 절차가 권장된다</w:t>
      </w:r>
      <w:r>
        <w:t xml:space="preserve"> </w:t>
      </w:r>
      <w:hyperlink r:id="rId28">
        <w:r>
          <w:rPr>
            <w:rStyle w:val="Hyperlink"/>
          </w:rPr>
          <w:t xml:space="preserve">( Johnson et al., 2005 )</w:t>
        </w:r>
      </w:hyperlink>
      <w:r>
        <w:t xml:space="preserve">.</w:t>
      </w:r>
    </w:p>
    <w:p>
      <w:pPr>
        <w:pStyle w:val="FirstParagraph"/>
      </w:pPr>
      <w:r>
        <w:rPr>
          <w:b/>
          <w:bCs/>
        </w:rPr>
        <w:t xml:space="preserve">3-4. 평가자 훈련(frame-of-reference training)이 일치도에 미치는 효과의 크기</w:t>
      </w:r>
    </w:p>
    <w:p>
      <w:pPr>
        <w:pStyle w:val="BodyText"/>
      </w:pPr>
      <w:r>
        <w:rPr>
          <w:b/>
          <w:bCs/>
        </w:rPr>
        <w:t xml:space="preserve">Woehr &amp; Huffcutt(1994)</w:t>
      </w:r>
      <w:r>
        <w:t xml:space="preserve">의 메타분석(451회 인용)은 FOR 훈련이 평가오차 훈련(rater error training, RET)이나 행동관찰 훈련(behavioral observation training, BOT)보다 평가정확도 향상에 가장 효과적임을 확립했다</w:t>
      </w:r>
      <w:r>
        <w:t xml:space="preserve"> </w:t>
      </w:r>
      <w:hyperlink r:id="rId35">
        <w:r>
          <w:rPr>
            <w:rStyle w:val="Hyperlink"/>
          </w:rPr>
          <w:t xml:space="preserve">( Woehr &amp; Huffcutt, 1994 )</w:t>
        </w:r>
      </w:hyperlink>
      <w:r>
        <w:t xml:space="preserve">.</w:t>
      </w:r>
    </w:p>
    <w:p>
      <w:pPr>
        <w:pStyle w:val="BodyText"/>
      </w:pPr>
      <w:r>
        <w:rPr>
          <w:b/>
          <w:bCs/>
        </w:rPr>
        <w:t xml:space="preserve">Roch, Woehr, Mishra, &amp; Kieszczynska(2012)</w:t>
      </w:r>
      <w:r>
        <w:t xml:space="preserve">의 갱신 메타분석(184회 인용)은 Woehr &amp; Huffcutt(1994)의 4배 이상 연구를 포함하여 FOR 훈련의 효과를 재확인했다</w:t>
      </w:r>
      <w:r>
        <w:t xml:space="preserve"> </w:t>
      </w:r>
      <w:hyperlink r:id="rId36">
        <w:r>
          <w:rPr>
            <w:rStyle w:val="Hyperlink"/>
          </w:rPr>
          <w:t xml:space="preserve">( Roch et al., 2012 )</w:t>
        </w:r>
      </w:hyperlink>
      <w:r>
        <w:t xml:space="preserve">. 특히:</w:t>
      </w:r>
    </w:p>
    <w:p>
      <w:pPr>
        <w:numPr>
          <w:ilvl w:val="0"/>
          <w:numId w:val="1012"/>
        </w:numPr>
      </w:pPr>
      <w:r>
        <w:t xml:space="preserve">FOR 훈련은 Borman의 차별정확도(differential accuracy)와 행동정확도(behavioral accuracy)를 가장 크게 향상시켰다.</w:t>
      </w:r>
    </w:p>
    <w:p>
      <w:pPr>
        <w:numPr>
          <w:ilvl w:val="0"/>
          <w:numId w:val="1012"/>
        </w:numPr>
      </w:pPr>
      <w:r>
        <w:t xml:space="preserve">FOR 훈련의 효과는 훈련 프로토콜의 차이에 따라 달랐으며, 표준편차가 큰 차원에서 효과가 더 컸다.</w:t>
      </w:r>
    </w:p>
    <w:p>
      <w:pPr>
        <w:pStyle w:val="FirstParagraph"/>
      </w:pPr>
      <w:r>
        <w:rPr>
          <w:b/>
          <w:bCs/>
        </w:rPr>
        <w:t xml:space="preserve">Schleicher, Day, Mayes, &amp; Riggio(2002)</w:t>
      </w:r>
      <w:r>
        <w:t xml:space="preserve">는 어세스먼트 센터(58명 피평가자, 122명 평가자)에서 FOR 훈련이 (a) 신뢰도, (b) 정확도, (c) 수렴·판별타당도, (d) 준거타당도를 모두 유의미하게 향상시킴을 보였다</w:t>
      </w:r>
      <w:r>
        <w:t xml:space="preserve"> </w:t>
      </w:r>
      <w:hyperlink r:id="rId37">
        <w:r>
          <w:rPr>
            <w:rStyle w:val="Hyperlink"/>
          </w:rPr>
          <w:t xml:space="preserve">( Schleicher et al., 2002 )</w:t>
        </w:r>
      </w:hyperlink>
      <w:r>
        <w:t xml:space="preserve">. 준거타당도 향상까지 보고한 것은 이 연구가 최초이다.</w:t>
      </w:r>
    </w:p>
    <w:p>
      <w:pPr>
        <w:pStyle w:val="BodyText"/>
      </w:pPr>
      <w:r>
        <w:rPr>
          <w:b/>
          <w:bCs/>
        </w:rPr>
        <w:t xml:space="preserve">Tsai, Wee, &amp; Koh(2019)</w:t>
      </w:r>
      <w:r>
        <w:t xml:space="preserve">는 5개 연구(N = 1,143)에서 재구조화 FOR(restructured FOR) 훈련이 전형적 FOR 훈련보다 평가정확도 향상을 최소 2배 이상 달성했으며, 준거타당도도 유의미하게 높임을 보였다</w:t>
      </w:r>
      <w:r>
        <w:t xml:space="preserve"> </w:t>
      </w:r>
      <w:hyperlink r:id="rId38">
        <w:r>
          <w:rPr>
            <w:rStyle w:val="Hyperlink"/>
          </w:rPr>
          <w:t xml:space="preserve">( Tsai et al., 2019 )</w:t>
        </w:r>
      </w:hyperlink>
      <w:r>
        <w:t xml:space="preserve">.</w:t>
      </w:r>
    </w:p>
    <w:p>
      <w:pPr>
        <w:pStyle w:val="BodyText"/>
      </w:pPr>
      <w:r>
        <w:rPr>
          <w:b/>
          <w:bCs/>
        </w:rPr>
        <w:t xml:space="preserve">Gorman &amp; Rentsch(2009)</w:t>
      </w:r>
      <w:r>
        <w:t xml:space="preserve">는 FOR 훈련 후 훈련군이 통제군보다 준거 스키마와 더 유사한 성과 스키마를 가지며, 스키마 정확도가 평가정확도와 정적 상관관계가 있음을 확인했다</w:t>
      </w:r>
      <w:r>
        <w:t xml:space="preserve"> </w:t>
      </w:r>
      <w:hyperlink r:id="rId39">
        <w:r>
          <w:rPr>
            <w:rStyle w:val="Hyperlink"/>
          </w:rPr>
          <w:t xml:space="preserve">( Gorman &amp; Rentsch, 2009 )</w:t>
        </w:r>
      </w:hyperlink>
      <w:r>
        <w:t xml:space="preserve">.</w:t>
      </w:r>
    </w:p>
    <w:p>
      <w:pPr>
        <w:pStyle w:val="BodyText"/>
      </w:pPr>
      <w:r>
        <w:rPr>
          <w:b/>
          <w:bCs/>
        </w:rPr>
        <w:t xml:space="preserve">3-5. 평가자별로 서로 다른 관점·역할을 부여하는 설계의 근거</w:t>
      </w:r>
    </w:p>
    <w:p>
      <w:pPr>
        <w:pStyle w:val="BodyText"/>
      </w:pPr>
      <w:r>
        <w:t xml:space="preserve">이 설계는 인사선발 연구에서 "다각도(multi-trait multi-method)" 접근으로 논의되어 왔다. Sackett &amp; Lievens(2007)는 어세스먼트 센터에서 각 실습(exercise)이 서로 다른 구인을 측정한다는 다차원성 증거를 정리하며, 서로 다른 평가역할(예: 기술 전문가 vs. 리더십 전문가)을 부여하는 설계가 구인판별타당도를 높일 수 있음을 시사했다</w:t>
      </w:r>
      <w:r>
        <w:t xml:space="preserve"> </w:t>
      </w:r>
      <w:hyperlink r:id="rId32">
        <w:r>
          <w:rPr>
            <w:rStyle w:val="Hyperlink"/>
          </w:rPr>
          <w:t xml:space="preserve">( Sackett &amp; Lievens, 2007 )</w:t>
        </w:r>
      </w:hyperlink>
      <w:r>
        <w:t xml:space="preserve">.</w:t>
      </w:r>
    </w:p>
    <w:p>
      <w:pPr>
        <w:pStyle w:val="BodyText"/>
      </w:pPr>
      <w:r>
        <w:t xml:space="preserve">그러나 이 설계를 평가자 간 일치도 관점에서 직접 검증한 연구는 드물다. 간접 근거로, 단일 구인 측정 시 평가자 간 일치도가 높고, 다차원 평가 시 각 차원별 일치도가 하락하는 경향이 있다. 따라서 "서로 다른 관점 부여"는 평가자 간 이견을 의도적으로 도입하는 설계이므로, 일치도 확보보다는 구인타당도 확보를 위한 설계로 이해해야 한다.</w:t>
      </w:r>
    </w:p>
    <w:bookmarkEnd w:id="40"/>
    <w:bookmarkStart w:id="48" w:name="한국-채용-맥락"/>
    <w:p>
      <w:pPr>
        <w:pStyle w:val="Heading2"/>
      </w:pPr>
      <w:r>
        <w:t xml:space="preserve">4. 한국 채용 맥락</w:t>
      </w:r>
    </w:p>
    <w:p>
      <w:pPr>
        <w:pStyle w:val="FirstParagraph"/>
      </w:pPr>
      <w:r>
        <w:rPr>
          <w:b/>
          <w:bCs/>
        </w:rPr>
        <w:t xml:space="preserve">4-1. NCS 기반 능력중심채용의 서류전형 평가표 구조</w:t>
      </w:r>
    </w:p>
    <w:p>
      <w:pPr>
        <w:pStyle w:val="BodyText"/>
      </w:pPr>
      <w:r>
        <w:t xml:space="preserve">국가직무능력표준(NCS) 기반 능력중심채용에서 서류전형 평가표는 NCS 직업기초능력 10가지 하위요소를 준거로 구성된다</w:t>
      </w:r>
      <w:r>
        <w:t xml:space="preserve"> </w:t>
      </w:r>
      <w:hyperlink r:id="rId41">
        <w:r>
          <w:rPr>
            <w:rStyle w:val="Hyperlink"/>
          </w:rPr>
          <w:t xml:space="preserve">( [NCS] 직업기초능력 10가지, 하위영역 34가지 - in Mind - 티스토리, 2025 )</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FirstParagraph"/>
            </w:pPr>
            <w:r>
              <w:t xml:space="preserve">번호</w:t>
            </w:r>
          </w:p>
        </w:tc>
        <w:tc>
          <w:tcPr/>
          <w:p>
            <w:pPr>
              <w:pStyle w:val="BodyText"/>
            </w:pPr>
            <w:r>
              <w:t xml:space="preserve">직업기초능력</w:t>
            </w:r>
          </w:p>
        </w:tc>
        <w:tc>
          <w:tcPr/>
          <w:p>
            <w:pPr>
              <w:pStyle w:val="BodyText"/>
            </w:pPr>
            <w:r>
              <w:t xml:space="preserve">하위영역 예시</w:t>
            </w:r>
          </w:p>
        </w:tc>
      </w:tr>
      <w:tr>
        <w:tc>
          <w:tcPr/>
          <w:p>
            <w:pPr>
              <w:pStyle w:val="BodyText"/>
            </w:pPr>
            <w:r>
              <w:t xml:space="preserve">1</w:t>
            </w:r>
          </w:p>
        </w:tc>
        <w:tc>
          <w:tcPr/>
          <w:p>
            <w:pPr>
              <w:pStyle w:val="BodyText"/>
            </w:pPr>
            <w:r>
              <w:t xml:space="preserve">의사소통능력</w:t>
            </w:r>
          </w:p>
        </w:tc>
        <w:tc>
          <w:tcPr/>
          <w:p>
            <w:pPr>
              <w:pStyle w:val="BodyText"/>
            </w:pPr>
            <w:r>
              <w:t xml:space="preserve">문서이해, 문서작성</w:t>
            </w:r>
          </w:p>
        </w:tc>
      </w:tr>
      <w:tr>
        <w:tc>
          <w:tcPr/>
          <w:p>
            <w:pPr>
              <w:pStyle w:val="BodyText"/>
            </w:pPr>
            <w:r>
              <w:t xml:space="preserve">2</w:t>
            </w:r>
          </w:p>
        </w:tc>
        <w:tc>
          <w:tcPr/>
          <w:p>
            <w:pPr>
              <w:pStyle w:val="BodyText"/>
            </w:pPr>
            <w:r>
              <w:t xml:space="preserve">수리능력</w:t>
            </w:r>
          </w:p>
        </w:tc>
        <w:tc>
          <w:tcPr/>
          <w:p>
            <w:pPr>
              <w:pStyle w:val="BodyText"/>
            </w:pPr>
            <w:r>
              <w:t xml:space="preserve">기본산술, 대수</w:t>
            </w:r>
          </w:p>
        </w:tc>
      </w:tr>
      <w:tr>
        <w:tc>
          <w:tcPr/>
          <w:p>
            <w:pPr>
              <w:pStyle w:val="BodyText"/>
            </w:pPr>
            <w:r>
              <w:t xml:space="preserve">3</w:t>
            </w:r>
          </w:p>
        </w:tc>
        <w:tc>
          <w:tcPr/>
          <w:p>
            <w:pPr>
              <w:pStyle w:val="BodyText"/>
            </w:pPr>
            <w:r>
              <w:t xml:space="preserve">문제해결능력</w:t>
            </w:r>
          </w:p>
        </w:tc>
        <w:tc>
          <w:tcPr/>
          <w:p>
            <w:pPr>
              <w:pStyle w:val="BodyText"/>
            </w:pPr>
            <w:r>
              <w:t xml:space="preserve">문제인식, 문제분석</w:t>
            </w:r>
          </w:p>
        </w:tc>
      </w:tr>
      <w:tr>
        <w:tc>
          <w:tcPr/>
          <w:p>
            <w:pPr>
              <w:pStyle w:val="BodyText"/>
            </w:pPr>
            <w:r>
              <w:t xml:space="preserve">4</w:t>
            </w:r>
          </w:p>
        </w:tc>
        <w:tc>
          <w:tcPr/>
          <w:p>
            <w:pPr>
              <w:pStyle w:val="BodyText"/>
            </w:pPr>
            <w:r>
              <w:t xml:space="preserve">자기개발능력</w:t>
            </w:r>
          </w:p>
        </w:tc>
        <w:tc>
          <w:tcPr/>
          <w:p>
            <w:pPr>
              <w:pStyle w:val="BodyText"/>
            </w:pPr>
            <w:r>
              <w:t xml:space="preserve">목표설정, 자기관리</w:t>
            </w:r>
          </w:p>
        </w:tc>
      </w:tr>
      <w:tr>
        <w:tc>
          <w:tcPr/>
          <w:p>
            <w:pPr>
              <w:pStyle w:val="BodyText"/>
            </w:pPr>
            <w:r>
              <w:t xml:space="preserve">5</w:t>
            </w:r>
          </w:p>
        </w:tc>
        <w:tc>
          <w:tcPr/>
          <w:p>
            <w:pPr>
              <w:pStyle w:val="BodyText"/>
            </w:pPr>
            <w:r>
              <w:t xml:space="preserve">자원관리능력</w:t>
            </w:r>
          </w:p>
        </w:tc>
        <w:tc>
          <w:tcPr/>
          <w:p>
            <w:pPr>
              <w:pStyle w:val="BodyText"/>
            </w:pPr>
            <w:r>
              <w:t xml:space="preserve">시간관리, 자재관리</w:t>
            </w:r>
          </w:p>
        </w:tc>
      </w:tr>
      <w:tr>
        <w:tc>
          <w:tcPr/>
          <w:p>
            <w:pPr>
              <w:pStyle w:val="BodyText"/>
            </w:pPr>
            <w:r>
              <w:t xml:space="preserve">6</w:t>
            </w:r>
          </w:p>
        </w:tc>
        <w:tc>
          <w:tcPr/>
          <w:p>
            <w:pPr>
              <w:pStyle w:val="BodyText"/>
            </w:pPr>
            <w:r>
              <w:t xml:space="preserve">정보능력</w:t>
            </w:r>
          </w:p>
        </w:tc>
        <w:tc>
          <w:tcPr/>
          <w:p>
            <w:pPr>
              <w:pStyle w:val="BodyText"/>
            </w:pPr>
            <w:r>
              <w:t xml:space="preserve">정보검색, 정보활용</w:t>
            </w:r>
          </w:p>
        </w:tc>
      </w:tr>
      <w:tr>
        <w:tc>
          <w:tcPr/>
          <w:p>
            <w:pPr>
              <w:pStyle w:val="BodyText"/>
            </w:pPr>
            <w:r>
              <w:t xml:space="preserve">7</w:t>
            </w:r>
          </w:p>
        </w:tc>
        <w:tc>
          <w:tcPr/>
          <w:p>
            <w:pPr>
              <w:pStyle w:val="BodyText"/>
            </w:pPr>
            <w:r>
              <w:t xml:space="preserve">대인관계능력</w:t>
            </w:r>
          </w:p>
        </w:tc>
        <w:tc>
          <w:tcPr/>
          <w:p>
            <w:pPr>
              <w:pStyle w:val="BodyText"/>
            </w:pPr>
            <w:r>
              <w:t xml:space="preserve">갈등관리, 협력</w:t>
            </w:r>
          </w:p>
        </w:tc>
      </w:tr>
      <w:tr>
        <w:tc>
          <w:tcPr/>
          <w:p>
            <w:pPr>
              <w:pStyle w:val="BodyText"/>
            </w:pPr>
            <w:r>
              <w:t xml:space="preserve">8</w:t>
            </w:r>
          </w:p>
        </w:tc>
        <w:tc>
          <w:tcPr/>
          <w:p>
            <w:pPr>
              <w:pStyle w:val="BodyText"/>
            </w:pPr>
            <w:r>
              <w:t xml:space="preserve">조직이해능력</w:t>
            </w:r>
          </w:p>
        </w:tc>
        <w:tc>
          <w:tcPr/>
          <w:p>
            <w:pPr>
              <w:pStyle w:val="BodyText"/>
            </w:pPr>
            <w:r>
              <w:t xml:space="preserve">조직적응, 직업윤리</w:t>
            </w:r>
          </w:p>
        </w:tc>
      </w:tr>
      <w:tr>
        <w:tc>
          <w:tcPr/>
          <w:p>
            <w:pPr>
              <w:pStyle w:val="BodyText"/>
            </w:pPr>
            <w:r>
              <w:t xml:space="preserve">9</w:t>
            </w:r>
          </w:p>
        </w:tc>
        <w:tc>
          <w:tcPr/>
          <w:p>
            <w:pPr>
              <w:pStyle w:val="BodyText"/>
            </w:pPr>
            <w:r>
              <w:t xml:space="preserve">기술능력</w:t>
            </w:r>
          </w:p>
        </w:tc>
        <w:tc>
          <w:tcPr/>
          <w:p>
            <w:pPr>
              <w:pStyle w:val="BodyText"/>
            </w:pPr>
            <w:r>
              <w:t xml:space="preserve">기술적 사고, 시스템이해</w:t>
            </w:r>
          </w:p>
        </w:tc>
      </w:tr>
      <w:tr>
        <w:tc>
          <w:tcPr/>
          <w:p>
            <w:pPr>
              <w:pStyle w:val="BodyText"/>
            </w:pPr>
            <w:r>
              <w:t xml:space="preserve">10</w:t>
            </w:r>
          </w:p>
        </w:tc>
        <w:tc>
          <w:tcPr/>
          <w:p>
            <w:pPr>
              <w:pStyle w:val="BodyText"/>
            </w:pPr>
            <w:r>
              <w:t xml:space="preserve">직업윤리능력</w:t>
            </w:r>
          </w:p>
        </w:tc>
        <w:tc>
          <w:tcPr/>
          <w:p>
            <w:pPr>
              <w:pStyle w:val="BodyText"/>
            </w:pPr>
            <w:r>
              <w:t xml:space="preserve">윤리적 판단, 책임의식</w:t>
            </w:r>
          </w:p>
        </w:tc>
      </w:tr>
    </w:tbl>
    <w:p>
      <w:pPr>
        <w:pStyle w:val="BodyText"/>
      </w:pPr>
      <w:r>
        <w:t xml:space="preserve">고용노동부의 NCS 기반 능력중심채용 가이드북에 따르면</w:t>
      </w:r>
      <w:r>
        <w:t xml:space="preserve"> </w:t>
      </w:r>
      <w:hyperlink r:id="rId42">
        <w:r>
          <w:rPr>
            <w:rStyle w:val="Hyperlink"/>
          </w:rPr>
          <w:t xml:space="preserve">( NCS기반 능력중심채용 가이드북 | 고용노동부 &gt; 정책소개 &gt; 정책자료실, n.d.</w:t>
        </w:r>
      </w:hyperlink>
      <w:r>
        <w:t xml:space="preserve"> </w:t>
      </w:r>
      <w:r>
        <w:t xml:space="preserve">;</w:t>
      </w:r>
      <w:r>
        <w:t xml:space="preserve"> </w:t>
      </w:r>
      <w:hyperlink r:id="rId43">
        <w:r>
          <w:rPr>
            <w:rStyle w:val="Hyperlink"/>
          </w:rPr>
          <w:t xml:space="preserve">참고 - Ncs 기반 능력중심채용 가이드북 - 160330 - Scribd, n.d. )</w:t>
        </w:r>
      </w:hyperlink>
      <w:r>
        <w:t xml:space="preserve">, 입사지원서는 (a) 직무와 관련된 최소한의 개인정보, (b) 직무 관련 관심, (c) 직무 관련 능력(교육훈련, 자격, 경험)의 세 영역으로 구성한다.</w:t>
      </w:r>
    </w:p>
    <w:p>
      <w:pPr>
        <w:pStyle w:val="BodyText"/>
      </w:pPr>
      <w:r>
        <w:rPr>
          <w:b/>
          <w:bCs/>
        </w:rPr>
        <w:t xml:space="preserve">4-2. 블라인드 채용 제도에서 서류전형에 허용·금지되는 항목</w:t>
      </w:r>
    </w:p>
    <w:p>
      <w:pPr>
        <w:pStyle w:val="BodyText"/>
      </w:pPr>
      <w:r>
        <w:t xml:space="preserve">2017년 7월부터 공공기관 332개소에 블라인드 채용이 전면 시행되었으며, 8월부터 149개 지방공기업으로 확대되었다</w:t>
      </w:r>
      <w:r>
        <w:t xml:space="preserve"> </w:t>
      </w:r>
      <w:hyperlink r:id="rId44">
        <w:r>
          <w:rPr>
            <w:rStyle w:val="Hyperlink"/>
          </w:rPr>
          <w:t xml:space="preserve">( 공공기관 “블라인드 채용” 전면 시행…지원서에 학력·사진 금지, 2017 )</w:t>
        </w:r>
      </w:hyperlink>
      <w:r>
        <w:t xml:space="preserve">.</w:t>
      </w:r>
    </w:p>
    <w:p>
      <w:pPr>
        <w:pStyle w:val="BodyText"/>
      </w:pPr>
      <w:r>
        <w:rPr>
          <w:b/>
          <w:bCs/>
        </w:rPr>
        <w:t xml:space="preserve">서류전형 금지 항목</w:t>
      </w:r>
      <w:r>
        <w:t xml:space="preserve"> </w:t>
      </w:r>
      <w:hyperlink r:id="rId44">
        <w:r>
          <w:rPr>
            <w:rStyle w:val="Hyperlink"/>
          </w:rPr>
          <w:t xml:space="preserve">( 공공기관 “블라인드 채용” 전면 시행…지원서에 학력·사진 금지, 2017 )</w:t>
        </w:r>
      </w:hyperlink>
      <w:r>
        <w:t xml:space="preserve">:</w:t>
      </w:r>
    </w:p>
    <w:p>
      <w:pPr>
        <w:numPr>
          <w:ilvl w:val="0"/>
          <w:numId w:val="1013"/>
        </w:numPr>
      </w:pPr>
      <w:r>
        <w:t xml:space="preserve">학력(최종학력, 출신학교 등)</w:t>
      </w:r>
    </w:p>
    <w:p>
      <w:pPr>
        <w:numPr>
          <w:ilvl w:val="0"/>
          <w:numId w:val="1013"/>
        </w:numPr>
      </w:pPr>
      <w:r>
        <w:t xml:space="preserve">출신지역</w:t>
      </w:r>
    </w:p>
    <w:p>
      <w:pPr>
        <w:numPr>
          <w:ilvl w:val="0"/>
          <w:numId w:val="1013"/>
        </w:numPr>
      </w:pPr>
      <w:r>
        <w:t xml:space="preserve">가족관계</w:t>
      </w:r>
    </w:p>
    <w:p>
      <w:pPr>
        <w:numPr>
          <w:ilvl w:val="0"/>
          <w:numId w:val="1013"/>
        </w:numPr>
      </w:pPr>
      <w:r>
        <w:t xml:space="preserve">신체적 조건(키, 체중)</w:t>
      </w:r>
    </w:p>
    <w:p>
      <w:pPr>
        <w:numPr>
          <w:ilvl w:val="0"/>
          <w:numId w:val="1013"/>
        </w:numPr>
      </w:pPr>
      <w:r>
        <w:t xml:space="preserve">사진 부착</w:t>
      </w:r>
    </w:p>
    <w:p>
      <w:pPr>
        <w:pStyle w:val="FirstParagraph"/>
      </w:pPr>
      <w:r>
        <w:rPr>
          <w:b/>
          <w:bCs/>
        </w:rPr>
        <w:t xml:space="preserve">서류전형 허용 항목</w:t>
      </w:r>
      <w:r>
        <w:t xml:space="preserve"> </w:t>
      </w:r>
      <w:hyperlink r:id="rId44">
        <w:r>
          <w:rPr>
            <w:rStyle w:val="Hyperlink"/>
          </w:rPr>
          <w:t xml:space="preserve">( 공공기관 “블라인드 채용” 전면 시행…지원서에 학력·사진 금지, 2017 )</w:t>
        </w:r>
      </w:hyperlink>
      <w:r>
        <w:t xml:space="preserve">:</w:t>
      </w:r>
    </w:p>
    <w:p>
      <w:pPr>
        <w:numPr>
          <w:ilvl w:val="0"/>
          <w:numId w:val="1014"/>
        </w:numPr>
      </w:pPr>
      <w:r>
        <w:t xml:space="preserve">직무수행에 필요한 지식·기술을 파악할 수 있는 항목: 교육훈련 이력, 자격증, 직무관련 경험</w:t>
      </w:r>
    </w:p>
    <w:p>
      <w:pPr>
        <w:pStyle w:val="FirstParagraph"/>
      </w:pPr>
      <w:r>
        <w:rPr>
          <w:b/>
          <w:bCs/>
        </w:rPr>
        <w:t xml:space="preserve">예외 조항</w:t>
      </w:r>
      <w:r>
        <w:t xml:space="preserve">: 신체적 조건이나 학력이 "직무수행에 있어 반드시 필요하다고 인정될 경우" 예외적으로 요구할 수 있다</w:t>
      </w:r>
      <w:r>
        <w:t xml:space="preserve"> </w:t>
      </w:r>
      <w:hyperlink r:id="rId44">
        <w:r>
          <w:rPr>
            <w:rStyle w:val="Hyperlink"/>
          </w:rPr>
          <w:t xml:space="preserve">( 공공기관 “블라인드 채용” 전면 시행…지원서에 학력·사진 금지, 2017 )</w:t>
        </w:r>
      </w:hyperlink>
      <w:r>
        <w:t xml:space="preserve">.</w:t>
      </w:r>
    </w:p>
    <w:p>
      <w:pPr>
        <w:pStyle w:val="BodyText"/>
      </w:pPr>
      <w:r>
        <w:t xml:space="preserve">공무원 채용은 이미 2005년부터 응시원서 학력란이 폐지되고 블라인드 면접이 시행되어 왔다</w:t>
      </w:r>
      <w:r>
        <w:t xml:space="preserve"> </w:t>
      </w:r>
      <w:hyperlink r:id="rId44">
        <w:r>
          <w:rPr>
            <w:rStyle w:val="Hyperlink"/>
          </w:rPr>
          <w:t xml:space="preserve">( 공공기관 “블라인드 채용” 전면 시행…지원서에 학력·사진 금지, 2017 )</w:t>
        </w:r>
      </w:hyperlink>
      <w:r>
        <w:t xml:space="preserve">.</w:t>
      </w:r>
    </w:p>
    <w:p>
      <w:pPr>
        <w:pStyle w:val="BodyText"/>
      </w:pPr>
      <w:r>
        <w:t xml:space="preserve">KOICA 등 일부 공공기관은 블라인드 채용 서류검토 기준을 별도로 운영하며, 제출 서류에 대한 추가 블라인드 처리 기준(수정·보정)을 명시하고 있다</w:t>
      </w:r>
      <w:r>
        <w:t xml:space="preserve"> </w:t>
      </w:r>
      <w:hyperlink r:id="rId45">
        <w:r>
          <w:rPr>
            <w:rStyle w:val="Hyperlink"/>
          </w:rPr>
          <w:t xml:space="preserve">( 붙임 4 KOICA 블라인드 채용 서류검토 기준 1. ..., n.d. )</w:t>
        </w:r>
      </w:hyperlink>
      <w:r>
        <w:t xml:space="preserve">.</w:t>
      </w:r>
    </w:p>
    <w:p>
      <w:pPr>
        <w:pStyle w:val="BodyText"/>
      </w:pPr>
      <w:r>
        <w:rPr>
          <w:b/>
          <w:bCs/>
        </w:rPr>
        <w:t xml:space="preserve">4-3. 공공기관 채용 서류평가 기준의 공개된 사례</w:t>
      </w:r>
    </w:p>
    <w:p>
      <w:pPr>
        <w:pStyle w:val="BodyText"/>
      </w:pPr>
      <w:r>
        <w:t xml:space="preserve">공공기관의 서류평가 기준은 기관별로 상이하나, 공통적으로 NCS 직업기초능력 항목을 준거로 사용한다. 가이드북은 직무기술서 공개, 직무관련 경험·상황면접 체계화 등을 권장한다</w:t>
      </w:r>
      <w:r>
        <w:t xml:space="preserve"> </w:t>
      </w:r>
      <w:hyperlink r:id="rId42">
        <w:r>
          <w:rPr>
            <w:rStyle w:val="Hyperlink"/>
          </w:rPr>
          <w:t xml:space="preserve">( NCS기반 능력중심채용 가이드북 | 고용노동부 &gt; 정책소개 &gt; 정책자료실, n.d. )</w:t>
        </w:r>
      </w:hyperlink>
      <w:r>
        <w:t xml:space="preserve">. 구체적인 배점·평가항목 명세는 기관 자체 규정에 따르며, 일부 기관은 채용 공고에 평가배점 기준을 공개한다.</w:t>
      </w:r>
    </w:p>
    <w:p>
      <w:pPr>
        <w:pStyle w:val="BodyText"/>
      </w:pPr>
      <w:r>
        <w:rPr>
          <w:b/>
          <w:bCs/>
        </w:rPr>
        <w:t xml:space="preserve">4-4. 한국 채용 맥락에서 수행된 선발 타당도 연구</w:t>
      </w:r>
    </w:p>
    <w:p>
      <w:pPr>
        <w:pStyle w:val="BodyText"/>
      </w:pPr>
      <w:r>
        <w:t xml:space="preserve">한국직업능력개발원(KRIVET)의 연구에서 NCS 기반 채용 공공기관의 능력중심 채용 효과성 검증이 수행되었다</w:t>
      </w:r>
      <w:r>
        <w:t xml:space="preserve"> </w:t>
      </w:r>
      <w:hyperlink r:id="rId46">
        <w:r>
          <w:rPr>
            <w:rStyle w:val="Hyperlink"/>
          </w:rPr>
          <w:t xml:space="preserve">( NCS 기반 채용 공공기관의 능력중심 채용 효과성 검증 - KRIVET Repository, n.d. )</w:t>
        </w:r>
      </w:hyperlink>
      <w:r>
        <w:t xml:space="preserve">. 이 연구는 정부 지침 하에 공공기관 위주로 NCS 채용이 도입되고 있으나 민간 기업 참여가 저조한 실정임을 지적하며, NCS 기반 채용의 타당도 근거를 제시했다</w:t>
      </w:r>
      <w:r>
        <w:t xml:space="preserve"> </w:t>
      </w:r>
      <w:hyperlink r:id="rId46">
        <w:r>
          <w:rPr>
            <w:rStyle w:val="Hyperlink"/>
          </w:rPr>
          <w:t xml:space="preserve">( NCS 기반 채용 공공기관의 능력중심 채용 효과성 검증 - KRIVET Repository, n.d. )</w:t>
        </w:r>
      </w:hyperlink>
      <w:r>
        <w:t xml:space="preserve">. 단, 한국 맥락에서 서류전형 구조화 평가도구의 준거관련 타당도를 메타분석적으로 종합한 연구는 아직 제한적이다.</w:t>
      </w:r>
    </w:p>
    <w:p>
      <w:pPr>
        <w:pStyle w:val="BodyText"/>
      </w:pPr>
      <w:r>
        <w:t xml:space="preserve">Wu(2010)는 중국 캠퍼스 채용 맥락에서 biodata 평가도구의 타당도와 신뢰도를 검증했으며</w:t>
      </w:r>
      <w:r>
        <w:t xml:space="preserve"> </w:t>
      </w:r>
      <w:hyperlink r:id="rId47">
        <w:r>
          <w:rPr>
            <w:rStyle w:val="Hyperlink"/>
          </w:rPr>
          <w:t xml:space="preserve">( Ying, 2010 )</w:t>
        </w:r>
      </w:hyperlink>
      <w:r>
        <w:t xml:space="preserve">, biodata가 인지능력 및 성격 검사에 대비해 독립적인 증분타당도를 보유함을 확인했다. 동아시아 맥락의 유사연구로 참고할 수 있다.</w:t>
      </w:r>
    </w:p>
    <w:bookmarkEnd w:id="48"/>
    <w:bookmarkStart w:id="64" w:name="루브릭rubric-설계-방법론-일반"/>
    <w:p>
      <w:pPr>
        <w:pStyle w:val="Heading2"/>
      </w:pPr>
      <w:r>
        <w:t xml:space="preserve">5. 루브릭(rubric) 설계 방법론 일반</w:t>
      </w:r>
    </w:p>
    <w:p>
      <w:pPr>
        <w:pStyle w:val="FirstParagraph"/>
      </w:pPr>
      <w:r>
        <w:rPr>
          <w:b/>
          <w:bCs/>
        </w:rPr>
        <w:t xml:space="preserve">5-1. 분석적(analytic) 루브릭과 총체적(holistic) 루브릭의 비교</w:t>
      </w:r>
    </w:p>
    <w:p>
      <w:pPr>
        <w:pStyle w:val="BodyText"/>
      </w:pPr>
      <w:r>
        <w:t xml:space="preserve">두 루브릭 유형의 비교 연구는</w:t>
      </w:r>
      <w:r>
        <w:t xml:space="preserve"> </w:t>
      </w:r>
      <w:r>
        <w:rPr>
          <w:b/>
          <w:bCs/>
        </w:rPr>
        <w:t xml:space="preserve">일관되게 한쪽의 우월성을 지지하지 않는다</w:t>
      </w:r>
      <w:r>
        <w:t xml:space="preserve">. 이는 중요한 대립 지점이다.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FirstParagraph"/>
            </w:pPr>
            <w:r>
              <w:t xml:space="preserve">기준</w:t>
            </w:r>
          </w:p>
        </w:tc>
        <w:tc>
          <w:tcPr/>
          <w:p>
            <w:pPr>
              <w:pStyle w:val="BodyText"/>
            </w:pPr>
            <w:r>
              <w:t xml:space="preserve">분석적(analytic)</w:t>
            </w:r>
          </w:p>
        </w:tc>
        <w:tc>
          <w:tcPr/>
          <w:p>
            <w:pPr>
              <w:pStyle w:val="BodyText"/>
            </w:pPr>
            <w:r>
              <w:t xml:space="preserve">총체적(holistic)</w:t>
            </w:r>
          </w:p>
        </w:tc>
      </w:tr>
      <w:tr>
        <w:tc>
          <w:tcPr/>
          <w:p>
            <w:pPr>
              <w:pStyle w:val="BodyText"/>
            </w:pPr>
            <w:r>
              <w:t xml:space="preserve">평가자 간 합치도</w:t>
            </w:r>
          </w:p>
        </w:tc>
        <w:tc>
          <w:tcPr/>
          <w:p>
            <w:pPr>
              <w:pStyle w:val="BodyText"/>
            </w:pPr>
            <w:r>
              <w:t xml:space="preserve">Jönsson &amp; Balan(2020): 66% 합치, κ = .60</w:t>
            </w:r>
            <w:r>
              <w:t xml:space="preserve"> </w:t>
            </w:r>
            <w:hyperlink r:id="rId49">
              <w:r>
                <w:rPr>
                  <w:rStyle w:val="Hyperlink"/>
                </w:rPr>
                <w:t xml:space="preserve">( Jönsson &amp; Balan, 2020 )</w:t>
              </w:r>
            </w:hyperlink>
            <w:r>
              <w:br/>
            </w:r>
          </w:p>
        </w:tc>
        <w:tc>
          <w:tcPr/>
          <w:p>
            <w:pPr>
              <w:pStyle w:val="BodyText"/>
            </w:pPr>
            <w:r>
              <w:t xml:space="preserve">동 연구: 46% 합치, κ = .41</w:t>
            </w:r>
            <w:r>
              <w:t xml:space="preserve"> </w:t>
            </w:r>
            <w:hyperlink r:id="rId49">
              <w:r>
                <w:rPr>
                  <w:rStyle w:val="Hyperlink"/>
                </w:rPr>
                <w:t xml:space="preserve">( Jönsson &amp; Balan, 2020 )</w:t>
              </w:r>
            </w:hyperlink>
            <w:r>
              <w:br/>
            </w:r>
          </w:p>
        </w:tc>
      </w:tr>
      <w:tr>
        <w:tc>
          <w:tcPr/>
          <w:p>
            <w:pPr>
              <w:pStyle w:val="BodyText"/>
            </w:pPr>
            <w:r>
              <w:br/>
            </w:r>
          </w:p>
        </w:tc>
        <w:tc>
          <w:tcPr/>
          <w:p>
            <w:pPr>
              <w:pStyle w:val="BodyText"/>
            </w:pPr>
            <w:r>
              <w:t xml:space="preserve">Klein 등(1998): 항목별 판독자 간 일치도 높음</w:t>
            </w:r>
            <w:r>
              <w:t xml:space="preserve"> </w:t>
            </w:r>
            <w:hyperlink r:id="rId50">
              <w:r>
                <w:rPr>
                  <w:rStyle w:val="Hyperlink"/>
                </w:rPr>
                <w:t xml:space="preserve">( Klein et al., 1998 )</w:t>
              </w:r>
            </w:hyperlink>
            <w:r>
              <w:br/>
            </w:r>
          </w:p>
        </w:tc>
        <w:tc>
          <w:tcPr/>
          <w:p>
            <w:pPr>
              <w:pStyle w:val="BodyText"/>
            </w:pPr>
            <w:r>
              <w:t xml:space="preserve">동 연구: 과제 전체 점수 환산 시 동등한 신뢰도</w:t>
            </w:r>
            <w:r>
              <w:t xml:space="preserve"> </w:t>
            </w:r>
            <w:hyperlink r:id="rId50">
              <w:r>
                <w:rPr>
                  <w:rStyle w:val="Hyperlink"/>
                </w:rPr>
                <w:t xml:space="preserve">( Klein et al., 1998 )</w:t>
              </w:r>
            </w:hyperlink>
            <w:r>
              <w:br/>
            </w:r>
          </w:p>
        </w:tc>
      </w:tr>
      <w:tr>
        <w:tc>
          <w:tcPr/>
          <w:p>
            <w:pPr>
              <w:pStyle w:val="BodyText"/>
            </w:pPr>
            <w:r>
              <w:br/>
            </w:r>
          </w:p>
        </w:tc>
        <w:tc>
          <w:tcPr/>
          <w:p>
            <w:pPr>
              <w:pStyle w:val="BodyText"/>
            </w:pPr>
            <w:r>
              <w:br/>
            </w:r>
          </w:p>
        </w:tc>
        <w:tc>
          <w:tcPr/>
          <w:p>
            <w:pPr>
              <w:pStyle w:val="BodyText"/>
            </w:pPr>
            <w:r>
              <w:t xml:space="preserve">Schipolowski &amp; Böhme(2016): 홀리스틱/반홀리스틱 척도가 대부분의 분석적 기준보다 높은 신뢰도</w:t>
            </w:r>
            <w:r>
              <w:t xml:space="preserve"> </w:t>
            </w:r>
            <w:hyperlink r:id="rId51">
              <w:r>
                <w:rPr>
                  <w:rStyle w:val="Hyperlink"/>
                </w:rPr>
                <w:t xml:space="preserve">( Schipolowski &amp; Böhme, 2016 )</w:t>
              </w:r>
            </w:hyperlink>
            <w:r>
              <w:br/>
            </w:r>
          </w:p>
        </w:tc>
      </w:tr>
      <w:tr>
        <w:tc>
          <w:tcPr/>
          <w:p>
            <w:pPr>
              <w:pStyle w:val="BodyText"/>
            </w:pPr>
            <w:r>
              <w:t xml:space="preserve">채점 시간</w:t>
            </w:r>
          </w:p>
        </w:tc>
        <w:tc>
          <w:tcPr/>
          <w:p>
            <w:pPr>
              <w:pStyle w:val="BodyText"/>
            </w:pPr>
            <w:r>
              <w:t xml:space="preserve">Klein 등(1998): 현저히 길음</w:t>
            </w:r>
            <w:r>
              <w:t xml:space="preserve"> </w:t>
            </w:r>
            <w:hyperlink r:id="rId50">
              <w:r>
                <w:rPr>
                  <w:rStyle w:val="Hyperlink"/>
                </w:rPr>
                <w:t xml:space="preserve">( Klein et al., 1998 )</w:t>
              </w:r>
            </w:hyperlink>
            <w:r>
              <w:br/>
            </w:r>
          </w:p>
        </w:tc>
        <w:tc>
          <w:tcPr/>
          <w:p>
            <w:pPr>
              <w:pStyle w:val="BodyText"/>
            </w:pPr>
            <w:r>
              <w:t xml:space="preserve">Peeters 등(2025): 30–60초/건</w:t>
            </w:r>
            <w:r>
              <w:t xml:space="preserve"> </w:t>
            </w:r>
            <w:hyperlink r:id="rId52">
              <w:r>
                <w:rPr>
                  <w:rStyle w:val="Hyperlink"/>
                </w:rPr>
                <w:t xml:space="preserve">( Peeters et al., 2025 )</w:t>
              </w:r>
            </w:hyperlink>
            <w:r>
              <w:br/>
            </w:r>
          </w:p>
        </w:tc>
      </w:tr>
      <w:tr>
        <w:tc>
          <w:tcPr/>
          <w:p>
            <w:pPr>
              <w:pStyle w:val="BodyText"/>
            </w:pPr>
            <w:r>
              <w:br/>
            </w:r>
          </w:p>
        </w:tc>
        <w:tc>
          <w:tcPr/>
          <w:p>
            <w:pPr>
              <w:pStyle w:val="BodyText"/>
            </w:pPr>
            <w:r>
              <w:t xml:space="preserve">Peeters 등(2025): 60–90초/건</w:t>
            </w:r>
            <w:r>
              <w:t xml:space="preserve"> </w:t>
            </w:r>
            <w:hyperlink r:id="rId52">
              <w:r>
                <w:rPr>
                  <w:rStyle w:val="Hyperlink"/>
                </w:rPr>
                <w:t xml:space="preserve">( Peeters et al., 2025 )</w:t>
              </w:r>
            </w:hyperlink>
            <w:r>
              <w:br/>
            </w:r>
          </w:p>
        </w:tc>
        <w:tc>
          <w:tcPr/>
          <w:p>
            <w:pPr>
              <w:pStyle w:val="BodyText"/>
            </w:pPr>
            <w:r>
              <w:br/>
            </w:r>
          </w:p>
        </w:tc>
      </w:tr>
      <w:tr>
        <w:tc>
          <w:tcPr/>
          <w:p>
            <w:pPr>
              <w:pStyle w:val="BodyText"/>
            </w:pPr>
            <w:r>
              <w:t xml:space="preserve">피드백 품질</w:t>
            </w:r>
          </w:p>
        </w:tc>
        <w:tc>
          <w:tcPr/>
          <w:p>
            <w:pPr>
              <w:pStyle w:val="BodyText"/>
            </w:pPr>
            <w:r>
              <w:t xml:space="preserve">Ghalib &amp; Al-Hattami(2015): 강점·약점 진단 가능</w:t>
            </w:r>
            <w:r>
              <w:t xml:space="preserve"> </w:t>
            </w:r>
            <w:hyperlink r:id="rId53">
              <w:r>
                <w:rPr>
                  <w:rStyle w:val="Hyperlink"/>
                </w:rPr>
                <w:t xml:space="preserve">( Ghalib &amp; Al-Hattami, 2015 )</w:t>
              </w:r>
            </w:hyperlink>
            <w:r>
              <w:br/>
            </w:r>
          </w:p>
        </w:tc>
        <w:tc>
          <w:tcPr/>
          <w:p>
            <w:pPr>
              <w:pStyle w:val="BodyText"/>
            </w:pPr>
            <w:r>
              <w:t xml:space="preserve">Rinne(2023): 통합적 판단으로 근거 불투명</w:t>
            </w:r>
            <w:r>
              <w:t xml:space="preserve"> </w:t>
            </w:r>
            <w:hyperlink r:id="rId54">
              <w:r>
                <w:rPr>
                  <w:rStyle w:val="Hyperlink"/>
                </w:rPr>
                <w:t xml:space="preserve">( Rinne, 2023 )</w:t>
              </w:r>
            </w:hyperlink>
            <w:r>
              <w:br/>
            </w:r>
          </w:p>
        </w:tc>
      </w:tr>
      <w:tr>
        <w:tc>
          <w:tcPr/>
          <w:p>
            <w:pPr>
              <w:pStyle w:val="BodyText"/>
            </w:pPr>
            <w:r>
              <w:t xml:space="preserve">점수 분포</w:t>
            </w:r>
          </w:p>
        </w:tc>
        <w:tc>
          <w:tcPr/>
          <w:p>
            <w:pPr>
              <w:pStyle w:val="BodyText"/>
            </w:pPr>
            <w:r>
              <w:t xml:space="preserve">Zhang, Xiao, &amp; Luo(2015): 저숙련자에게 더 관대</w:t>
            </w:r>
            <w:r>
              <w:t xml:space="preserve"> </w:t>
            </w:r>
            <w:hyperlink r:id="rId55">
              <w:r>
                <w:rPr>
                  <w:rStyle w:val="Hyperlink"/>
                </w:rPr>
                <w:t xml:space="preserve">( Zhang et al., 2015 )</w:t>
              </w:r>
            </w:hyperlink>
            <w:r>
              <w:br/>
            </w:r>
          </w:p>
        </w:tc>
        <w:tc>
          <w:tcPr/>
          <w:p>
            <w:pPr>
              <w:pStyle w:val="BodyText"/>
            </w:pPr>
            <w:r>
              <w:t xml:space="preserve">동 연구: 고숙련자에게 더 관대</w:t>
            </w:r>
            <w:r>
              <w:t xml:space="preserve"> </w:t>
            </w:r>
            <w:hyperlink r:id="rId55">
              <w:r>
                <w:rPr>
                  <w:rStyle w:val="Hyperlink"/>
                </w:rPr>
                <w:t xml:space="preserve">( Zhang et al., 2015 )</w:t>
              </w:r>
            </w:hyperlink>
            <w:r>
              <w:br/>
            </w:r>
          </w:p>
        </w:tc>
      </w:tr>
    </w:tbl>
    <w:p>
      <w:pPr>
        <w:pStyle w:val="BodyText"/>
      </w:pPr>
      <w:r>
        <w:rPr>
          <w:b/>
          <w:bCs/>
        </w:rPr>
        <w:t xml:space="preserve">대립 지점</w:t>
      </w:r>
      <w:r>
        <w:t xml:space="preserve">: 분석적 루브릭이 평가자 간 합치도에서 우월하다는 연구</w:t>
      </w:r>
      <w:r>
        <w:t xml:space="preserve"> </w:t>
      </w:r>
      <w:hyperlink r:id="rId49">
        <w:r>
          <w:rPr>
            <w:rStyle w:val="Hyperlink"/>
          </w:rPr>
          <w:t xml:space="preserve">( Jönsson &amp; Balan, 2020</w:t>
        </w:r>
      </w:hyperlink>
      <w:r>
        <w:t xml:space="preserve"> </w:t>
      </w:r>
      <w:r>
        <w:t xml:space="preserve">;</w:t>
      </w:r>
      <w:r>
        <w:t xml:space="preserve"> </w:t>
      </w:r>
      <w:hyperlink r:id="rId56">
        <w:r>
          <w:rPr>
            <w:rStyle w:val="Hyperlink"/>
          </w:rPr>
          <w:t xml:space="preserve">Yeo et al., 2024 )</w:t>
        </w:r>
      </w:hyperlink>
      <w:r>
        <w:t xml:space="preserve">와 총체적 루브릭이 신뢰도에서 동등하거나 우월하다는 연구 가 공존한다. 이 불일치는 (a) 채점 대상(글쓰기, 구술, 프로그래밍 등), (b) 평가자 훈련 여부, (c) 루브릭의 기준 수·척도 수에 의해 조절되는 것으로 보인다. Han(2017)은 적절한 평가자 훈련이 주어지면 총체적 채점도 분석적 채점과 동등한 신뢰도를 달성할 수 있음을 보였다</w:t>
      </w:r>
      <w:r>
        <w:t xml:space="preserve"> </w:t>
      </w:r>
      <w:r>
        <w:t xml:space="preserve">(...)</w:t>
      </w:r>
      <w:r>
        <w:br/>
      </w:r>
    </w:p>
    <w:p>
      <w:pPr>
        <w:pStyle w:val="BodyText"/>
      </w:pPr>
      <w:r>
        <w:t xml:space="preserve">Harsch &amp; Martin(2013)은 총체적 점수가 개별 기준의 적용 편차를 마스킹할 수 있음을 지적하며, 두 방식의</w:t>
      </w:r>
      <w:r>
        <w:t xml:space="preserve"> </w:t>
      </w:r>
      <w:r>
        <w:rPr>
          <w:b/>
          <w:bCs/>
        </w:rPr>
        <w:t xml:space="preserve">보완적 결합</w:t>
      </w:r>
      <w:r>
        <w:t xml:space="preserve">을 권장했다</w:t>
      </w:r>
      <w:r>
        <w:t xml:space="preserve"> </w:t>
      </w:r>
      <w:hyperlink r:id="rId57">
        <w:r>
          <w:rPr>
            <w:rStyle w:val="Hyperlink"/>
          </w:rPr>
          <w:t xml:space="preserve">( Harsch &amp; Martin, 2013 )</w:t>
        </w:r>
      </w:hyperlink>
      <w:r>
        <w:t xml:space="preserve">. Zlatkin-Troitschanskaia 등(2019)도 비판적 사고 평가에서 두 방식의 보완성을 실증했다</w:t>
      </w:r>
      <w:r>
        <w:t xml:space="preserve"> </w:t>
      </w:r>
      <w:hyperlink r:id="rId58">
        <w:r>
          <w:rPr>
            <w:rStyle w:val="Hyperlink"/>
          </w:rPr>
          <w:t xml:space="preserve">( Zlatkin-Troitschanskaia et al., 2019 )</w:t>
        </w:r>
      </w:hyperlink>
      <w:r>
        <w:t xml:space="preserve">.</w:t>
      </w:r>
    </w:p>
    <w:p>
      <w:pPr>
        <w:pStyle w:val="BodyText"/>
      </w:pPr>
      <w:r>
        <w:rPr>
          <w:b/>
          <w:bCs/>
        </w:rPr>
        <w:t xml:space="preserve">5-2. 루브릭 자체의 타당도·신뢰도를 검증하는 절차</w:t>
      </w:r>
    </w:p>
    <w:p>
      <w:pPr>
        <w:pStyle w:val="BodyText"/>
      </w:pPr>
      <w:r>
        <w:t xml:space="preserve">Brookhart &amp; Chen(2015)의 체계적 문헌검토에 따르면</w:t>
      </w:r>
      <w:r>
        <w:t xml:space="preserve"> </w:t>
      </w:r>
      <w:hyperlink r:id="rId59">
        <w:r>
          <w:rPr>
            <w:rStyle w:val="Hyperlink"/>
          </w:rPr>
          <w:t xml:space="preserve">( Brookhart &amp; Chen, 2015 )</w:t>
        </w:r>
      </w:hyperlink>
      <w:r>
        <w:t xml:space="preserve">, 루브릭 검증의 핵심 절차는 다음과 같다.</w:t>
      </w:r>
    </w:p>
    <w:p>
      <w:pPr>
        <w:numPr>
          <w:ilvl w:val="0"/>
          <w:numId w:val="1015"/>
        </w:numPr>
      </w:pPr>
      <w:r>
        <w:rPr>
          <w:b/>
          <w:bCs/>
        </w:rPr>
        <w:t xml:space="preserve">내용타당도</w:t>
      </w:r>
      <w:r>
        <w:t xml:space="preserve">: 전문가 패널이 루브릭 기준의 직무/과제 관련성, 기준점 문구의 명확성·관찰가능성을 검증한다.</w:t>
      </w:r>
    </w:p>
    <w:p>
      <w:pPr>
        <w:numPr>
          <w:ilvl w:val="0"/>
          <w:numId w:val="1015"/>
        </w:numPr>
      </w:pPr>
      <w:r>
        <w:rPr>
          <w:b/>
          <w:bCs/>
        </w:rPr>
        <w:t xml:space="preserve">구인타당도</w:t>
      </w:r>
      <w:r>
        <w:t xml:space="preserve">: 분석적 루브릭의 하위기준 간 상관관계, 요인구조, 타 도구와의 수렴·판별 관계를 검증한다.</w:t>
      </w:r>
    </w:p>
    <w:p>
      <w:pPr>
        <w:numPr>
          <w:ilvl w:val="0"/>
          <w:numId w:val="1015"/>
        </w:numPr>
      </w:pPr>
      <w:r>
        <w:rPr>
          <w:b/>
          <w:bCs/>
        </w:rPr>
        <w:t xml:space="preserve">평가자 간 신뢰도</w:t>
      </w:r>
      <w:r>
        <w:t xml:space="preserve">: 독립 평가자 간 합치도(% agreement, Cohen's κ, ICC)를 산출한다. Jönsson(2022)에 따르면</w:t>
      </w:r>
      <w:r>
        <w:t xml:space="preserve"> </w:t>
      </w:r>
      <w:hyperlink r:id="rId60">
        <w:r>
          <w:rPr>
            <w:rStyle w:val="Hyperlink"/>
          </w:rPr>
          <w:t xml:space="preserve">( Jönsson, 2022 )</w:t>
        </w:r>
      </w:hyperlink>
      <w:r>
        <w:t xml:space="preserve">, 루브릭 단독으로는 평가자 간 신뢰도를 임계치 이상으로 끌어올리기에 충분하지 않은 경우가 많으며, 예시물(exemplar)과 평가자 훈련이 필수적이다.</w:t>
      </w:r>
    </w:p>
    <w:p>
      <w:pPr>
        <w:numPr>
          <w:ilvl w:val="0"/>
          <w:numId w:val="1015"/>
        </w:numPr>
      </w:pPr>
      <w:r>
        <w:rPr>
          <w:b/>
          <w:bCs/>
        </w:rPr>
        <w:t xml:space="preserve">내적일치도</w:t>
      </w:r>
      <w:r>
        <w:t xml:space="preserve">: 분석적 루브릭의 하위기준 간 Cronbach's α 또는 ω를 산출한다.</w:t>
      </w:r>
    </w:p>
    <w:p>
      <w:pPr>
        <w:numPr>
          <w:ilvl w:val="0"/>
          <w:numId w:val="1015"/>
        </w:numPr>
      </w:pPr>
      <w:r>
        <w:rPr>
          <w:b/>
          <w:bCs/>
        </w:rPr>
        <w:t xml:space="preserve">감도(sensitivity)</w:t>
      </w:r>
      <w:r>
        <w:t xml:space="preserve">: 루브릭이 기대하는 성과 수준 차이를 실제로 구별하는지 검증한다.</w:t>
      </w:r>
    </w:p>
    <w:p>
      <w:pPr>
        <w:pStyle w:val="FirstParagraph"/>
      </w:pPr>
      <w:r>
        <w:t xml:space="preserve">Dawson(2017)은 루브릭 설계의 14가지 결정요소를 체계화하여 비교 가능한 루브릭 연구를 위한 프레임워크를 제시했다</w:t>
      </w:r>
      <w:r>
        <w:t xml:space="preserve"> </w:t>
      </w:r>
      <w:hyperlink r:id="rId61">
        <w:r>
          <w:rPr>
            <w:rStyle w:val="Hyperlink"/>
          </w:rPr>
          <w:t xml:space="preserve">( Dawson, 2017 )</w:t>
        </w:r>
      </w:hyperlink>
      <w:r>
        <w:t xml:space="preserve">.</w:t>
      </w:r>
    </w:p>
    <w:p>
      <w:pPr>
        <w:pStyle w:val="BodyText"/>
      </w:pPr>
      <w:r>
        <w:rPr>
          <w:b/>
          <w:bCs/>
        </w:rPr>
        <w:t xml:space="preserve">5-3. 수행평가 문헌에서 검증된 루브릭 작성 원칙</w:t>
      </w:r>
    </w:p>
    <w:p>
      <w:pPr>
        <w:pStyle w:val="BodyText"/>
      </w:pPr>
      <w:r>
        <w:t xml:space="preserve">Brookhart(2018)와 Brookhart &amp; Chen(2015)이 종합한 검증된 원칙</w:t>
      </w:r>
      <w:r>
        <w:t xml:space="preserve"> </w:t>
      </w:r>
      <w:hyperlink r:id="rId62">
        <w:r>
          <w:rPr>
            <w:rStyle w:val="Hyperlink"/>
          </w:rPr>
          <w:t xml:space="preserve">( Brookhart, 2018</w:t>
        </w:r>
      </w:hyperlink>
      <w:r>
        <w:t xml:space="preserve"> </w:t>
      </w:r>
      <w:r>
        <w:t xml:space="preserve">;</w:t>
      </w:r>
      <w:r>
        <w:t xml:space="preserve"> </w:t>
      </w:r>
      <w:hyperlink r:id="rId59">
        <w:r>
          <w:rPr>
            <w:rStyle w:val="Hyperlink"/>
          </w:rPr>
          <w:t xml:space="preserve">Brookhart &amp; Chen, 2015 )</w:t>
        </w:r>
      </w:hyperlink>
      <w:r>
        <w:t xml:space="preserve">:</w:t>
      </w:r>
    </w:p>
    <w:p>
      <w:pPr>
        <w:numPr>
          <w:ilvl w:val="0"/>
          <w:numId w:val="1016"/>
        </w:numPr>
      </w:pPr>
      <w:r>
        <w:rPr>
          <w:b/>
          <w:bCs/>
        </w:rPr>
        <w:t xml:space="preserve">기준(criteria)은 평가 과제가 아닌 학습 성과(learning outcome)에 근거</w:t>
      </w:r>
      <w:r>
        <w:t xml:space="preserve">해야 한다. "과제 완료 여부"가 아닌 "어떤 자질을 어느 수준까지 발휘했는가"를 기술한다.</w:t>
      </w:r>
    </w:p>
    <w:p>
      <w:pPr>
        <w:numPr>
          <w:ilvl w:val="0"/>
          <w:numId w:val="1016"/>
        </w:numPr>
      </w:pPr>
      <w:r>
        <w:rPr>
          <w:b/>
          <w:bCs/>
        </w:rPr>
        <w:t xml:space="preserve">각 척도 수준은 성과의 질을 기술</w:t>
      </w:r>
      <w:r>
        <w:t xml:space="preserve">해야 하며, 단순 횟수 계산이나 평가자 주관적 인상이 아닌 관찰 가능한 행동 지표를 포함한다.</w:t>
      </w:r>
    </w:p>
    <w:p>
      <w:pPr>
        <w:numPr>
          <w:ilvl w:val="0"/>
          <w:numId w:val="1016"/>
        </w:numPr>
      </w:pPr>
      <w:r>
        <w:rPr>
          <w:b/>
          <w:bCs/>
        </w:rPr>
        <w:t xml:space="preserve">청점 문구는 그 자체로 판단이 가능</w:t>
      </w:r>
      <w:r>
        <w:t xml:space="preserve">해야 한다. "보통" "우수" 같은 단독 수식어는 기준점으로 기능하지 않는다.</w:t>
      </w:r>
    </w:p>
    <w:p>
      <w:pPr>
        <w:numPr>
          <w:ilvl w:val="0"/>
          <w:numId w:val="1016"/>
        </w:numPr>
      </w:pPr>
      <w:r>
        <w:rPr>
          <w:b/>
          <w:bCs/>
        </w:rPr>
        <w:t xml:space="preserve">기준 수는 4–6개, 척도 수준은 4–5개</w:t>
      </w:r>
      <w:r>
        <w:t xml:space="preserve">가 일반적으로 권장된다. 너무 많은 기준은 인지부하를 높이고, 너무 적은 척도 수준은 판별력을 희생한다.</w:t>
      </w:r>
    </w:p>
    <w:p>
      <w:pPr>
        <w:numPr>
          <w:ilvl w:val="0"/>
          <w:numId w:val="1016"/>
        </w:numPr>
      </w:pPr>
      <w:r>
        <w:rPr>
          <w:b/>
          <w:bCs/>
        </w:rPr>
        <w:t xml:space="preserve">최상위 수준부터 역설계</w:t>
      </w:r>
      <w:r>
        <w:t xml:space="preserve">하는 것이 권장된다: 먼저 "성공적인 수행이란 무엇인가"를 정의하고, 그 아래 수준을 점진적으로 기술한다</w:t>
      </w:r>
      <w:r>
        <w:t xml:space="preserve"> </w:t>
      </w:r>
      <w:hyperlink r:id="rId63">
        <w:r>
          <w:rPr>
            <w:rStyle w:val="Hyperlink"/>
          </w:rPr>
          <w:t xml:space="preserve">( Carriveau, 2023 )</w:t>
        </w:r>
      </w:hyperlink>
      <w:r>
        <w:t xml:space="preserve">.</w:t>
      </w:r>
    </w:p>
    <w:bookmarkEnd w:id="64"/>
    <w:bookmarkStart w:id="84" w:name="llm을-채점자로-쓸-때-llm-as-a-judge"/>
    <w:p>
      <w:pPr>
        <w:pStyle w:val="Heading2"/>
      </w:pPr>
      <w:r>
        <w:t xml:space="preserve">6. LLM을 채점자로 쓸 때 (LLM-as-a-judge)</w:t>
      </w:r>
    </w:p>
    <w:p>
      <w:pPr>
        <w:pStyle w:val="FirstParagraph"/>
      </w:pPr>
      <w:r>
        <w:rPr>
          <w:b/>
          <w:bCs/>
        </w:rPr>
        <w:t xml:space="preserve">6-1. 상세 루브릭을 제공했을 때와 제공하지 않았을 때의 채점 품질 차이</w:t>
      </w:r>
    </w:p>
    <w:p>
      <w:pPr>
        <w:pStyle w:val="BodyText"/>
      </w:pPr>
      <w:r>
        <w:t xml:space="preserve">루브릭 제공 여부가 LLM 채점 품질에 미치는 영향에 관한 직접 비교 연구는 다수 보고되었다.</w:t>
      </w:r>
    </w:p>
    <w:p>
      <w:pPr>
        <w:numPr>
          <w:ilvl w:val="0"/>
          <w:numId w:val="1017"/>
        </w:numPr>
      </w:pPr>
      <w:r>
        <w:t xml:space="preserve">Nugroho 등(2025): 3,476개 채점 인스턴스에서 루브릭 유도 프롬프트가 무유도 조건 대비 LLM-인간 합치도를 유의미하게 향상시켰으며, 오차를 감소시키고 정렬도를 높였다</w:t>
      </w:r>
      <w:r>
        <w:t xml:space="preserve"> </w:t>
      </w:r>
      <w:hyperlink r:id="rId65">
        <w:r>
          <w:rPr>
            <w:rStyle w:val="Hyperlink"/>
          </w:rPr>
          <w:t xml:space="preserve">( Nugroho et al., 2025 )</w:t>
        </w:r>
      </w:hyperlink>
      <w:r>
        <w:t xml:space="preserve">.</w:t>
      </w:r>
    </w:p>
    <w:p>
      <w:pPr>
        <w:numPr>
          <w:ilvl w:val="0"/>
          <w:numId w:val="1017"/>
        </w:numPr>
      </w:pPr>
      <w:r>
        <w:t xml:space="preserve">Kucia 등(2026): GPT-4o, Gemini 등에서 루브릭 기반 홀리스틱 채점의 QWK ≈ 0.6이었으나, 분석적 채점에서는 하위특성(특히 문법·관행)에 체계적 부방향 편향이 발견되었다</w:t>
      </w:r>
      <w:r>
        <w:t xml:space="preserve"> </w:t>
      </w:r>
      <w:hyperlink r:id="rId66">
        <w:r>
          <w:rPr>
            <w:rStyle w:val="Hyperlink"/>
          </w:rPr>
          <w:t xml:space="preserve">( Kucia et al., 2026 )</w:t>
        </w:r>
      </w:hyperlink>
      <w:r>
        <w:t xml:space="preserve">.</w:t>
      </w:r>
    </w:p>
    <w:p>
      <w:pPr>
        <w:numPr>
          <w:ilvl w:val="0"/>
          <w:numId w:val="1017"/>
        </w:numPr>
      </w:pPr>
      <w:r>
        <w:t xml:space="preserve">Pol &amp; Xie(2025): 동일 의미를 유지한 채 루브릭 문구만 변경(긍정/부정 프레이밍)해도 LLM 채점 점수가 체계적으로 이동했다. 중립 프레이밍 시 인간 합치도 ≈ 74%로 최고였고</w:t>
      </w:r>
      <w:r>
        <w:t xml:space="preserve"> </w:t>
      </w:r>
      <w:hyperlink r:id="rId67">
        <w:r>
          <w:rPr>
            <w:rStyle w:val="Hyperlink"/>
          </w:rPr>
          <w:t xml:space="preserve">( Pol &amp; Xie, 2025 )</w:t>
        </w:r>
      </w:hyperlink>
      <w:r>
        <w:t xml:space="preserve">, 부정 프레이밍 시 점수 하락(−1.2점/6점 만점)이 관찰되었다.</w:t>
      </w:r>
    </w:p>
    <w:p>
      <w:pPr>
        <w:numPr>
          <w:ilvl w:val="0"/>
          <w:numId w:val="1017"/>
        </w:numPr>
      </w:pPr>
      <w:r>
        <w:t xml:space="preserve">Chen 등(2026)의 "Rulers" 프레임워크: 루브릭의 의도를 고정된 작업 수준 명세(locked task-level specification)로 변환 → 구조화 체크리스트 판단 + 근거 인용 검증 → 사후 보정. 이 3단계 프레임워크가 단순 루브릭 프롬프트 대비 인간 점수 합치도를 대부분의 설정에서 상회했다</w:t>
      </w:r>
      <w:r>
        <w:t xml:space="preserve"> </w:t>
      </w:r>
      <w:hyperlink r:id="rId68">
        <w:r>
          <w:rPr>
            <w:rStyle w:val="Hyperlink"/>
          </w:rPr>
          <w:t xml:space="preserve">( Hong et al., 2026 )</w:t>
        </w:r>
      </w:hyperlink>
      <w:r>
        <w:t xml:space="preserve">.</w:t>
      </w:r>
    </w:p>
    <w:p>
      <w:pPr>
        <w:pStyle w:val="FirstParagraph"/>
      </w:pPr>
      <w:r>
        <w:rPr>
          <w:b/>
          <w:bCs/>
        </w:rPr>
        <w:t xml:space="preserve">6-2. LLM 채점자의 알려진 편향과 완화 방법</w:t>
      </w:r>
    </w:p>
    <w:p>
      <w:pPr>
        <w:pStyle w:val="BodyText"/>
      </w:pPr>
      <w:r>
        <w:t xml:space="preserve">Zheng 등(2023, MT-Bench 원연구)이 체계적으로 규명한 편향</w:t>
      </w:r>
      <w:r>
        <w:t xml:space="preserve"> </w:t>
      </w:r>
      <w:hyperlink r:id="rId69">
        <w:r>
          <w:rPr>
            <w:rStyle w:val="Hyperlink"/>
          </w:rPr>
          <w:t xml:space="preserve">( Zheng et al., 2023 )</w:t>
        </w:r>
      </w:hyperlink>
      <w:r>
        <w:t xml:space="preserve">:</w:t>
      </w:r>
    </w:p>
    <w:p>
      <w:pPr>
        <w:numPr>
          <w:ilvl w:val="0"/>
          <w:numId w:val="1018"/>
        </w:numPr>
      </w:pPr>
      <w:r>
        <w:rPr>
          <w:b/>
          <w:bCs/>
        </w:rPr>
        <w:t xml:space="preserve">위치 편향(position bias)</w:t>
      </w:r>
      <w:r>
        <w:t xml:space="preserve">: 모든 LLM 채점자가 첫 번째 위치의 답안을 선호하는 경향이 있었다. GPT-4만 60% 이상의 일관성을 보였고, Claude-v1은 "Assistant A"라는 이름 자체에 편향을 보였다.</w:t>
      </w:r>
      <w:r>
        <w:t xml:space="preserve"> </w:t>
      </w:r>
      <w:r>
        <w:rPr>
          <w:b/>
          <w:bCs/>
        </w:rPr>
        <w:t xml:space="preserve">완화</w:t>
      </w:r>
      <w:r>
        <w:t xml:space="preserve">: 두 답안의 순서를 교환하여 2회 호출하고, 양쪽에서 동일한 승자를 선언한 경우에만 판정을 확정한다.</w:t>
      </w:r>
    </w:p>
    <w:p>
      <w:pPr>
        <w:numPr>
          <w:ilvl w:val="0"/>
          <w:numId w:val="1018"/>
        </w:numPr>
      </w:pPr>
      <w:r>
        <w:rPr>
          <w:b/>
          <w:bCs/>
        </w:rPr>
        <w:t xml:space="preserve">장황함 편향(verbosity bias)</w:t>
      </w:r>
      <w:r>
        <w:t xml:space="preserve">: 길고 상세한 답안을 부당하게 선호한다. GPT-4는 "반복 목록(repetitive list) 공격"에서 8.7% 실패율을 보였으나, 다른 모델은 91.3% 실패율을 보였다</w:t>
      </w:r>
      <w:r>
        <w:t xml:space="preserve"> </w:t>
      </w:r>
      <w:hyperlink r:id="rId69">
        <w:r>
          <w:rPr>
            <w:rStyle w:val="Hyperlink"/>
          </w:rPr>
          <w:t xml:space="preserve">( Zheng et al., 2023 )</w:t>
        </w:r>
      </w:hyperlink>
      <w:r>
        <w:t xml:space="preserve">.</w:t>
      </w:r>
      <w:r>
        <w:t xml:space="preserve"> </w:t>
      </w:r>
      <w:r>
        <w:rPr>
          <w:b/>
          <w:bCs/>
        </w:rPr>
        <w:t xml:space="preserve">완화</w:t>
      </w:r>
      <w:r>
        <w:t xml:space="preserve">: 프롬프트에 "Do not allow the length of the responses to influence your evaluation"를 명시한다.</w:t>
      </w:r>
    </w:p>
    <w:p>
      <w:pPr>
        <w:numPr>
          <w:ilvl w:val="0"/>
          <w:numId w:val="1018"/>
        </w:numPr>
      </w:pPr>
      <w:r>
        <w:rPr>
          <w:b/>
          <w:bCs/>
        </w:rPr>
        <w:t xml:space="preserve">자기생성물 선호(self-enhancement bias)</w:t>
      </w:r>
      <w:r>
        <w:t xml:space="preserve">: GPT-4는 자신이 생성한 답안에 10% 더 높은 승률을, Claude-v1은 25% 더 높은 승률을 부여했다</w:t>
      </w:r>
      <w:r>
        <w:t xml:space="preserve"> </w:t>
      </w:r>
      <w:hyperlink r:id="rId69">
        <w:r>
          <w:rPr>
            <w:rStyle w:val="Hyperlink"/>
          </w:rPr>
          <w:t xml:space="preserve">( Zheng et al., 2023 )</w:t>
        </w:r>
      </w:hyperlink>
      <w:r>
        <w:t xml:space="preserve">. 단, 통제 연구의 한계로 확정적 결론은 아니다.</w:t>
      </w:r>
    </w:p>
    <w:p>
      <w:pPr>
        <w:pStyle w:val="FirstParagraph"/>
      </w:pPr>
      <w:r>
        <w:t xml:space="preserve">추가로 최근 연구에서 보고된 편향:</w:t>
      </w:r>
    </w:p>
    <w:p>
      <w:pPr>
        <w:numPr>
          <w:ilvl w:val="0"/>
          <w:numId w:val="1019"/>
        </w:numPr>
      </w:pPr>
      <w:r>
        <w:rPr>
          <w:b/>
          <w:bCs/>
        </w:rPr>
        <w:t xml:space="preserve">유인 편향(persuasion bias)</w:t>
      </w:r>
      <w:r>
        <w:t xml:space="preserve">: Hwang 등(2025)은 수학적 추론 채점에서 수사적 설득 기법(일관성, 권위, 아첨 등)이 LLM 채점자의 점수를 평균 8%까지 부풀림을 보였다</w:t>
      </w:r>
      <w:r>
        <w:t xml:space="preserve"> </w:t>
      </w:r>
      <w:hyperlink r:id="rId70">
        <w:r>
          <w:rPr>
            <w:rStyle w:val="Hyperlink"/>
          </w:rPr>
          <w:t xml:space="preserve">( Hwang et al., 2025 )</w:t>
        </w:r>
      </w:hyperlink>
      <w:r>
        <w:t xml:space="preserve">. 모델 크기를 키워도 완화되지 않았다.</w:t>
      </w:r>
    </w:p>
    <w:p>
      <w:pPr>
        <w:numPr>
          <w:ilvl w:val="0"/>
          <w:numId w:val="1019"/>
        </w:numPr>
      </w:pPr>
      <w:r>
        <w:rPr>
          <w:b/>
          <w:bCs/>
        </w:rPr>
        <w:t xml:space="preserve">프레이밍 편향</w:t>
      </w:r>
      <w:r>
        <w:t xml:space="preserve">: Pol &amp; Xie(2025)가 보고한 바와 같이</w:t>
      </w:r>
      <w:r>
        <w:t xml:space="preserve"> </w:t>
      </w:r>
      <w:hyperlink r:id="rId67">
        <w:r>
          <w:rPr>
            <w:rStyle w:val="Hyperlink"/>
          </w:rPr>
          <w:t xml:space="preserve">( Pol &amp; Xie, 2025 )</w:t>
        </w:r>
      </w:hyperlink>
      <w:r>
        <w:t xml:space="preserve">, 루브릭 문구의 미묘한 프레이밍 변화가 점수를 체계적으로 이동시킨다.</w:t>
      </w:r>
    </w:p>
    <w:p>
      <w:pPr>
        <w:numPr>
          <w:ilvl w:val="0"/>
          <w:numId w:val="1019"/>
        </w:numPr>
      </w:pPr>
      <w:r>
        <w:rPr>
          <w:b/>
          <w:bCs/>
        </w:rPr>
        <w:t xml:space="preserve">횡단 일관성 문제</w:t>
      </w:r>
      <w:r>
        <w:t xml:space="preserve">: Yagubyan(2026)은 GPT-4o-mini와 GPT-4.1-mini에서 동일 질문 50회 반복 평가 시 평균 13.6%의 편향 뒤집기(flip)율을 보고했다. 28%의 질문이 20% 이상의 뒤집기율을 보였으며, 95% 확률로 안정적 판정에 11회 이상의 반복이 필요했다</w:t>
      </w:r>
      <w:r>
        <w:t xml:space="preserve"> </w:t>
      </w:r>
      <w:hyperlink r:id="rId71">
        <w:r>
          <w:rPr>
            <w:rStyle w:val="Hyperlink"/>
          </w:rPr>
          <w:t xml:space="preserve">( Yagubyan, 2026 )</w:t>
        </w:r>
      </w:hyperlink>
      <w:r>
        <w:t xml:space="preserve">.</w:t>
      </w:r>
    </w:p>
    <w:p>
      <w:pPr>
        <w:pStyle w:val="FirstParagraph"/>
      </w:pPr>
      <w:r>
        <w:rPr>
          <w:b/>
          <w:bCs/>
        </w:rPr>
        <w:t xml:space="preserve">6-3. 복수 LLM 심사위원의 점수를 집계하는 방식별 비교</w:t>
      </w:r>
    </w:p>
    <w:p>
      <w:pPr>
        <w:pStyle w:val="BodyText"/>
      </w:pPr>
      <w:r>
        <w:rPr>
          <w:b/>
          <w:bCs/>
        </w:rPr>
        <w:t xml:space="preserve">다수결(majority voting)</w:t>
      </w:r>
      <w:r>
        <w:t xml:space="preserve">: 가장 널리 사용되는 기준 방식이다. Akinseloyin 등(2025)은 체계적 문헌검토 초록 선별에서 다수결이 MAP 0.462를 달성하며 전체적으로 최적의 전략이었고, 비용도 가장 낮았다</w:t>
      </w:r>
      <w:r>
        <w:t xml:space="preserve"> </w:t>
      </w:r>
      <w:hyperlink r:id="rId72">
        <w:r>
          <w:rPr>
            <w:rStyle w:val="Hyperlink"/>
          </w:rPr>
          <w:t xml:space="preserve">( Akinseloyin et al., 2025 )</w:t>
        </w:r>
      </w:hyperlink>
      <w:r>
        <w:t xml:space="preserve">. 단, 전제 조건은 모델 다양성(model diversity)이다.</w:t>
      </w:r>
    </w:p>
    <w:p>
      <w:pPr>
        <w:pStyle w:val="BodyText"/>
      </w:pPr>
      <w:r>
        <w:rPr>
          <w:b/>
          <w:bCs/>
        </w:rPr>
        <w:t xml:space="preserve">평균(averaging)</w:t>
      </w:r>
      <w:r>
        <w:t xml:space="preserve">: 연속 척도 채점에서 표준적 방식이다. 단, Kohli(2026)에 따르면</w:t>
      </w:r>
      <w:r>
        <w:t xml:space="preserve"> </w:t>
      </w:r>
      <w:hyperlink r:id="rId73">
        <w:r>
          <w:rPr>
            <w:rStyle w:val="Hyperlink"/>
          </w:rPr>
          <w:t xml:space="preserve">( Kohli, 2026 )</w:t>
        </w:r>
      </w:hyperlink>
      <w:r>
        <w:t xml:space="preserve">, 7개 제품군 9개 LLM으로 구성된 패널이 실질적으로 독립 투표 2명분의 정보량밖에 제공하지 못했다. 모델 간 상관오차(correlated error)로 인해 패널의 실제 정확도가 독립 투표 가정 하의 기대치보다 8–22%포인트 낮았다.</w:t>
      </w:r>
    </w:p>
    <w:p>
      <w:pPr>
        <w:pStyle w:val="BodyText"/>
      </w:pPr>
      <w:r>
        <w:rPr>
          <w:b/>
          <w:bCs/>
        </w:rPr>
        <w:t xml:space="preserve">토론(debate)</w:t>
      </w:r>
      <w:r>
        <w:t xml:space="preserve">: Harrasse 등(2024)의 D3 프레임워크는 구조화된 토론(주장자-판정자 구조)이 다수결보다 판정의 신뢰성과 해석 가능성을 높임을 보였다</w:t>
      </w:r>
      <w:r>
        <w:t xml:space="preserve"> </w:t>
      </w:r>
      <w:hyperlink r:id="rId74">
        <w:r>
          <w:rPr>
            <w:rStyle w:val="Hyperlink"/>
          </w:rPr>
          <w:t xml:space="preserve">( Harrasse et al., 2024 )</w:t>
        </w:r>
      </w:hyperlink>
      <w:r>
        <w:t xml:space="preserve">. Hu 등(2025)의 다에이전트 토론 판정 프레임워크도 다수결 대비 정확도 향상을 보였다</w:t>
      </w:r>
      <w:r>
        <w:t xml:space="preserve"> </w:t>
      </w:r>
      <w:hyperlink r:id="rId75">
        <w:r>
          <w:rPr>
            <w:rStyle w:val="Hyperlink"/>
          </w:rPr>
          <w:t xml:space="preserve">( Hu et al., 2025 )</w:t>
        </w:r>
      </w:hyperlink>
      <w:r>
        <w:t xml:space="preserve">. 단, Estornell &amp; Liu(2024)은 유사한 모델의 토론이 정적 수렴(minority opinion의 체계적 억압)에 빠질 위험을 지적했다</w:t>
      </w:r>
      <w:r>
        <w:t xml:space="preserve"> </w:t>
      </w:r>
      <w:hyperlink r:id="rId76">
        <w:r>
          <w:rPr>
            <w:rStyle w:val="Hyperlink"/>
          </w:rPr>
          <w:t xml:space="preserve">( Estornell &amp; Liu, 2024 )</w:t>
        </w:r>
      </w:hyperlink>
      <w:r>
        <w:t xml:space="preserve">.</w:t>
      </w:r>
    </w:p>
    <w:p>
      <w:pPr>
        <w:pStyle w:val="BodyText"/>
      </w:pPr>
      <w:r>
        <w:rPr>
          <w:b/>
          <w:bCs/>
        </w:rPr>
        <w:t xml:space="preserve">고급 집계</w:t>
      </w:r>
      <w:r>
        <w:t xml:space="preserve">: Zhao 등(2026)의 CARE(혼란인자 인식 집계)는 LLM 채점자 간 공유 혼란인자(장황ness, 문체 선호 등)를 모델링하여, 독립성 가정을 위반하는 집계의 체계적 편향을 보정한다. 12개 벤치마크에서 오차를 최대 26.8%까지 감소시켰다</w:t>
      </w:r>
      <w:r>
        <w:t xml:space="preserve"> </w:t>
      </w:r>
      <w:hyperlink r:id="rId77">
        <w:r>
          <w:rPr>
            <w:rStyle w:val="Hyperlink"/>
          </w:rPr>
          <w:t xml:space="preserve">( Zhao et al., 2026 )</w:t>
        </w:r>
      </w:hyperlink>
      <w:r>
        <w:t xml:space="preserve">. Ai 등(2025)의 OW·ISP 알고리즘은 2차 정보(모델 간 상관구조)를 활용하여 다수결의 한계를 보완한다</w:t>
      </w:r>
      <w:r>
        <w:t xml:space="preserve"> </w:t>
      </w:r>
      <w:hyperlink r:id="rId78">
        <w:r>
          <w:rPr>
            <w:rStyle w:val="Hyperlink"/>
          </w:rPr>
          <w:t xml:space="preserve">( Ai et al., 2025 )</w:t>
        </w:r>
      </w:hyperlink>
      <w:r>
        <w:t xml:space="preserve">. Balasubramanian 등(2026)의 Ising 모델 기반 집계는 의존성 인식 하에 베이즈 최적 판정을 근사한다</w:t>
      </w:r>
      <w:r>
        <w:t xml:space="preserve"> </w:t>
      </w:r>
      <w:hyperlink r:id="rId79">
        <w:r>
          <w:rPr>
            <w:rStyle w:val="Hyperlink"/>
          </w:rPr>
          <w:t xml:space="preserve">( Balasubramanian et al., 2026 )</w:t>
        </w:r>
      </w:hyperlink>
      <w:r>
        <w:t xml:space="preserve">.</w:t>
      </w:r>
    </w:p>
    <w:p>
      <w:pPr>
        <w:pStyle w:val="BodyText"/>
      </w:pPr>
      <w:r>
        <w:rPr>
          <w:b/>
          <w:bCs/>
        </w:rPr>
        <w:t xml:space="preserve">핵심 대립</w:t>
      </w:r>
      <w:r>
        <w:t xml:space="preserve">: 다수결은 간단하고 견고하지만 상관오차 하에서 정보 이득이 제한적이다. 토론/고급 집계는 이론적 우월성이 있으나, 구현 복잡도와 비용이 증가한다. Kohli(2026)의 발견</w:t>
      </w:r>
      <w:r>
        <w:t xml:space="preserve"> </w:t>
      </w:r>
      <w:hyperlink r:id="rId73">
        <w:r>
          <w:rPr>
            <w:rStyle w:val="Hyperlink"/>
          </w:rPr>
          <w:t xml:space="preserve">( Kohli, 2026 )</w:t>
        </w:r>
      </w:hyperlink>
      <w:r>
        <w:t xml:space="preserve">—9명 LLM 패널이 실질 2인분—은 집계 알고리즘 개선보다</w:t>
      </w:r>
      <w:r>
        <w:t xml:space="preserve"> </w:t>
      </w:r>
      <w:r>
        <w:rPr>
          <w:b/>
          <w:bCs/>
        </w:rPr>
        <w:t xml:space="preserve">진정으로 독립적인(다른 훈련 데이터, 다른 아키텍처) 평가자를 확보</w:t>
      </w:r>
      <w:r>
        <w:t xml:space="preserve">하는 것이 선결 과제임을 시사한다.</w:t>
      </w:r>
    </w:p>
    <w:p>
      <w:pPr>
        <w:pStyle w:val="BodyText"/>
      </w:pPr>
      <w:r>
        <w:rPr>
          <w:b/>
          <w:bCs/>
        </w:rPr>
        <w:t xml:space="preserve">6-4. LLM 채점자와 인간 채점자의 일치도</w:t>
      </w:r>
    </w:p>
    <w:p>
      <w:pPr>
        <w:pStyle w:val="BodyText"/>
      </w:pPr>
      <w:r>
        <w:t xml:space="preserve">Zheng 등(2023): GPT-4의 인간 전문가 합치도는 85%로, 인간-인간 합치도(81%)와 동등하거나 상회했다(비동점 투표 기준)</w:t>
      </w:r>
      <w:r>
        <w:t xml:space="preserve"> </w:t>
      </w:r>
      <w:hyperlink r:id="rId69">
        <w:r>
          <w:rPr>
            <w:rStyle w:val="Hyperlink"/>
          </w:rPr>
          <w:t xml:space="preserve">( Zheng et al., 2023 )</w:t>
        </w:r>
      </w:hyperlink>
      <w:r>
        <w:t xml:space="preserve">. 단, 이는 챗봇 응답 품질 평가(개방형 대화) 영역의 결과이다.</w:t>
      </w:r>
    </w:p>
    <w:p>
      <w:pPr>
        <w:pStyle w:val="BodyText"/>
      </w:pPr>
      <w:r>
        <w:rPr>
          <w:b/>
          <w:bCs/>
        </w:rPr>
        <w:t xml:space="preserve">이력서·지원서류 영역의 직접 연구는 제한적이지만</w:t>
      </w:r>
      <w:r>
        <w:t xml:space="preserve">, 관련 영역의 결과를 종합하면:</w:t>
      </w:r>
    </w:p>
    <w:p>
      <w:pPr>
        <w:numPr>
          <w:ilvl w:val="0"/>
          <w:numId w:val="1020"/>
        </w:numPr>
      </w:pPr>
      <w:r>
        <w:t xml:space="preserve">Kim, Lee, &amp; Lee(2026): 대학 과제 에세이(930건)에서 루브릭 유도 LLM(ChatGPT)-인간 합의(HC) ICC = 0.763, MAE = 1.603. 인간-인간 ICC = 0.819. 5개 하위기준 중 AI-HC ICC가 H1-H2 ICC를 상회하는 기준도 있었으나, 임계 인접 합치(threshold-adjacent agreement)는 불완전했다</w:t>
      </w:r>
      <w:r>
        <w:t xml:space="preserve"> </w:t>
      </w:r>
      <w:hyperlink r:id="rId80">
        <w:r>
          <w:rPr>
            <w:rStyle w:val="Hyperlink"/>
          </w:rPr>
          <w:t xml:space="preserve">( Kim et al., 2026 )</w:t>
        </w:r>
      </w:hyperlink>
      <w:r>
        <w:t xml:space="preserve">.</w:t>
      </w:r>
    </w:p>
    <w:p>
      <w:pPr>
        <w:numPr>
          <w:ilvl w:val="0"/>
          <w:numId w:val="1020"/>
        </w:numPr>
      </w:pPr>
      <w:r>
        <w:t xml:space="preserve">Song, Lee, &amp; Jiao(2026): AP 중국어 작문에서 인간-LLM 하이브리드 복합 채점이 신뢰도와 인간-AI 합치도를 모두 향상시킴을 보였다</w:t>
      </w:r>
      <w:r>
        <w:t xml:space="preserve"> </w:t>
      </w:r>
      <w:hyperlink r:id="rId81">
        <w:r>
          <w:rPr>
            <w:rStyle w:val="Hyperlink"/>
          </w:rPr>
          <w:t xml:space="preserve">( Song et al., 2026 )</w:t>
        </w:r>
      </w:hyperlink>
      <w:r>
        <w:t xml:space="preserve">.</w:t>
      </w:r>
    </w:p>
    <w:p>
      <w:pPr>
        <w:numPr>
          <w:ilvl w:val="0"/>
          <w:numId w:val="1020"/>
        </w:numPr>
      </w:pPr>
      <w:r>
        <w:t xml:space="preserve">Walsh, Suresh, &amp; Ivan(2026): Casper 상황판단검사(SJT)에서 LLM 채점자의 QWK가 인간-인간 수준과 동등 또는 상회했으며, 특성 공학+회귀 집계 2단계 설계가 효과적이었다</w:t>
      </w:r>
      <w:r>
        <w:t xml:space="preserve"> </w:t>
      </w:r>
      <w:hyperlink r:id="rId82">
        <w:r>
          <w:rPr>
            <w:rStyle w:val="Hyperlink"/>
          </w:rPr>
          <w:t xml:space="preserve">( Walsh et al., 2026 )</w:t>
        </w:r>
      </w:hyperlink>
      <w:r>
        <w:t xml:space="preserve">.</w:t>
      </w:r>
    </w:p>
    <w:p>
      <w:pPr>
        <w:numPr>
          <w:ilvl w:val="0"/>
          <w:numId w:val="1020"/>
        </w:numPr>
      </w:pPr>
      <w:r>
        <w:t xml:space="preserve">Gaggioli 등(2025): 이탈리아어 대학 에세이 67건에서 5개 LLM의 인간-LLM 합치도(QWK)가 일관되게 낮고 비유의미했으며, 모델 내 반복 신뢰도(중앙값 Kendall's W &lt; 0.30)도 약했다</w:t>
      </w:r>
      <w:r>
        <w:t xml:space="preserve"> </w:t>
      </w:r>
      <w:hyperlink r:id="rId83">
        <w:r>
          <w:rPr>
            <w:rStyle w:val="Hyperlink"/>
          </w:rPr>
          <w:t xml:space="preserve">( Gaggioli et al., 2025 )</w:t>
        </w:r>
      </w:hyperlink>
      <w:r>
        <w:t xml:space="preserve">. 문맥 민감성과 학문적 통찰이 필요한 영역에서 LLM 한계가 뚜렷했다.</w:t>
      </w:r>
    </w:p>
    <w:p>
      <w:pPr>
        <w:pStyle w:val="FirstParagraph"/>
      </w:pPr>
      <w:r>
        <w:rPr>
          <w:b/>
          <w:bCs/>
        </w:rPr>
        <w:t xml:space="preserve">대립</w:t>
      </w:r>
      <w:r>
        <w:t xml:space="preserve">: Kim 등(2026)과 Walsh 등(2026)은 루브릭 유도 LLM 채점이 인간 보조 수단으로 유의미함을 시사하는 반면, Gaggioli 등(2025)은 해석적 영역에서 LLM 채점의 한계를 강조한다. 이 격차는 (a) 채점 대상의 구조화 정도, (b) 루브릭의 정교성, (c) 사후 보정 유무에 의해 설명될 가능성이 높다.</w:t>
      </w:r>
    </w:p>
    <w:bookmarkEnd w:id="84"/>
    <w:bookmarkStart w:id="85" w:name="제안-복수-llm-심사위원-이력서-채점-시스템의-루브릭과-채점-절차"/>
    <w:p>
      <w:pPr>
        <w:pStyle w:val="Heading2"/>
      </w:pPr>
      <w:r>
        <w:t xml:space="preserve">[제안] 복수 LLM 심사위원 이력서 채점 시스템의 루브릭과 채점 절차</w:t>
      </w:r>
    </w:p>
    <w:p>
      <w:pPr>
        <w:pStyle w:val="FirstParagraph"/>
      </w:pPr>
      <w:r>
        <w:t xml:space="preserve">다음은 상기 검토된 실증 근거를 바탕으로 한 설계 제안이다. 근거 있는 사실과 제안을 구분하여 표기한다.</w:t>
      </w:r>
    </w:p>
    <w:p>
      <w:pPr>
        <w:pStyle w:val="BodyText"/>
      </w:pPr>
      <w:r>
        <w:rPr>
          <w:b/>
          <w:bCs/>
        </w:rPr>
        <w:t xml:space="preserve">설계 원칙</w:t>
      </w:r>
    </w:p>
    <w:p>
      <w:pPr>
        <w:numPr>
          <w:ilvl w:val="0"/>
          <w:numId w:val="1021"/>
        </w:numPr>
      </w:pPr>
      <w:r>
        <w:t xml:space="preserve">평가 항목은 채용공고 요구조건에서 직무분석으로 도출된 KSAO에 근거한다(행동일치법 원칙)</w:t>
      </w:r>
      <w:r>
        <w:t xml:space="preserve"> </w:t>
      </w:r>
      <w:hyperlink r:id="rId9">
        <w:r>
          <w:rPr>
            <w:rStyle w:val="Hyperlink"/>
          </w:rPr>
          <w:t xml:space="preserve">( Mcgonigle &amp; Curnow, 2008 )</w:t>
        </w:r>
      </w:hyperlink>
      <w:r>
        <w:t xml:space="preserve">.</w:t>
      </w:r>
    </w:p>
    <w:p>
      <w:pPr>
        <w:numPr>
          <w:ilvl w:val="0"/>
          <w:numId w:val="1021"/>
        </w:numPr>
      </w:pPr>
      <w:r>
        <w:t xml:space="preserve">척도는 5점 행동기준점 척도(BARS 원칙)를 채택하되, Preston &amp; Colman(2000)의 근거에 따라 7점 척도로 확장을 검토한다</w:t>
      </w:r>
      <w:r>
        <w:t xml:space="preserve"> </w:t>
      </w:r>
      <w:hyperlink r:id="rId25">
        <w:r>
          <w:rPr>
            <w:rStyle w:val="Hyperlink"/>
          </w:rPr>
          <w:t xml:space="preserve">( Preston &amp; Colman, 2000 )</w:t>
        </w:r>
      </w:hyperlink>
      <w:r>
        <w:t xml:space="preserve">.</w:t>
      </w:r>
    </w:p>
    <w:p>
      <w:pPr>
        <w:numPr>
          <w:ilvl w:val="0"/>
          <w:numId w:val="1021"/>
        </w:numPr>
      </w:pPr>
      <w:r>
        <w:t xml:space="preserve">각 항목별로 서술형 근거(rationale)를 필수로 요구한다</w:t>
      </w:r>
      <w:r>
        <w:t xml:space="preserve"> </w:t>
      </w:r>
      <w:hyperlink r:id="rId26">
        <w:r>
          <w:rPr>
            <w:rStyle w:val="Hyperlink"/>
          </w:rPr>
          <w:t xml:space="preserve">( Chen et al., 2026</w:t>
        </w:r>
      </w:hyperlink>
      <w:r>
        <w:t xml:space="preserve"> </w:t>
      </w:r>
      <w:r>
        <w:t xml:space="preserve">;</w:t>
      </w:r>
      <w:r>
        <w:t xml:space="preserve"> </w:t>
      </w:r>
      <w:hyperlink r:id="rId27">
        <w:r>
          <w:rPr>
            <w:rStyle w:val="Hyperlink"/>
          </w:rPr>
          <w:t xml:space="preserve">Trivedi et al., 2024 )</w:t>
        </w:r>
      </w:hyperlink>
      <w:r>
        <w:t xml:space="preserve">.</w:t>
      </w:r>
    </w:p>
    <w:p>
      <w:pPr>
        <w:numPr>
          <w:ilvl w:val="0"/>
          <w:numId w:val="1021"/>
        </w:numPr>
      </w:pPr>
      <w:r>
        <w:t xml:space="preserve">3명의 이질적 LLM 심사위원(서로 다른 제품군·아키텍처)이 독립 채점 후 평균한다</w:t>
      </w:r>
      <w:r>
        <w:t xml:space="preserve"> </w:t>
      </w:r>
      <w:hyperlink r:id="rId30">
        <w:r>
          <w:rPr>
            <w:rStyle w:val="Hyperlink"/>
          </w:rPr>
          <w:t xml:space="preserve">( Voskuijl &amp; Sliedregt, 2002</w:t>
        </w:r>
      </w:hyperlink>
      <w:r>
        <w:t xml:space="preserve"> </w:t>
      </w:r>
      <w:r>
        <w:t xml:space="preserve">;</w:t>
      </w:r>
      <w:r>
        <w:t xml:space="preserve"> </w:t>
      </w:r>
      <w:hyperlink r:id="rId33">
        <w:r>
          <w:rPr>
            <w:rStyle w:val="Hyperlink"/>
          </w:rPr>
          <w:t xml:space="preserve">Tsujimoto et al., 1990 )</w:t>
        </w:r>
      </w:hyperlink>
      <w:r>
        <w:t xml:space="preserve">.</w:t>
      </w:r>
    </w:p>
    <w:p>
      <w:pPr>
        <w:numPr>
          <w:ilvl w:val="0"/>
          <w:numId w:val="1021"/>
        </w:numPr>
      </w:pPr>
      <w:r>
        <w:t xml:space="preserve">특정 편향 완화 조치를 포함한다</w:t>
      </w:r>
      <w:r>
        <w:t xml:space="preserve"> </w:t>
      </w:r>
      <w:hyperlink r:id="rId69">
        <w:r>
          <w:rPr>
            <w:rStyle w:val="Hyperlink"/>
          </w:rPr>
          <w:t xml:space="preserve">( Zheng et al., 2023</w:t>
        </w:r>
      </w:hyperlink>
      <w:r>
        <w:t xml:space="preserve"> </w:t>
      </w:r>
      <w:r>
        <w:t xml:space="preserve">;</w:t>
      </w:r>
      <w:r>
        <w:t xml:space="preserve"> </w:t>
      </w:r>
      <w:hyperlink r:id="rId77">
        <w:r>
          <w:rPr>
            <w:rStyle w:val="Hyperlink"/>
          </w:rPr>
          <w:t xml:space="preserve">Zhao et al., 2026 )</w:t>
        </w:r>
      </w:hyperlink>
      <w:r>
        <w:t xml:space="preserve">.</w:t>
      </w:r>
    </w:p>
    <w:p>
      <w:pPr>
        <w:pStyle w:val="FirstParagraph"/>
      </w:pPr>
      <w:r>
        <w:rPr>
          <w:b/>
          <w:bCs/>
        </w:rPr>
        <w:t xml:space="preserve">평가표 제안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FirstParagraph"/>
            </w:pPr>
            <w:r>
              <w:t xml:space="preserve">항목명</w:t>
            </w:r>
          </w:p>
        </w:tc>
        <w:tc>
          <w:tcPr/>
          <w:p>
            <w:pPr>
              <w:pStyle w:val="BodyText"/>
            </w:pPr>
            <w:r>
              <w:t xml:space="preserve">가중치(예시)</w:t>
            </w:r>
          </w:p>
        </w:tc>
        <w:tc>
          <w:tcPr/>
          <w:p>
            <w:pPr>
              <w:pStyle w:val="BodyText"/>
            </w:pPr>
            <w:r>
              <w:t xml:space="preserve">1점 (부족)</w:t>
            </w:r>
          </w:p>
        </w:tc>
        <w:tc>
          <w:tcPr/>
          <w:p>
            <w:pPr>
              <w:pStyle w:val="BodyText"/>
            </w:pPr>
            <w:r>
              <w:t xml:space="preserve">3점 (보통)</w:t>
            </w:r>
          </w:p>
        </w:tc>
        <w:tc>
          <w:tcPr/>
          <w:p>
            <w:pPr>
              <w:pStyle w:val="BodyText"/>
            </w:pPr>
            <w:r>
              <w:t xml:space="preserve">5점 (우수)</w:t>
            </w:r>
          </w:p>
        </w:tc>
      </w:tr>
      <w:tr>
        <w:tc>
          <w:tcPr/>
          <w:p>
            <w:pPr>
              <w:pStyle w:val="BodyText"/>
            </w:pPr>
            <w:r>
              <w:t xml:space="preserve">직무관련 경험의 깊이</w:t>
            </w:r>
          </w:p>
        </w:tc>
        <w:tc>
          <w:tcPr/>
          <w:p>
            <w:pPr>
              <w:pStyle w:val="BodyText"/>
            </w:pPr>
            <w:r>
              <w:t xml:space="preserve">30%</w:t>
            </w:r>
          </w:p>
        </w:tc>
        <w:tc>
          <w:tcPr/>
          <w:p>
            <w:pPr>
              <w:pStyle w:val="BodyText"/>
            </w:pPr>
            <w:r>
              <w:t xml:space="preserve">해당 직무와 관련된 경험이 전무하거나, 경험이 있어도 구체적 행동 서술이 없음</w:t>
            </w:r>
          </w:p>
        </w:tc>
        <w:tc>
          <w:tcPr/>
          <w:p>
            <w:pPr>
              <w:pStyle w:val="BodyText"/>
            </w:pPr>
            <w:r>
              <w:t xml:space="preserve">직무관련 경험을 1–2개 제시하나, 행동 서술이 추상적(예: "프로젝트 참여")이고 성과·역할이 불명확함</w:t>
            </w:r>
          </w:p>
        </w:tc>
        <w:tc>
          <w:tcPr/>
          <w:p>
            <w:pPr>
              <w:pStyle w:val="BodyText"/>
            </w:pPr>
            <w:r>
              <w:t xml:space="preserve">직무관련 경험을 3건 이상 제시하며, 각 경험에서 (a) 본인의 구체적 역할, (b) 취한 행동, (c) 달성한 성과가 행동일치법 기준에 따라 명확히 서술됨</w:t>
            </w:r>
          </w:p>
        </w:tc>
      </w:tr>
      <w:tr>
        <w:tc>
          <w:tcPr/>
          <w:p>
            <w:pPr>
              <w:pStyle w:val="BodyText"/>
            </w:pPr>
            <w:r>
              <w:t xml:space="preserve">직무필수 지식·기술의 입증</w:t>
            </w:r>
          </w:p>
        </w:tc>
        <w:tc>
          <w:tcPr/>
          <w:p>
            <w:pPr>
              <w:pStyle w:val="BodyText"/>
            </w:pPr>
            <w:r>
              <w:t xml:space="preserve">25%</w:t>
            </w:r>
          </w:p>
        </w:tc>
        <w:tc>
          <w:tcPr/>
          <w:p>
            <w:pPr>
              <w:pStyle w:val="BodyText"/>
            </w:pPr>
            <w:r>
              <w:t xml:space="preserve">요구되는 지식·기술에 대한 언급이 없거나, 단순 키워드 나열에 그침</w:t>
            </w:r>
          </w:p>
        </w:tc>
        <w:tc>
          <w:tcPr/>
          <w:p>
            <w:pPr>
              <w:pStyle w:val="BodyText"/>
            </w:pPr>
            <w:r>
              <w:t xml:space="preserve">요구 지식·기술 중 일부를 언급하나, 습득 경위나 활용 맥락이 불명확함</w:t>
            </w:r>
          </w:p>
        </w:tc>
        <w:tc>
          <w:tcPr/>
          <w:p>
            <w:pPr>
              <w:pStyle w:val="BodyText"/>
            </w:pPr>
            <w:r>
              <w:t xml:space="preserve">요구 지식·기술의 대부분을 언급하며, (a) 습득 경위(교육·훈련·자격), (b) 실제 적용 상황, (c) 적용 결과를 구체적으로 입증함</w:t>
            </w:r>
          </w:p>
        </w:tc>
      </w:tr>
      <w:tr>
        <w:tc>
          <w:tcPr/>
          <w:p>
            <w:pPr>
              <w:pStyle w:val="BodyText"/>
            </w:pPr>
            <w:r>
              <w:t xml:space="preserve">성과달성력</w:t>
            </w:r>
          </w:p>
        </w:tc>
        <w:tc>
          <w:tcPr/>
          <w:p>
            <w:pPr>
              <w:pStyle w:val="BodyText"/>
            </w:pPr>
            <w:r>
              <w:t xml:space="preserve">20%</w:t>
            </w:r>
          </w:p>
        </w:tc>
        <w:tc>
          <w:tcPr/>
          <w:p>
            <w:pPr>
              <w:pStyle w:val="BodyText"/>
            </w:pPr>
            <w:r>
              <w:t xml:space="preserve">정량적·정성적 성과에 대한 언급이 없음</w:t>
            </w:r>
          </w:p>
        </w:tc>
        <w:tc>
          <w:tcPr/>
          <w:p>
            <w:pPr>
              <w:pStyle w:val="BodyText"/>
            </w:pPr>
            <w:r>
              <w:t xml:space="preserve">성과를 1–2개 언급하나, 측정 가능하지 않거나 본인의 기여 분리가 안 됨</w:t>
            </w:r>
          </w:p>
        </w:tc>
        <w:tc>
          <w:tcPr/>
          <w:p>
            <w:pPr>
              <w:pStyle w:val="BodyText"/>
            </w:pPr>
            <w:r>
              <w:t xml:space="preserve">구체적이고 측정 가능한 성과를 2건 이상 제시하며, 각 성과에서 본인의 기여가 명확히 분리됨. 성과의 영향 범위(팀/조직/고객)가 서술됨</w:t>
            </w:r>
          </w:p>
        </w:tc>
      </w:tr>
      <w:tr>
        <w:tc>
          <w:tcPr/>
          <w:p>
            <w:pPr>
              <w:pStyle w:val="BodyText"/>
            </w:pPr>
            <w:r>
              <w:t xml:space="preserve">문제해결 행동</w:t>
            </w:r>
          </w:p>
        </w:tc>
        <w:tc>
          <w:tcPr/>
          <w:p>
            <w:pPr>
              <w:pStyle w:val="BodyText"/>
            </w:pPr>
            <w:r>
              <w:t xml:space="preserve">15%</w:t>
            </w:r>
          </w:p>
        </w:tc>
        <w:tc>
          <w:tcPr/>
          <w:p>
            <w:pPr>
              <w:pStyle w:val="BodyText"/>
            </w:pPr>
            <w:r>
              <w:t xml:space="preserve">문제 상황에 대한 언급이 없거나, 문제 회피적 서술에 그침</w:t>
            </w:r>
          </w:p>
        </w:tc>
        <w:tc>
          <w:tcPr/>
          <w:p>
            <w:pPr>
              <w:pStyle w:val="BodyText"/>
            </w:pPr>
            <w:r>
              <w:t xml:space="preserve">1개 문제 상황을 서술하나, 해결 과정이 추상적이거나 타인 의존적임</w:t>
            </w:r>
          </w:p>
        </w:tc>
        <w:tc>
          <w:tcPr/>
          <w:p>
            <w:pPr>
              <w:pStyle w:val="BodyText"/>
            </w:pPr>
            <w:r>
              <w:t xml:space="preserve">2건 이상의 문제 상황에서 (a) 문제 인식, (b) 분석, (c) 해결 행동, (d) 결과·학습을 체계적으로 서술함. 타인과의 협력이 있다면 본인의 구체적 역할이 명시됨</w:t>
            </w:r>
          </w:p>
        </w:tc>
      </w:tr>
      <w:tr>
        <w:tc>
          <w:tcPr/>
          <w:p>
            <w:pPr>
              <w:pStyle w:val="BodyText"/>
            </w:pPr>
            <w:r>
              <w:t xml:space="preserve">직업윤리·적합성</w:t>
            </w:r>
          </w:p>
        </w:tc>
        <w:tc>
          <w:tcPr/>
          <w:p>
            <w:pPr>
              <w:pStyle w:val="BodyText"/>
            </w:pPr>
            <w:r>
              <w:t xml:space="preserve">10%</w:t>
            </w:r>
          </w:p>
        </w:tc>
        <w:tc>
          <w:tcPr/>
          <w:p>
            <w:pPr>
              <w:pStyle w:val="BodyText"/>
            </w:pPr>
            <w:r>
              <w:t xml:space="preserve">윤리적 갈등 상황에 대한 언급이 없거나, 조직 규범에 위배되는 서술이 있음</w:t>
            </w:r>
          </w:p>
        </w:tc>
        <w:tc>
          <w:tcPr/>
          <w:p>
            <w:pPr>
              <w:pStyle w:val="BodyText"/>
            </w:pPr>
            <w:r>
              <w:t xml:space="preserve">윤리적 갈등을 1개 언급하나, 해결 근거가 주관적이거나 불충분함</w:t>
            </w:r>
          </w:p>
        </w:tc>
        <w:tc>
          <w:tcPr/>
          <w:p>
            <w:pPr>
              <w:pStyle w:val="BodyText"/>
            </w:pPr>
            <w:r>
              <w:t xml:space="preserve">윤리적 갈등 상황에서 (a) 가치 충돌 인식, (b) 근거 있는 판단, (c) 구체적 행동, (d) 결과를 서술하며, 조직 규범·법령 준수 의지가 입증됨</w:t>
            </w:r>
          </w:p>
        </w:tc>
      </w:tr>
    </w:tbl>
    <w:p>
      <w:pPr>
        <w:pStyle w:val="BodyText"/>
      </w:pPr>
      <w:r>
        <w:rPr>
          <w:b/>
          <w:bCs/>
        </w:rPr>
        <w:t xml:space="preserve">채점 절차 제안</w:t>
      </w:r>
    </w:p>
    <w:p>
      <w:pPr>
        <w:numPr>
          <w:ilvl w:val="0"/>
          <w:numId w:val="1022"/>
        </w:numPr>
      </w:pPr>
      <w:r>
        <w:rPr>
          <w:b/>
          <w:bCs/>
        </w:rPr>
        <w:t xml:space="preserve">입력 준비</w:t>
      </w:r>
      <w:r>
        <w:t xml:space="preserve">: 채용공고의 직무요구조건(KSAO)과 루브릭을 시스템 프롬프트에 고정한다. 지원자 이력서를 분석 대상으로 입력한다. 블라인드 채용 기준에 따라 학력·출신지·가족관계·신체조건·사진은 입력에서 제거한다</w:t>
      </w:r>
      <w:r>
        <w:t xml:space="preserve"> </w:t>
      </w:r>
      <w:hyperlink r:id="rId44">
        <w:r>
          <w:rPr>
            <w:rStyle w:val="Hyperlink"/>
          </w:rPr>
          <w:t xml:space="preserve">( 공공기관 “블라인드 채용” 전면 시행…지원서에 학력·사진 금지, 2017 )</w:t>
        </w:r>
      </w:hyperlink>
      <w:r>
        <w:t xml:space="preserve">.</w:t>
      </w:r>
    </w:p>
    <w:p>
      <w:pPr>
        <w:numPr>
          <w:ilvl w:val="0"/>
          <w:numId w:val="1022"/>
        </w:numPr>
      </w:pPr>
      <w:r>
        <w:rPr>
          <w:b/>
          <w:bCs/>
        </w:rPr>
        <w:t xml:space="preserve">독립 채점</w:t>
      </w:r>
      <w:r>
        <w:t xml:space="preserve">: 3명의 이질적 LLM 심사위원(예: GPT 계열 1명, Claude 계열 1명, Gemini/DeepSeek 계열 1명)이 각각 독립적으로 채점한다. 각 심사위원은 (a) 항목별 점수, (b) 항목별 서술형 근거를 출력한다</w:t>
      </w:r>
      <w:r>
        <w:t xml:space="preserve"> </w:t>
      </w:r>
      <w:hyperlink r:id="rId26">
        <w:r>
          <w:rPr>
            <w:rStyle w:val="Hyperlink"/>
          </w:rPr>
          <w:t xml:space="preserve">( Chen et al., 2026</w:t>
        </w:r>
      </w:hyperlink>
      <w:r>
        <w:t xml:space="preserve"> </w:t>
      </w:r>
      <w:r>
        <w:t xml:space="preserve">;</w:t>
      </w:r>
      <w:r>
        <w:t xml:space="preserve"> </w:t>
      </w:r>
      <w:hyperlink r:id="rId73">
        <w:r>
          <w:rPr>
            <w:rStyle w:val="Hyperlink"/>
          </w:rPr>
          <w:t xml:space="preserve">Kohli, 2026 )</w:t>
        </w:r>
      </w:hyperlink>
      <w:r>
        <w:t xml:space="preserve">.</w:t>
      </w:r>
    </w:p>
    <w:p>
      <w:pPr>
        <w:numPr>
          <w:ilvl w:val="0"/>
          <w:numId w:val="1022"/>
        </w:numPr>
      </w:pPr>
      <w:r>
        <w:rPr>
          <w:b/>
          <w:bCs/>
        </w:rPr>
        <w:t xml:space="preserve">편향 완화</w:t>
      </w:r>
      <w:r>
        <w:t xml:space="preserve">: (a) 루브릭 프롬프트에 "길이·문체에 의한 평가를 금지" 명시(장황ness 편향 완화)</w:t>
      </w:r>
      <w:r>
        <w:t xml:space="preserve"> </w:t>
      </w:r>
      <w:hyperlink r:id="rId69">
        <w:r>
          <w:rPr>
            <w:rStyle w:val="Hyperlink"/>
          </w:rPr>
          <w:t xml:space="preserve">( Zheng et al., 2023 )</w:t>
        </w:r>
      </w:hyperlink>
      <w:r>
        <w:t xml:space="preserve">. (b) 프롬프트에 지원자 식별 정보를 철저히 제거(자기생성물 편향·유인 편향 최소화). (c) 준거답안(reference answer)이 가능한 항목(직무지식 등)에서는 참조답안 유도(reference-guided judge)를 적용한다</w:t>
      </w:r>
      <w:r>
        <w:t xml:space="preserve"> </w:t>
      </w:r>
      <w:hyperlink r:id="rId69">
        <w:r>
          <w:rPr>
            <w:rStyle w:val="Hyperlink"/>
          </w:rPr>
          <w:t xml:space="preserve">( Zheng et al., 2023 )</w:t>
        </w:r>
      </w:hyperlink>
      <w:r>
        <w:t xml:space="preserve">.</w:t>
      </w:r>
    </w:p>
    <w:p>
      <w:pPr>
        <w:numPr>
          <w:ilvl w:val="0"/>
          <w:numId w:val="1022"/>
        </w:numPr>
      </w:pPr>
      <w:r>
        <w:rPr>
          <w:b/>
          <w:bCs/>
        </w:rPr>
        <w:t xml:space="preserve">집계</w:t>
      </w:r>
      <w:r>
        <w:t xml:space="preserve">: 3인 점수의 산술평균을 항목별 최종 점수로 한다. 가중합산하여 총점을 산출한다</w:t>
      </w:r>
      <w:r>
        <w:t xml:space="preserve"> </w:t>
      </w:r>
      <w:hyperlink r:id="rId33">
        <w:r>
          <w:rPr>
            <w:rStyle w:val="Hyperlink"/>
          </w:rPr>
          <w:t xml:space="preserve">( Tsujimoto et al., 1990</w:t>
        </w:r>
      </w:hyperlink>
      <w:r>
        <w:t xml:space="preserve"> </w:t>
      </w:r>
      <w:r>
        <w:t xml:space="preserve">;</w:t>
      </w:r>
      <w:r>
        <w:t xml:space="preserve"> </w:t>
      </w:r>
      <w:hyperlink r:id="rId34">
        <w:r>
          <w:rPr>
            <w:rStyle w:val="Hyperlink"/>
          </w:rPr>
          <w:t xml:space="preserve">Pulakos et al., 1996 )</w:t>
        </w:r>
      </w:hyperlink>
      <w:r>
        <w:t xml:space="preserve">.</w:t>
      </w:r>
    </w:p>
    <w:p>
      <w:pPr>
        <w:numPr>
          <w:ilvl w:val="0"/>
          <w:numId w:val="1022"/>
        </w:numPr>
      </w:pPr>
      <w:r>
        <w:rPr>
          <w:b/>
          <w:bCs/>
        </w:rPr>
        <w:t xml:space="preserve">이견 처리</w:t>
      </w:r>
      <w:r>
        <w:t xml:space="preserve">: 특정 항목에서 3인 점수의 범위(range)가 3점 이상(예: 1점·3점·5점)이면, 해당 항목은 제4 심사위원이 추가 채점하여 기존 3인 점수와 함께 재평균한다(제3평가자 모델의 LLM 확장)</w:t>
      </w:r>
      <w:r>
        <w:t xml:space="preserve"> </w:t>
      </w:r>
      <w:hyperlink r:id="rId28">
        <w:r>
          <w:rPr>
            <w:rStyle w:val="Hyperlink"/>
          </w:rPr>
          <w:t xml:space="preserve">( Johnson et al., 2005 )</w:t>
        </w:r>
      </w:hyperlink>
      <w:r>
        <w:t xml:space="preserve">.</w:t>
      </w:r>
    </w:p>
    <w:p>
      <w:pPr>
        <w:numPr>
          <w:ilvl w:val="0"/>
          <w:numId w:val="1022"/>
        </w:numPr>
      </w:pPr>
      <w:r>
        <w:rPr>
          <w:b/>
          <w:bCs/>
        </w:rPr>
        <w:t xml:space="preserve">사후 보정</w:t>
      </w:r>
      <w:r>
        <w:t xml:space="preserve">: 소규모 인간 루브릭 채점 데이터(30–50건)를 확보하여, LLM 점수의 체계적 편향(예: 하위특성에서의 가혹·관대 편향)을 선형 보정함수로 추정·보정한다</w:t>
      </w:r>
      <w:r>
        <w:t xml:space="preserve"> </w:t>
      </w:r>
      <w:hyperlink r:id="rId66">
        <w:r>
          <w:rPr>
            <w:rStyle w:val="Hyperlink"/>
          </w:rPr>
          <w:t xml:space="preserve">( Kucia et al., 2026</w:t>
        </w:r>
      </w:hyperlink>
      <w:r>
        <w:t xml:space="preserve"> </w:t>
      </w:r>
      <w:r>
        <w:t xml:space="preserve">;</w:t>
      </w:r>
      <w:r>
        <w:t xml:space="preserve"> </w:t>
      </w:r>
      <w:hyperlink r:id="rId80">
        <w:r>
          <w:rPr>
            <w:rStyle w:val="Hyperlink"/>
          </w:rPr>
          <w:t xml:space="preserve">Kim et al., 2026 )</w:t>
        </w:r>
      </w:hyperlink>
      <w:r>
        <w:t xml:space="preserve">.</w:t>
      </w:r>
    </w:p>
    <w:p>
      <w:pPr>
        <w:numPr>
          <w:ilvl w:val="0"/>
          <w:numId w:val="1022"/>
        </w:numPr>
      </w:pPr>
      <w:r>
        <w:rPr>
          <w:b/>
          <w:bCs/>
        </w:rPr>
        <w:t xml:space="preserve">검증</w:t>
      </w:r>
      <w:r>
        <w:t xml:space="preserve">: 정기적으로 LLM 패널 점수와 인간 전문가 점수의 합치도(QWK, ICC, MAE)를 측정하고, 인간-인간 합치도 기준선과 비교한다</w:t>
      </w:r>
      <w:r>
        <w:t xml:space="preserve"> </w:t>
      </w:r>
      <w:hyperlink r:id="rId80">
        <w:r>
          <w:rPr>
            <w:rStyle w:val="Hyperlink"/>
          </w:rPr>
          <w:t xml:space="preserve">( Kim et al., 2026</w:t>
        </w:r>
      </w:hyperlink>
      <w:r>
        <w:t xml:space="preserve"> </w:t>
      </w:r>
      <w:r>
        <w:t xml:space="preserve">;</w:t>
      </w:r>
      <w:r>
        <w:t xml:space="preserve"> </w:t>
      </w:r>
      <w:hyperlink r:id="rId81">
        <w:r>
          <w:rPr>
            <w:rStyle w:val="Hyperlink"/>
          </w:rPr>
          <w:t xml:space="preserve">Song et al., 2026 )</w:t>
        </w:r>
      </w:hyperlink>
      <w:r>
        <w:t xml:space="preserve">. 합치도가 인간-인간 수준의 80% 이하로 하락하면 루브릭·프롬프트·보정 함수를 재검토한다.</w:t>
      </w:r>
    </w:p>
    <w:p>
      <w:pPr>
        <w:pStyle w:val="FirstParagraph"/>
      </w:pPr>
      <w:r>
        <w:rPr>
          <w:b/>
          <w:bCs/>
        </w:rPr>
        <w:t xml:space="preserve">한계 및 유의사항(제안)</w:t>
      </w:r>
    </w:p>
    <w:p>
      <w:pPr>
        <w:numPr>
          <w:ilvl w:val="0"/>
          <w:numId w:val="1023"/>
        </w:numPr>
      </w:pPr>
      <w:r>
        <w:t xml:space="preserve">LLM 패널의 상관오차 문제</w:t>
      </w:r>
      <w:r>
        <w:t xml:space="preserve"> </w:t>
      </w:r>
      <w:hyperlink r:id="rId73">
        <w:r>
          <w:rPr>
            <w:rStyle w:val="Hyperlink"/>
          </w:rPr>
          <w:t xml:space="preserve">( Kohli, 2026 )</w:t>
        </w:r>
      </w:hyperlink>
      <w:r>
        <w:t xml:space="preserve">를 완전히 제거할 수는 없으므로, 본 시스템은 서류전형</w:t>
      </w:r>
      <w:r>
        <w:t xml:space="preserve"> </w:t>
      </w:r>
      <w:r>
        <w:rPr>
          <w:i/>
          <w:iCs/>
        </w:rPr>
        <w:t xml:space="preserve">예비 선별</w:t>
      </w:r>
      <w:r>
        <w:t xml:space="preserve"> </w:t>
      </w:r>
      <w:r>
        <w:t xml:space="preserve">도구로 사용하고, 최종 합격 판정에는 인간 심사를 병행하는 인간-AI 협업(human-AI co-grading) 모델을 권장한다</w:t>
      </w:r>
      <w:r>
        <w:t xml:space="preserve"> </w:t>
      </w:r>
      <w:hyperlink r:id="rId80">
        <w:r>
          <w:rPr>
            <w:rStyle w:val="Hyperlink"/>
          </w:rPr>
          <w:t xml:space="preserve">( Kim et al., 2026</w:t>
        </w:r>
      </w:hyperlink>
      <w:r>
        <w:t xml:space="preserve"> </w:t>
      </w:r>
      <w:r>
        <w:t xml:space="preserve">;</w:t>
      </w:r>
      <w:r>
        <w:t xml:space="preserve"> </w:t>
      </w:r>
      <w:hyperlink r:id="rId83">
        <w:r>
          <w:rPr>
            <w:rStyle w:val="Hyperlink"/>
          </w:rPr>
          <w:t xml:space="preserve">Gaggioli et al., 2025 )</w:t>
        </w:r>
      </w:hyperlink>
      <w:r>
        <w:t xml:space="preserve">.</w:t>
      </w:r>
    </w:p>
    <w:p>
      <w:pPr>
        <w:numPr>
          <w:ilvl w:val="0"/>
          <w:numId w:val="1023"/>
        </w:numPr>
      </w:pPr>
      <w:r>
        <w:t xml:space="preserve">루브릭 문구의 프레이밍 효과</w:t>
      </w:r>
      <w:r>
        <w:t xml:space="preserve"> </w:t>
      </w:r>
      <w:hyperlink r:id="rId67">
        <w:r>
          <w:rPr>
            <w:rStyle w:val="Hyperlink"/>
          </w:rPr>
          <w:t xml:space="preserve">( Pol &amp; Xie, 2025 )</w:t>
        </w:r>
      </w:hyperlink>
      <w:r>
        <w:t xml:space="preserve">를 통제하기 위해, 루브릭 문구 변경 시 반드시 인간 합치도 재측정을 수행해야 한다.</w:t>
      </w:r>
    </w:p>
    <w:p>
      <w:pPr>
        <w:numPr>
          <w:ilvl w:val="0"/>
          <w:numId w:val="1023"/>
        </w:numPr>
      </w:pPr>
      <w:r>
        <w:t xml:space="preserve">한국어 이력서 채점에서의 LLM-인간 합치도에 대한 직접적 실증 연구가 부족하므로, 도입 초기에는 반드시 소규모 파일럿 검증을 수행해야 한다.</w:t>
      </w:r>
    </w:p>
    <w:p>
      <w:pPr>
        <w:pStyle w:val="FirstParagraph"/>
      </w:pPr>
      <w:r>
        <w:br/>
      </w:r>
    </w:p>
    <w:bookmarkEnd w:id="85"/>
    <w:p>
      <w:r>
        <w:br w:type="page"/>
      </w:r>
    </w:p>
    <w:bookmarkStart w:id="87" w:name="bibliography-title"/>
    <w:p>
      <w:pPr>
        <w:pStyle w:val="Heading1"/>
      </w:pPr>
      <w:r>
        <w:t xml:space="preserve">References</w:t>
      </w:r>
    </w:p>
    <w:p>
      <w:pPr>
        <w:pStyle w:val="FirstParagraph"/>
      </w:pPr>
      <w:hyperlink r:id="rId78"/>
    </w:p>
    <w:p>
      <w:pPr>
        <w:pStyle w:val="BodyText"/>
      </w:pPr>
      <w:r>
        <w:t xml:space="preserve">Ai, R., Pan, Y., Simchi-Levi, D., Tambe, M., &amp; Xu, H. (2025). Beyond Majority Voting: LLM Aggregation by Leveraging Higher-Order Information.</w:t>
      </w:r>
      <w:r>
        <w:t xml:space="preserve"> </w:t>
      </w:r>
      <w:r>
        <w:rPr>
          <w:i/>
          <w:iCs/>
        </w:rPr>
        <w:t xml:space="preserve">ArXiv</w:t>
      </w:r>
      <w:r>
        <w:t xml:space="preserve">,</w:t>
      </w:r>
      <w:r>
        <w:t xml:space="preserve"> </w:t>
      </w:r>
      <w:r>
        <w:rPr>
          <w:i/>
          <w:iCs/>
        </w:rPr>
        <w:t xml:space="preserve">abs/2510.01499</w:t>
      </w:r>
      <w:r>
        <w:t xml:space="preserve">. https://arxiv.org/abs/2510.01499</w:t>
      </w:r>
    </w:p>
    <w:p>
      <w:pPr>
        <w:pStyle w:val="BodyText"/>
      </w:pPr>
      <w:hyperlink r:id="rId72"/>
    </w:p>
    <w:p>
      <w:pPr>
        <w:pStyle w:val="BodyText"/>
      </w:pPr>
      <w:r>
        <w:t xml:space="preserve">Akinseloyin, O., Jiang, X., &amp; Palade, V. (2025). LLM-based Multi-Agent Collaboration for Abstract Screening towards Automated Systematic Reviews.</w:t>
      </w:r>
      <w:r>
        <w:t xml:space="preserve"> </w:t>
      </w:r>
      <w:r>
        <w:rPr>
          <w:i/>
          <w:iCs/>
        </w:rPr>
        <w:t xml:space="preserve">medRxiv</w:t>
      </w:r>
      <w:r>
        <w:t xml:space="preserve">. http://medrxiv.org/lookup/doi/10.1101/2025.08.11.25333429</w:t>
      </w:r>
    </w:p>
    <w:p>
      <w:pPr>
        <w:pStyle w:val="BodyText"/>
      </w:pPr>
      <w:hyperlink r:id="rId79"/>
    </w:p>
    <w:p>
      <w:pPr>
        <w:pStyle w:val="BodyText"/>
      </w:pPr>
      <w:r>
        <w:t xml:space="preserve">Balasubramanian, K., Podkopaev, A., &amp; Kasiviswanathan, S. P. (2026). Dependence-Aware Label Aggregation for LLM-as-a-Judge via Ising Models.</w:t>
      </w:r>
      <w:r>
        <w:t xml:space="preserve"> </w:t>
      </w:r>
      <w:r>
        <w:rPr>
          <w:i/>
          <w:iCs/>
        </w:rPr>
        <w:t xml:space="preserve">ArXiv.Org</w:t>
      </w:r>
      <w:r>
        <w:t xml:space="preserve">. https://arxiv.org/abs/2601.22336</w:t>
      </w:r>
    </w:p>
    <w:p>
      <w:pPr>
        <w:pStyle w:val="BodyText"/>
      </w:pPr>
      <w:hyperlink r:id="rId21"/>
    </w:p>
    <w:p>
      <w:pPr>
        <w:pStyle w:val="BodyText"/>
      </w:pPr>
      <w:r>
        <w:t xml:space="preserve">Breaugh, J. A., Labrador, J. R., Frye, K., Consultant, I., &amp; Lee, D. (2014).</w:t>
      </w:r>
      <w:r>
        <w:t xml:space="preserve"> </w:t>
      </w:r>
      <w:r>
        <w:rPr>
          <w:i/>
          <w:iCs/>
        </w:rPr>
        <w:t xml:space="preserve">The Value of Biodata for Selecting Employees: Comparable Results for Job Incumbent and Job Applicant Samples?</w:t>
      </w:r>
      <w:r>
        <w:t xml:space="preserve"> </w:t>
      </w:r>
      <w:r>
        <w:t xml:space="preserve">http://m.www.na-businesspress.com/JOP/BreaughJ_Web14_1_.pdf</w:t>
      </w:r>
    </w:p>
    <w:p>
      <w:pPr>
        <w:pStyle w:val="BodyText"/>
      </w:pPr>
      <w:hyperlink r:id="rId62"/>
    </w:p>
    <w:p>
      <w:pPr>
        <w:pStyle w:val="BodyText"/>
      </w:pPr>
      <w:r>
        <w:t xml:space="preserve">Brookhart, S. M. (2018). Appropriate Criteria: Key to Effective Rubrics.</w:t>
      </w:r>
      <w:r>
        <w:t xml:space="preserve"> </w:t>
      </w:r>
      <w:r>
        <w:rPr>
          <w:i/>
          <w:iCs/>
        </w:rPr>
        <w:t xml:space="preserve">Frontiers in Education</w:t>
      </w:r>
      <w:r>
        <w:t xml:space="preserve">,</w:t>
      </w:r>
      <w:r>
        <w:t xml:space="preserve"> </w:t>
      </w:r>
      <w:r>
        <w:rPr>
          <w:i/>
          <w:iCs/>
        </w:rPr>
        <w:t xml:space="preserve">3</w:t>
      </w:r>
      <w:r>
        <w:t xml:space="preserve">. http://journal.frontiersin.org/article/10.3389/feduc.2018.00022/full</w:t>
      </w:r>
    </w:p>
    <w:p>
      <w:pPr>
        <w:pStyle w:val="BodyText"/>
      </w:pPr>
      <w:hyperlink r:id="rId59"/>
    </w:p>
    <w:p>
      <w:pPr>
        <w:pStyle w:val="BodyText"/>
      </w:pPr>
      <w:r>
        <w:t xml:space="preserve">Brookhart, S. M., &amp; Chen, F. (2015). The quality and effectiveness of descriptive rubrics.</w:t>
      </w:r>
      <w:r>
        <w:t xml:space="preserve"> </w:t>
      </w:r>
      <w:r>
        <w:rPr>
          <w:i/>
          <w:iCs/>
        </w:rPr>
        <w:t xml:space="preserve">Educational Review</w:t>
      </w:r>
      <w:r>
        <w:t xml:space="preserve">,</w:t>
      </w:r>
      <w:r>
        <w:t xml:space="preserve"> </w:t>
      </w:r>
      <w:r>
        <w:rPr>
          <w:i/>
          <w:iCs/>
        </w:rPr>
        <w:t xml:space="preserve">67</w:t>
      </w:r>
      <w:r>
        <w:t xml:space="preserve">(3), 343–368. http://www.tandfonline.com/doi/full/10.1080/00131911.2014.929565</w:t>
      </w:r>
    </w:p>
    <w:p>
      <w:pPr>
        <w:pStyle w:val="BodyText"/>
      </w:pPr>
      <w:hyperlink r:id="rId13"/>
    </w:p>
    <w:p>
      <w:pPr>
        <w:pStyle w:val="BodyText"/>
      </w:pPr>
      <w:r>
        <w:t xml:space="preserve">Campion, M. C., Campion, M. A., Campion, E. D., &amp; Reider, M. H. (2016). Initial investigation into computer scoring of candidate essays for personnel selection.</w:t>
      </w:r>
      <w:r>
        <w:t xml:space="preserve"> </w:t>
      </w:r>
      <w:r>
        <w:rPr>
          <w:i/>
          <w:iCs/>
        </w:rPr>
        <w:t xml:space="preserve">Journal of Applied Psychology</w:t>
      </w:r>
      <w:r>
        <w:t xml:space="preserve">,</w:t>
      </w:r>
      <w:r>
        <w:t xml:space="preserve"> </w:t>
      </w:r>
      <w:r>
        <w:rPr>
          <w:i/>
          <w:iCs/>
        </w:rPr>
        <w:t xml:space="preserve">101</w:t>
      </w:r>
      <w:r>
        <w:t xml:space="preserve">(7), 958–975. https://doi.apa.org/doi/10.1037/apl0000108</w:t>
      </w:r>
    </w:p>
    <w:p>
      <w:pPr>
        <w:pStyle w:val="BodyText"/>
      </w:pPr>
      <w:hyperlink r:id="rId10"/>
    </w:p>
    <w:p>
      <w:pPr>
        <w:pStyle w:val="BodyText"/>
      </w:pPr>
      <w:r>
        <w:t xml:space="preserve">Careers: (1985).</w:t>
      </w:r>
      <w:r>
        <w:t xml:space="preserve"> </w:t>
      </w:r>
      <w:r>
        <w:rPr>
          <w:i/>
          <w:iCs/>
        </w:rPr>
        <w:t xml:space="preserve">Education + Training</w:t>
      </w:r>
      <w:r>
        <w:t xml:space="preserve">,</w:t>
      </w:r>
      <w:r>
        <w:t xml:space="preserve"> </w:t>
      </w:r>
      <w:r>
        <w:rPr>
          <w:i/>
          <w:iCs/>
        </w:rPr>
        <w:t xml:space="preserve">27</w:t>
      </w:r>
      <w:r>
        <w:t xml:space="preserve">(9), 277–277. https://www.emerald.com/insight/content/doi/10.1108/eb017192/full/html</w:t>
      </w:r>
    </w:p>
    <w:p>
      <w:pPr>
        <w:pStyle w:val="BodyText"/>
      </w:pPr>
      <w:hyperlink r:id="rId63"/>
    </w:p>
    <w:p>
      <w:pPr>
        <w:pStyle w:val="BodyText"/>
      </w:pPr>
      <w:r>
        <w:t xml:space="preserve">Carriveau, R. S. (2023).</w:t>
      </w:r>
      <w:r>
        <w:t xml:space="preserve"> </w:t>
      </w:r>
      <w:r>
        <w:rPr>
          <w:i/>
          <w:iCs/>
        </w:rPr>
        <w:t xml:space="preserve">Writing and Using Scoring Rubrics</w:t>
      </w:r>
      <w:r>
        <w:t xml:space="preserve">. https://www.taylorfrancis.com/books/9781003443629/chapters/10.4324/9781003443629-7</w:t>
      </w:r>
    </w:p>
    <w:p>
      <w:pPr>
        <w:pStyle w:val="BodyText"/>
      </w:pPr>
      <w:hyperlink r:id="rId26"/>
    </w:p>
    <w:p>
      <w:pPr>
        <w:pStyle w:val="BodyText"/>
      </w:pPr>
      <w:r>
        <w:t xml:space="preserve">Chen, W.-F., Yu, J., &amp; Flek, L. (2026).</w:t>
      </w:r>
      <w:r>
        <w:t xml:space="preserve"> </w:t>
      </w:r>
      <w:r>
        <w:rPr>
          <w:i/>
          <w:iCs/>
        </w:rPr>
        <w:t xml:space="preserve">A Three-Level Audit of LLM Alignment for Argument Quality Assessment</w:t>
      </w:r>
      <w:r>
        <w:t xml:space="preserve">. https://aclanthology.org/2026.argmining-1.3/</w:t>
      </w:r>
    </w:p>
    <w:p>
      <w:pPr>
        <w:pStyle w:val="BodyText"/>
      </w:pPr>
      <w:hyperlink r:id="rId31"/>
    </w:p>
    <w:p>
      <w:pPr>
        <w:pStyle w:val="BodyText"/>
      </w:pPr>
      <w:r>
        <w:t xml:space="preserve">Conway, J. M., Jako, R. A., &amp; Goodman, D. F. (1995). A meta-analysis of interrater and internal consistency reliability of selection interviews.</w:t>
      </w:r>
      <w:r>
        <w:t xml:space="preserve"> </w:t>
      </w:r>
      <w:r>
        <w:rPr>
          <w:i/>
          <w:iCs/>
        </w:rPr>
        <w:t xml:space="preserve">Journal of Applied Psychology</w:t>
      </w:r>
      <w:r>
        <w:t xml:space="preserve">,</w:t>
      </w:r>
      <w:r>
        <w:t xml:space="preserve"> </w:t>
      </w:r>
      <w:r>
        <w:rPr>
          <w:i/>
          <w:iCs/>
        </w:rPr>
        <w:t xml:space="preserve">80</w:t>
      </w:r>
      <w:r>
        <w:t xml:space="preserve">(5), 565–579. https://doi.apa.org/doi/10.1037/0021-9010.80.5.565</w:t>
      </w:r>
    </w:p>
    <w:p>
      <w:pPr>
        <w:pStyle w:val="BodyText"/>
      </w:pPr>
      <w:hyperlink r:id="rId18"/>
    </w:p>
    <w:p>
      <w:pPr>
        <w:pStyle w:val="BodyText"/>
      </w:pPr>
      <w:r>
        <w:t xml:space="preserve">Cucina, J. M., Caputo, P. M., Thibodeaux, H. F., &amp; MacLane, C. N. (2012). UNLOCKING THE KEY TO BIODATA SCORING: A COMPARISON OF EMPIRICAL, RATIONAL, AND HYBRID APPROACHES AT DIFFERENT SAMPLE SIZES.</w:t>
      </w:r>
      <w:r>
        <w:t xml:space="preserve"> </w:t>
      </w:r>
      <w:r>
        <w:rPr>
          <w:i/>
          <w:iCs/>
        </w:rPr>
        <w:t xml:space="preserve">Personnel Psychology</w:t>
      </w:r>
      <w:r>
        <w:t xml:space="preserve">,</w:t>
      </w:r>
      <w:r>
        <w:t xml:space="preserve"> </w:t>
      </w:r>
      <w:r>
        <w:rPr>
          <w:i/>
          <w:iCs/>
        </w:rPr>
        <w:t xml:space="preserve">65</w:t>
      </w:r>
      <w:r>
        <w:t xml:space="preserve">(2), 385–428. https://onlinelibrary.wiley.com/doi/10.1111/j.1744-6570.2012.01244.x</w:t>
      </w:r>
    </w:p>
    <w:p>
      <w:pPr>
        <w:pStyle w:val="BodyText"/>
      </w:pPr>
      <w:hyperlink r:id="rId61"/>
    </w:p>
    <w:p>
      <w:pPr>
        <w:pStyle w:val="BodyText"/>
      </w:pPr>
      <w:r>
        <w:t xml:space="preserve">Dawson, P. (2017). Assessment rubrics: towards clearer and more replicable design, research and practice.</w:t>
      </w:r>
      <w:r>
        <w:t xml:space="preserve"> </w:t>
      </w:r>
      <w:r>
        <w:rPr>
          <w:i/>
          <w:iCs/>
        </w:rPr>
        <w:t xml:space="preserve">Assessment &amp; Evaluation in Higher Education</w:t>
      </w:r>
      <w:r>
        <w:t xml:space="preserve">,</w:t>
      </w:r>
      <w:r>
        <w:t xml:space="preserve"> </w:t>
      </w:r>
      <w:r>
        <w:rPr>
          <w:i/>
          <w:iCs/>
        </w:rPr>
        <w:t xml:space="preserve">42</w:t>
      </w:r>
      <w:r>
        <w:t xml:space="preserve">(3), 347–360. https://www.tandfonline.com/doi/full/10.1080/02602938.2015.1111294</w:t>
      </w:r>
    </w:p>
    <w:p>
      <w:pPr>
        <w:pStyle w:val="BodyText"/>
      </w:pPr>
      <w:hyperlink r:id="rId15"/>
    </w:p>
    <w:p>
      <w:pPr>
        <w:pStyle w:val="BodyText"/>
      </w:pPr>
      <w:r>
        <w:t xml:space="preserve">Dean, M. A. (1999).</w:t>
      </w:r>
      <w:r>
        <w:t xml:space="preserve"> </w:t>
      </w:r>
      <w:r>
        <w:rPr>
          <w:i/>
          <w:iCs/>
        </w:rPr>
        <w:t xml:space="preserve">On Biodata Construct Validity, Criterion-Related Validity, and Adverse Impact.</w:t>
      </w:r>
      <w:r>
        <w:t xml:space="preserve"> </w:t>
      </w:r>
      <w:r>
        <w:t xml:space="preserve">https://repository.lsu.edu/gradschool_disstheses/6938</w:t>
      </w:r>
    </w:p>
    <w:p>
      <w:pPr>
        <w:pStyle w:val="BodyText"/>
      </w:pPr>
      <w:hyperlink r:id="rId22"/>
    </w:p>
    <w:p>
      <w:pPr>
        <w:pStyle w:val="BodyText"/>
      </w:pPr>
      <w:r>
        <w:t xml:space="preserve">Dean, M. A., &amp; Broach, D. (2012).</w:t>
      </w:r>
      <w:r>
        <w:t xml:space="preserve"> </w:t>
      </w:r>
      <w:r>
        <w:rPr>
          <w:i/>
          <w:iCs/>
        </w:rPr>
        <w:t xml:space="preserve">Development, Validation, and Fairness of a Biographical Data Questionnaire for the Air Traffic Control Specialist Occupation</w:t>
      </w:r>
      <w:r>
        <w:t xml:space="preserve">. http://ntl.bts.gov/lib/46000/46700/46721/201219.pdf</w:t>
      </w:r>
    </w:p>
    <w:p>
      <w:pPr>
        <w:pStyle w:val="BodyText"/>
      </w:pPr>
      <w:hyperlink r:id="rId20"/>
    </w:p>
    <w:p>
      <w:pPr>
        <w:pStyle w:val="BodyText"/>
      </w:pPr>
      <w:r>
        <w:t xml:space="preserve">Devlin, S., Abrahams, N. M., &amp; Edwards, J. (1992). Empirical Keying of Biographical Data: Cross-Validity as a Function of Scaling Procedure and Sample Size.</w:t>
      </w:r>
      <w:r>
        <w:t xml:space="preserve"> </w:t>
      </w:r>
      <w:r>
        <w:rPr>
          <w:i/>
          <w:iCs/>
        </w:rPr>
        <w:t xml:space="preserve">Military Psychology</w:t>
      </w:r>
      <w:r>
        <w:t xml:space="preserve">,</w:t>
      </w:r>
      <w:r>
        <w:t xml:space="preserve"> </w:t>
      </w:r>
      <w:r>
        <w:rPr>
          <w:i/>
          <w:iCs/>
        </w:rPr>
        <w:t xml:space="preserve">4</w:t>
      </w:r>
      <w:r>
        <w:t xml:space="preserve">(3), 119–136. https://www.tandfonline.com/doi/full/10.1207/s15327876mp0403_1</w:t>
      </w:r>
    </w:p>
    <w:p>
      <w:pPr>
        <w:pStyle w:val="BodyText"/>
      </w:pPr>
      <w:hyperlink r:id="rId76"/>
    </w:p>
    <w:p>
      <w:pPr>
        <w:pStyle w:val="BodyText"/>
      </w:pPr>
      <w:r>
        <w:t xml:space="preserve">Estornell, A., &amp; Liu, Y. (2024).</w:t>
      </w:r>
      <w:r>
        <w:t xml:space="preserve"> </w:t>
      </w:r>
      <w:r>
        <w:rPr>
          <w:i/>
          <w:iCs/>
        </w:rPr>
        <w:t xml:space="preserve">Multi-LLM Debate: Framework, Principals, and Interventions</w:t>
      </w:r>
      <w:r>
        <w:t xml:space="preserve">. https://www.proceedings.com/079017-0911.html</w:t>
      </w:r>
    </w:p>
    <w:p>
      <w:pPr>
        <w:pStyle w:val="BodyText"/>
      </w:pPr>
      <w:hyperlink r:id="rId83"/>
    </w:p>
    <w:p>
      <w:pPr>
        <w:pStyle w:val="BodyText"/>
      </w:pPr>
      <w:r>
        <w:t xml:space="preserve">Gaggioli, A., Casaburi, G., Ercolani, L., Collovà, F., Torre, P., &amp; Davide, F. (2025). Assessing the Reliability and Validity of Large Language Models for Automated Assessment of Student Essays in Higher Education.</w:t>
      </w:r>
      <w:r>
        <w:t xml:space="preserve"> </w:t>
      </w:r>
      <w:r>
        <w:rPr>
          <w:i/>
          <w:iCs/>
        </w:rPr>
        <w:t xml:space="preserve">ArXiv.Org</w:t>
      </w:r>
      <w:r>
        <w:t xml:space="preserve">. https://arxiv.org/abs/2508.02442</w:t>
      </w:r>
    </w:p>
    <w:p>
      <w:pPr>
        <w:pStyle w:val="BodyText"/>
      </w:pPr>
      <w:hyperlink r:id="rId53"/>
    </w:p>
    <w:p>
      <w:pPr>
        <w:pStyle w:val="BodyText"/>
      </w:pPr>
      <w:r>
        <w:t xml:space="preserve">Ghalib, T. K. A., &amp; Al-Hattami, A. (2015). Holistic versus Analytic Evaluation of EFL Writing: A Case Study.</w:t>
      </w:r>
      <w:r>
        <w:t xml:space="preserve"> </w:t>
      </w:r>
      <w:r>
        <w:rPr>
          <w:i/>
          <w:iCs/>
        </w:rPr>
        <w:t xml:space="preserve">English Language Teaching</w:t>
      </w:r>
      <w:r>
        <w:t xml:space="preserve">,</w:t>
      </w:r>
      <w:r>
        <w:t xml:space="preserve"> </w:t>
      </w:r>
      <w:r>
        <w:rPr>
          <w:i/>
          <w:iCs/>
        </w:rPr>
        <w:t xml:space="preserve">8</w:t>
      </w:r>
      <w:r>
        <w:t xml:space="preserve">(7). http://www.ccsenet.org/journal/index.php/elt/article/view/50574</w:t>
      </w:r>
    </w:p>
    <w:p>
      <w:pPr>
        <w:pStyle w:val="BodyText"/>
      </w:pPr>
      <w:hyperlink r:id="rId39"/>
    </w:p>
    <w:p>
      <w:pPr>
        <w:pStyle w:val="BodyText"/>
      </w:pPr>
      <w:r>
        <w:t xml:space="preserve">Gorman, C. A., &amp; Rentsch, J. R. (2009). Evaluating frame-of-reference rater training effectiveness using performance schema accuracy.</w:t>
      </w:r>
      <w:r>
        <w:t xml:space="preserve"> </w:t>
      </w:r>
      <w:r>
        <w:rPr>
          <w:i/>
          <w:iCs/>
        </w:rPr>
        <w:t xml:space="preserve">Journal of Applied Psychology</w:t>
      </w:r>
      <w:r>
        <w:t xml:space="preserve">,</w:t>
      </w:r>
      <w:r>
        <w:t xml:space="preserve"> </w:t>
      </w:r>
      <w:r>
        <w:rPr>
          <w:i/>
          <w:iCs/>
        </w:rPr>
        <w:t xml:space="preserve">94</w:t>
      </w:r>
      <w:r>
        <w:t xml:space="preserve">(5), 1336–1344. http://doi.apa.org/getdoi.cfm?doi=10.1037/a0016476</w:t>
      </w:r>
    </w:p>
    <w:p>
      <w:pPr>
        <w:pStyle w:val="BodyText"/>
      </w:pPr>
      <w:hyperlink r:id="rId86"/>
    </w:p>
    <w:p>
      <w:pPr>
        <w:pStyle w:val="BodyText"/>
      </w:pPr>
      <w:r>
        <w:t xml:space="preserve">Han, T. (2017). Examining the Impact of Scoring Methods on the Institutional EFL Writing Assessment: A Turkish Perspective.</w:t>
      </w:r>
      <w:r>
        <w:t xml:space="preserve"> </w:t>
      </w:r>
      <w:r>
        <w:rPr>
          <w:i/>
          <w:iCs/>
        </w:rPr>
        <w:t xml:space="preserve">PASAA</w:t>
      </w:r>
      <w:r>
        <w:t xml:space="preserve">,</w:t>
      </w:r>
      <w:r>
        <w:t xml:space="preserve"> </w:t>
      </w:r>
      <w:r>
        <w:rPr>
          <w:i/>
          <w:iCs/>
        </w:rPr>
        <w:t xml:space="preserve">53</w:t>
      </w:r>
      <w:r>
        <w:t xml:space="preserve">(1), 112–147. https://digital.car.chula.ac.th/pasaa/vol53/iss1/5/</w:t>
      </w:r>
    </w:p>
    <w:p>
      <w:pPr>
        <w:pStyle w:val="BodyText"/>
      </w:pPr>
      <w:hyperlink r:id="rId74"/>
    </w:p>
    <w:p>
      <w:pPr>
        <w:pStyle w:val="BodyText"/>
      </w:pPr>
      <w:r>
        <w:t xml:space="preserve">Harrasse, A., Bandi, C., &amp; Bandi, H. (2024). Debate, Deliberate, Decide (D3): A Cost-Aware Adversarial Framework for Reliable and Interpretable LLM Evaluation.</w:t>
      </w:r>
      <w:r>
        <w:t xml:space="preserve"> </w:t>
      </w:r>
      <w:r>
        <w:rPr>
          <w:i/>
          <w:iCs/>
        </w:rPr>
        <w:t xml:space="preserve">arXiv (Cornell University)</w:t>
      </w:r>
      <w:r>
        <w:t xml:space="preserve">, 8376–8392. https://arxiv.org/abs/2410.04663</w:t>
      </w:r>
    </w:p>
    <w:p>
      <w:pPr>
        <w:pStyle w:val="BodyText"/>
      </w:pPr>
      <w:hyperlink r:id="rId57"/>
    </w:p>
    <w:p>
      <w:pPr>
        <w:pStyle w:val="BodyText"/>
      </w:pPr>
      <w:r>
        <w:t xml:space="preserve">Harsch, C., &amp; Martin, G. (2013). Comparing holistic and analytic scoring methods: issues of validity and reliability.</w:t>
      </w:r>
      <w:r>
        <w:t xml:space="preserve"> </w:t>
      </w:r>
      <w:r>
        <w:rPr>
          <w:i/>
          <w:iCs/>
        </w:rPr>
        <w:t xml:space="preserve">Assessment in Education Principles Policy and Practice</w:t>
      </w:r>
      <w:r>
        <w:t xml:space="preserve">,</w:t>
      </w:r>
      <w:r>
        <w:t xml:space="preserve"> </w:t>
      </w:r>
      <w:r>
        <w:rPr>
          <w:i/>
          <w:iCs/>
        </w:rPr>
        <w:t xml:space="preserve">20</w:t>
      </w:r>
      <w:r>
        <w:t xml:space="preserve">(3), 281–307. http://www.tandfonline.com/doi/abs/10.1080/0969594X.2012.742422</w:t>
      </w:r>
    </w:p>
    <w:p>
      <w:pPr>
        <w:pStyle w:val="BodyText"/>
      </w:pPr>
      <w:hyperlink r:id="rId68"/>
    </w:p>
    <w:p>
      <w:pPr>
        <w:pStyle w:val="BodyText"/>
      </w:pPr>
      <w:r>
        <w:t xml:space="preserve">Hong, Y., Yao, H., Shen, B., Xu, W., Wei, H., &amp; Dong, Y. (2026). From Rubrics to Reliable Scores: Evidence-Grounded Text Evaluation with LLM Judges.</w:t>
      </w:r>
      <w:r>
        <w:t xml:space="preserve"> </w:t>
      </w:r>
      <w:r>
        <w:rPr>
          <w:i/>
          <w:iCs/>
        </w:rPr>
        <w:t xml:space="preserve">ArXiv.Org</w:t>
      </w:r>
      <w:r>
        <w:t xml:space="preserve">. https://arxiv.org/abs/2601.08654</w:t>
      </w:r>
    </w:p>
    <w:p>
      <w:pPr>
        <w:pStyle w:val="BodyText"/>
      </w:pPr>
      <w:hyperlink r:id="rId12"/>
    </w:p>
    <w:p>
      <w:pPr>
        <w:pStyle w:val="BodyText"/>
      </w:pPr>
      <w:r>
        <w:t xml:space="preserve">Hough, L. M., Keyes, M. A., &amp; Dunnette, M. D. (1983). AN EVALUATION OF THREE “ALTERNATIVE” SELECTION PROCEDURES</w:t>
      </w:r>
      <w:r>
        <w:rPr>
          <w:vertAlign w:val="superscript"/>
        </w:rPr>
        <w:t xml:space="preserve">1</w:t>
      </w:r>
      <w:r>
        <w:t xml:space="preserve">.</w:t>
      </w:r>
      <w:r>
        <w:t xml:space="preserve"> </w:t>
      </w:r>
      <w:r>
        <w:rPr>
          <w:i/>
          <w:iCs/>
        </w:rPr>
        <w:t xml:space="preserve">Personnel Psychology</w:t>
      </w:r>
      <w:r>
        <w:t xml:space="preserve">,</w:t>
      </w:r>
      <w:r>
        <w:t xml:space="preserve"> </w:t>
      </w:r>
      <w:r>
        <w:rPr>
          <w:i/>
          <w:iCs/>
        </w:rPr>
        <w:t xml:space="preserve">36</w:t>
      </w:r>
      <w:r>
        <w:t xml:space="preserve">(2), 261–276. https://onlinelibrary.wiley.com/doi/10.1111/j.1744-6570.1983.tb01436.x</w:t>
      </w:r>
    </w:p>
    <w:p>
      <w:pPr>
        <w:pStyle w:val="BodyText"/>
      </w:pPr>
      <w:hyperlink r:id="rId75"/>
    </w:p>
    <w:p>
      <w:pPr>
        <w:pStyle w:val="BodyText"/>
      </w:pPr>
      <w:r>
        <w:t xml:space="preserve">Hu, T., Tan, Z., Wang, S., Qu, H., &amp; Chen, T. (2025). Multi-Agent Debate for LLM Judges with Adaptive Stability Detection.</w:t>
      </w:r>
      <w:r>
        <w:t xml:space="preserve"> </w:t>
      </w:r>
      <w:r>
        <w:rPr>
          <w:i/>
          <w:iCs/>
        </w:rPr>
        <w:t xml:space="preserve">ArXiv.Org</w:t>
      </w:r>
      <w:r>
        <w:t xml:space="preserve">. https://arxiv.org/abs/2510.12697</w:t>
      </w:r>
    </w:p>
    <w:p>
      <w:pPr>
        <w:pStyle w:val="BodyText"/>
      </w:pPr>
      <w:hyperlink r:id="rId70"/>
    </w:p>
    <w:p>
      <w:pPr>
        <w:pStyle w:val="BodyText"/>
      </w:pPr>
      <w:r>
        <w:t xml:space="preserve">Hwang, Y., Lee, D., Kang, T., Kim, Y., &amp; Jung, K. (2025). Can You Trick the Grader? Adversarial Persuasion of LLM Judges.</w:t>
      </w:r>
      <w:r>
        <w:t xml:space="preserve"> </w:t>
      </w:r>
      <w:r>
        <w:rPr>
          <w:i/>
          <w:iCs/>
        </w:rPr>
        <w:t xml:space="preserve">ArXiv.Org</w:t>
      </w:r>
      <w:r>
        <w:t xml:space="preserve">, 14632–14651. https://arxiv.org/abs/2508.07805</w:t>
      </w:r>
    </w:p>
    <w:p>
      <w:pPr>
        <w:pStyle w:val="BodyText"/>
      </w:pPr>
      <w:hyperlink r:id="rId11"/>
    </w:p>
    <w:p>
      <w:pPr>
        <w:pStyle w:val="BodyText"/>
      </w:pPr>
      <w:r>
        <w:t xml:space="preserve">Iddekinge, C. H. V., Lievens, F., &amp; Sackett, P. R. (2023). Personnel selection: A review of ways to maximize validity, diversity, and the applicant experience.</w:t>
      </w:r>
      <w:r>
        <w:t xml:space="preserve"> </w:t>
      </w:r>
      <w:r>
        <w:rPr>
          <w:i/>
          <w:iCs/>
        </w:rPr>
        <w:t xml:space="preserve">Personnel Psychology</w:t>
      </w:r>
      <w:r>
        <w:t xml:space="preserve">,</w:t>
      </w:r>
      <w:r>
        <w:t xml:space="preserve"> </w:t>
      </w:r>
      <w:r>
        <w:rPr>
          <w:i/>
          <w:iCs/>
        </w:rPr>
        <w:t xml:space="preserve">76</w:t>
      </w:r>
      <w:r>
        <w:t xml:space="preserve">(2), 651–686. https://onlinelibrary.wiley.com/doi/10.1111/peps.12578</w:t>
      </w:r>
    </w:p>
    <w:p>
      <w:pPr>
        <w:pStyle w:val="BodyText"/>
      </w:pPr>
      <w:hyperlink r:id="rId28"/>
    </w:p>
    <w:p>
      <w:pPr>
        <w:pStyle w:val="BodyText"/>
      </w:pPr>
      <w:r>
        <w:t xml:space="preserve">Johnson, R. L., Penny, J., Gordon, B., Shumate, S. R., &amp; Fisher, S. P. (2005). Resolving Score Differences in the Rating of Writing Samples: Does Discussion Improve the Accuracy of Scores?</w:t>
      </w:r>
      <w:r>
        <w:t xml:space="preserve"> </w:t>
      </w:r>
      <w:r>
        <w:rPr>
          <w:i/>
          <w:iCs/>
        </w:rPr>
        <w:t xml:space="preserve">Language Assessment Quarterly</w:t>
      </w:r>
      <w:r>
        <w:t xml:space="preserve">,</w:t>
      </w:r>
      <w:r>
        <w:t xml:space="preserve"> </w:t>
      </w:r>
      <w:r>
        <w:rPr>
          <w:i/>
          <w:iCs/>
        </w:rPr>
        <w:t xml:space="preserve">2</w:t>
      </w:r>
      <w:r>
        <w:t xml:space="preserve">(2), 117–146. http://www.tandfonline.com/doi/abs/10.1207/s15434311laq0202_2</w:t>
      </w:r>
    </w:p>
    <w:p>
      <w:pPr>
        <w:pStyle w:val="BodyText"/>
      </w:pPr>
      <w:hyperlink r:id="rId60"/>
    </w:p>
    <w:p>
      <w:pPr>
        <w:pStyle w:val="BodyText"/>
      </w:pPr>
      <w:r>
        <w:t xml:space="preserve">Jönsson, A. (2022).</w:t>
      </w:r>
      <w:r>
        <w:t xml:space="preserve"> </w:t>
      </w:r>
      <w:r>
        <w:rPr>
          <w:i/>
          <w:iCs/>
        </w:rPr>
        <w:t xml:space="preserve">Scoring Rubrics</w:t>
      </w:r>
      <w:r>
        <w:t xml:space="preserve">. https://www.taylorfrancis.com/entries/10.4324/9781138609877-REE2-1</w:t>
      </w:r>
    </w:p>
    <w:p>
      <w:pPr>
        <w:pStyle w:val="BodyText"/>
      </w:pPr>
      <w:hyperlink r:id="rId49"/>
    </w:p>
    <w:p>
      <w:pPr>
        <w:pStyle w:val="BodyText"/>
      </w:pPr>
      <w:r>
        <w:t xml:space="preserve">Jönsson, A., &amp; Balan, A. (2020). Analytic or Holistic: A Study of Agreement Between Different Grading Models.</w:t>
      </w:r>
      <w:r>
        <w:t xml:space="preserve"> </w:t>
      </w:r>
      <w:r>
        <w:rPr>
          <w:i/>
          <w:iCs/>
        </w:rPr>
        <w:t xml:space="preserve">Scholarworks (University of Massachusetts Amherst)</w:t>
      </w:r>
      <w:r>
        <w:t xml:space="preserve">,</w:t>
      </w:r>
      <w:r>
        <w:t xml:space="preserve"> </w:t>
      </w:r>
      <w:r>
        <w:rPr>
          <w:i/>
          <w:iCs/>
        </w:rPr>
        <w:t xml:space="preserve">23</w:t>
      </w:r>
      <w:r>
        <w:t xml:space="preserve">(12), 12. https://openpublishing.library.umass.edu/pare/article/id/1660/</w:t>
      </w:r>
    </w:p>
    <w:p>
      <w:pPr>
        <w:pStyle w:val="BodyText"/>
      </w:pPr>
      <w:hyperlink r:id="rId16"/>
    </w:p>
    <w:p>
      <w:pPr>
        <w:pStyle w:val="BodyText"/>
      </w:pPr>
      <w:r>
        <w:t xml:space="preserve">Kilcullen, R. N., While, L. A., Mumford, M. D., &amp; Mack, H. (1995). Assessing the Construct Validity of Rational Biodata Scales.</w:t>
      </w:r>
      <w:r>
        <w:t xml:space="preserve"> </w:t>
      </w:r>
      <w:r>
        <w:rPr>
          <w:i/>
          <w:iCs/>
        </w:rPr>
        <w:t xml:space="preserve">Military Psychology</w:t>
      </w:r>
      <w:r>
        <w:t xml:space="preserve">,</w:t>
      </w:r>
      <w:r>
        <w:t xml:space="preserve"> </w:t>
      </w:r>
      <w:r>
        <w:rPr>
          <w:i/>
          <w:iCs/>
        </w:rPr>
        <w:t xml:space="preserve">7</w:t>
      </w:r>
      <w:r>
        <w:t xml:space="preserve">(1), 17–28. https://www.tandfonline.com/doi/full/10.1207/s15327876mp0701_2</w:t>
      </w:r>
    </w:p>
    <w:p>
      <w:pPr>
        <w:pStyle w:val="BodyText"/>
      </w:pPr>
      <w:hyperlink r:id="rId80"/>
    </w:p>
    <w:p>
      <w:pPr>
        <w:pStyle w:val="BodyText"/>
      </w:pPr>
      <w:r>
        <w:t xml:space="preserve">Kim, H., Lee, S.-T., &amp; Lee, J. (2026). Evaluating the Reliability and Agreement of Rubric-Guided LLM Scoring Versus Human Grading Across Three University Courses.</w:t>
      </w:r>
      <w:r>
        <w:t xml:space="preserve"> </w:t>
      </w:r>
      <w:r>
        <w:rPr>
          <w:i/>
          <w:iCs/>
        </w:rPr>
        <w:t xml:space="preserve">Applied Sciences</w:t>
      </w:r>
      <w:r>
        <w:t xml:space="preserve">,</w:t>
      </w:r>
      <w:r>
        <w:t xml:space="preserve"> </w:t>
      </w:r>
      <w:r>
        <w:rPr>
          <w:i/>
          <w:iCs/>
        </w:rPr>
        <w:t xml:space="preserve">16</w:t>
      </w:r>
      <w:r>
        <w:t xml:space="preserve">(12), 5902–5902. https://www.mdpi.com/2076-3417/16/12/5902</w:t>
      </w:r>
    </w:p>
    <w:p>
      <w:pPr>
        <w:pStyle w:val="BodyText"/>
      </w:pPr>
      <w:hyperlink r:id="rId50"/>
    </w:p>
    <w:p>
      <w:pPr>
        <w:pStyle w:val="BodyText"/>
      </w:pPr>
      <w:r>
        <w:t xml:space="preserve">Klein, S. P., Stecher, B. M., Shavelson, R. J., McCaffrey, D. F., Ormseth, T., Bell, R. M., Comfort, K., &amp; Othman, A. R. (1998). Analytic Versus Holistic Scoring of Science Performance Tasks.</w:t>
      </w:r>
      <w:r>
        <w:t xml:space="preserve"> </w:t>
      </w:r>
      <w:r>
        <w:rPr>
          <w:i/>
          <w:iCs/>
        </w:rPr>
        <w:t xml:space="preserve">Applied Measurement in Education</w:t>
      </w:r>
      <w:r>
        <w:t xml:space="preserve">,</w:t>
      </w:r>
      <w:r>
        <w:t xml:space="preserve"> </w:t>
      </w:r>
      <w:r>
        <w:rPr>
          <w:i/>
          <w:iCs/>
        </w:rPr>
        <w:t xml:space="preserve">11</w:t>
      </w:r>
      <w:r>
        <w:t xml:space="preserve">(2), 121–137. http://www.tandfonline.com/doi/abs/10.1207/s15324818ame1102_1</w:t>
      </w:r>
    </w:p>
    <w:p>
      <w:pPr>
        <w:pStyle w:val="BodyText"/>
      </w:pPr>
      <w:hyperlink r:id="rId73"/>
    </w:p>
    <w:p>
      <w:pPr>
        <w:pStyle w:val="BodyText"/>
      </w:pPr>
      <w:r>
        <w:t xml:space="preserve">Kohli, G. (2026). Nine Judges, Two Effective Votes: Correlated Errors Undermine LLM Evaluation Panels.</w:t>
      </w:r>
      <w:r>
        <w:t xml:space="preserve"> </w:t>
      </w:r>
      <w:r>
        <w:rPr>
          <w:i/>
          <w:iCs/>
        </w:rPr>
        <w:t xml:space="preserve">ArXiv</w:t>
      </w:r>
      <w:r>
        <w:t xml:space="preserve">,</w:t>
      </w:r>
      <w:r>
        <w:t xml:space="preserve"> </w:t>
      </w:r>
      <w:r>
        <w:rPr>
          <w:i/>
          <w:iCs/>
        </w:rPr>
        <w:t xml:space="preserve">abs/2605.29800</w:t>
      </w:r>
      <w:r>
        <w:t xml:space="preserve">. https://arxiv.org/abs/2605.29800</w:t>
      </w:r>
    </w:p>
    <w:p>
      <w:pPr>
        <w:pStyle w:val="BodyText"/>
      </w:pPr>
      <w:hyperlink r:id="rId66"/>
    </w:p>
    <w:p>
      <w:pPr>
        <w:pStyle w:val="BodyText"/>
      </w:pPr>
      <w:r>
        <w:t xml:space="preserve">Kucia, F. J., Chakraborty, A., &amp; Wróblewska, A. (2026). LLM Essay Scoring Under Holistic and Analytic Rubrics: Prompt Effects and Bias.</w:t>
      </w:r>
      <w:r>
        <w:t xml:space="preserve"> </w:t>
      </w:r>
      <w:r>
        <w:rPr>
          <w:i/>
          <w:iCs/>
        </w:rPr>
        <w:t xml:space="preserve">ArXiv</w:t>
      </w:r>
      <w:r>
        <w:t xml:space="preserve">,</w:t>
      </w:r>
      <w:r>
        <w:t xml:space="preserve"> </w:t>
      </w:r>
      <w:r>
        <w:rPr>
          <w:i/>
          <w:iCs/>
        </w:rPr>
        <w:t xml:space="preserve">abs/2604.00259</w:t>
      </w:r>
      <w:r>
        <w:t xml:space="preserve">. https://link.springer.com/10.1007/978-3-032-29918-5_38</w:t>
      </w:r>
    </w:p>
    <w:p>
      <w:pPr>
        <w:pStyle w:val="BodyText"/>
      </w:pPr>
      <w:hyperlink r:id="rId9"/>
    </w:p>
    <w:p>
      <w:pPr>
        <w:pStyle w:val="BodyText"/>
      </w:pPr>
      <w:r>
        <w:t xml:space="preserve">Mcgonigle, T. P., &amp; Curnow, C. K. (2008).</w:t>
      </w:r>
      <w:r>
        <w:t xml:space="preserve"> </w:t>
      </w:r>
      <w:r>
        <w:rPr>
          <w:i/>
          <w:iCs/>
        </w:rPr>
        <w:t xml:space="preserve">CHAPTER SIX Measures of Training and Experience OVERVIEW</w:t>
      </w:r>
      <w:r>
        <w:t xml:space="preserve">. http://citeseerx.ist.psu.edu/viewdoc/summary?doi=10.1.1.123.7522</w:t>
      </w:r>
    </w:p>
    <w:p>
      <w:pPr>
        <w:pStyle w:val="BodyText"/>
      </w:pPr>
      <w:hyperlink r:id="rId24"/>
    </w:p>
    <w:p>
      <w:pPr>
        <w:pStyle w:val="BodyText"/>
      </w:pPr>
      <w:r>
        <w:t xml:space="preserve">Melchers, K. G., Lienhardt, N., Aarburg, M. V., &amp; Kleinmann, M. (2011). IS MORE STRUCTURE REALLY BETTER? A COMPARISON OF FRAME-OF-REFERENCE TRAINING AND DESCRIPTIVELY ANCHORED RATING SCALES TO IMPROVE INTERVIEWERS’ RATING QUALITY.</w:t>
      </w:r>
      <w:r>
        <w:t xml:space="preserve"> </w:t>
      </w:r>
      <w:r>
        <w:rPr>
          <w:i/>
          <w:iCs/>
        </w:rPr>
        <w:t xml:space="preserve">Personnel Psychology</w:t>
      </w:r>
      <w:r>
        <w:t xml:space="preserve">,</w:t>
      </w:r>
      <w:r>
        <w:t xml:space="preserve"> </w:t>
      </w:r>
      <w:r>
        <w:rPr>
          <w:i/>
          <w:iCs/>
        </w:rPr>
        <w:t xml:space="preserve">64</w:t>
      </w:r>
      <w:r>
        <w:t xml:space="preserve">(1), 53–87. https://onlinelibrary.wiley.com/doi/10.1111/j.1744-6570.2010.01202.x</w:t>
      </w:r>
    </w:p>
    <w:p>
      <w:pPr>
        <w:pStyle w:val="BodyText"/>
      </w:pPr>
      <w:hyperlink r:id="rId46"/>
    </w:p>
    <w:p>
      <w:pPr>
        <w:pStyle w:val="BodyText"/>
      </w:pPr>
      <w:r>
        <w:rPr>
          <w:i/>
          <w:iCs/>
        </w:rPr>
        <w:t xml:space="preserve">NCS 기반 채용 공공기관의 능력중심 채용 효과성 검증 - KRIVET Repository</w:t>
      </w:r>
      <w:r>
        <w:t xml:space="preserve">. (n.d.). https://krivet.re.kr/repository/handle/202405/3757</w:t>
      </w:r>
    </w:p>
    <w:p>
      <w:pPr>
        <w:pStyle w:val="BodyText"/>
      </w:pPr>
      <w:hyperlink r:id="rId41"/>
    </w:p>
    <w:p>
      <w:pPr>
        <w:pStyle w:val="BodyText"/>
      </w:pPr>
      <w:r>
        <w:rPr>
          <w:i/>
          <w:iCs/>
        </w:rPr>
        <w:t xml:space="preserve">[NCS] 직업기초능력 10가지, 하위영역 34가지 - in mind - 티스토리</w:t>
      </w:r>
      <w:r>
        <w:t xml:space="preserve">. (2025). https://jhmind.tistory.com/391</w:t>
      </w:r>
    </w:p>
    <w:p>
      <w:pPr>
        <w:pStyle w:val="BodyText"/>
      </w:pPr>
      <w:hyperlink r:id="rId42"/>
    </w:p>
    <w:p>
      <w:pPr>
        <w:pStyle w:val="BodyText"/>
      </w:pPr>
      <w:r>
        <w:rPr>
          <w:i/>
          <w:iCs/>
        </w:rPr>
        <w:t xml:space="preserve">NCS기반 능력중심채용 가이드북 | 고용노동부 &gt; 정책소개 &gt; 정책자료실</w:t>
      </w:r>
      <w:r>
        <w:t xml:space="preserve">. (n.d.). https://www.moel.go.kr/policy/policydata/view.do?bbs_seq=1475070061003&amp;ref=blog.viewinterhr.com</w:t>
      </w:r>
    </w:p>
    <w:p>
      <w:pPr>
        <w:pStyle w:val="BodyText"/>
      </w:pPr>
      <w:hyperlink r:id="rId65"/>
    </w:p>
    <w:p>
      <w:pPr>
        <w:pStyle w:val="BodyText"/>
      </w:pPr>
      <w:r>
        <w:t xml:space="preserve">Nugroho, Y. S., Li, S. Y., Chen, X., Shao, J., &amp; Wu, H. (2025).</w:t>
      </w:r>
      <w:r>
        <w:t xml:space="preserve"> </w:t>
      </w:r>
      <w:r>
        <w:rPr>
          <w:i/>
          <w:iCs/>
        </w:rPr>
        <w:t xml:space="preserve">Evaluating the Reliability of LLMs in Rubric-Guided and Unguided Essay Scoring: A Multi-Rater, Multi-Model, and Multi-Domain Study</w:t>
      </w:r>
      <w:r>
        <w:t xml:space="preserve">. https://ieeexplore.ieee.org/document/11387699/</w:t>
      </w:r>
    </w:p>
    <w:p>
      <w:pPr>
        <w:pStyle w:val="BodyText"/>
      </w:pPr>
      <w:hyperlink r:id="rId52"/>
    </w:p>
    <w:p>
      <w:pPr>
        <w:pStyle w:val="BodyText"/>
      </w:pPr>
      <w:r>
        <w:t xml:space="preserve">Peeters, M. J., Cor, M. K., Castleberry, A. N., &amp; Gonyeau, M. J. (2025). Comparing Holistic and Mixed-Approach Rubrics for Academic Poster Quality.</w:t>
      </w:r>
      <w:r>
        <w:t xml:space="preserve"> </w:t>
      </w:r>
      <w:r>
        <w:rPr>
          <w:i/>
          <w:iCs/>
        </w:rPr>
        <w:t xml:space="preserve">American Journal of Pharmaceutical Education</w:t>
      </w:r>
      <w:r>
        <w:t xml:space="preserve">,</w:t>
      </w:r>
      <w:r>
        <w:t xml:space="preserve"> </w:t>
      </w:r>
      <w:r>
        <w:rPr>
          <w:i/>
          <w:iCs/>
        </w:rPr>
        <w:t xml:space="preserve">89</w:t>
      </w:r>
      <w:r>
        <w:t xml:space="preserve">(4), 101379–101379. https://linkinghub.elsevier.com/retrieve/pii/S0002945925000245</w:t>
      </w:r>
    </w:p>
    <w:p>
      <w:pPr>
        <w:pStyle w:val="BodyText"/>
      </w:pPr>
      <w:hyperlink r:id="rId67"/>
    </w:p>
    <w:p>
      <w:pPr>
        <w:pStyle w:val="BodyText"/>
      </w:pPr>
      <w:r>
        <w:t xml:space="preserve">Pol, V., &amp; Xie, S. (2025). The Effect of Rubric Language on Essay Scoring Accuracy in LLMs.</w:t>
      </w:r>
      <w:r>
        <w:t xml:space="preserve"> </w:t>
      </w:r>
      <w:r>
        <w:rPr>
          <w:i/>
          <w:iCs/>
        </w:rPr>
        <w:t xml:space="preserve">George Mason University</w:t>
      </w:r>
      <w:r>
        <w:t xml:space="preserve">. https://journals.gmu.edu/jssr/article/view/5344</w:t>
      </w:r>
    </w:p>
    <w:p>
      <w:pPr>
        <w:pStyle w:val="BodyText"/>
      </w:pPr>
      <w:hyperlink r:id="rId25"/>
    </w:p>
    <w:p>
      <w:pPr>
        <w:pStyle w:val="BodyText"/>
      </w:pPr>
      <w:r>
        <w:t xml:space="preserve">Preston, C. C., &amp; Colman, A. M. (2000). Optimal number of response categories in rating scales: reliability, validity, discriminating power, and respondent preferences.</w:t>
      </w:r>
      <w:r>
        <w:t xml:space="preserve"> </w:t>
      </w:r>
      <w:r>
        <w:rPr>
          <w:i/>
          <w:iCs/>
        </w:rPr>
        <w:t xml:space="preserve">Acta Psychologica</w:t>
      </w:r>
      <w:r>
        <w:t xml:space="preserve">,</w:t>
      </w:r>
      <w:r>
        <w:t xml:space="preserve"> </w:t>
      </w:r>
      <w:r>
        <w:rPr>
          <w:i/>
          <w:iCs/>
        </w:rPr>
        <w:t xml:space="preserve">104</w:t>
      </w:r>
      <w:r>
        <w:t xml:space="preserve">(1), 1–15. https://linkinghub.elsevier.com/retrieve/pii/S0001691899000505</w:t>
      </w:r>
    </w:p>
    <w:p>
      <w:pPr>
        <w:pStyle w:val="BodyText"/>
      </w:pPr>
      <w:hyperlink r:id="rId34"/>
    </w:p>
    <w:p>
      <w:pPr>
        <w:pStyle w:val="BodyText"/>
      </w:pPr>
      <w:r>
        <w:t xml:space="preserve">Pulakos, E. D., Schmitt, N., Whitney, D. J., &amp; Smith, M. J. (1996). INDIVIDUAL DIFFERENCES IN INTERVIEWER RATINGS: THE IMPACT OF STANDARDIZATION, CONSENSUS DISCUSSION, AND SAMPLING ERROR ON THE VALIDITY OF A STRUCTURED INTERVIEW.</w:t>
      </w:r>
      <w:r>
        <w:t xml:space="preserve"> </w:t>
      </w:r>
      <w:r>
        <w:rPr>
          <w:i/>
          <w:iCs/>
        </w:rPr>
        <w:t xml:space="preserve">Personnel Psychology</w:t>
      </w:r>
      <w:r>
        <w:t xml:space="preserve">,</w:t>
      </w:r>
      <w:r>
        <w:t xml:space="preserve"> </w:t>
      </w:r>
      <w:r>
        <w:rPr>
          <w:i/>
          <w:iCs/>
        </w:rPr>
        <w:t xml:space="preserve">49</w:t>
      </w:r>
      <w:r>
        <w:t xml:space="preserve">(1), 85–102. https://onlinelibrary.wiley.com/doi/10.1111/j.1744-6570.1996.tb01792.x</w:t>
      </w:r>
    </w:p>
    <w:p>
      <w:pPr>
        <w:pStyle w:val="BodyText"/>
      </w:pPr>
      <w:hyperlink r:id="rId54"/>
    </w:p>
    <w:p>
      <w:pPr>
        <w:pStyle w:val="BodyText"/>
      </w:pPr>
      <w:r>
        <w:t xml:space="preserve">Rinne, I. (2023). Same grade for different reasons, different grades for the same reason?</w:t>
      </w:r>
      <w:r>
        <w:t xml:space="preserve"> </w:t>
      </w:r>
      <w:r>
        <w:rPr>
          <w:i/>
          <w:iCs/>
        </w:rPr>
        <w:t xml:space="preserve">Assessment &amp; Evaluation in Higher Education</w:t>
      </w:r>
      <w:r>
        <w:t xml:space="preserve">,</w:t>
      </w:r>
      <w:r>
        <w:t xml:space="preserve"> </w:t>
      </w:r>
      <w:r>
        <w:rPr>
          <w:i/>
          <w:iCs/>
        </w:rPr>
        <w:t xml:space="preserve">49</w:t>
      </w:r>
      <w:r>
        <w:t xml:space="preserve">(2), 220–232. https://www.tandfonline.com/doi/full/10.1080/02602938.2023.2203883</w:t>
      </w:r>
    </w:p>
    <w:p>
      <w:pPr>
        <w:pStyle w:val="BodyText"/>
      </w:pPr>
      <w:hyperlink r:id="rId36"/>
    </w:p>
    <w:p>
      <w:pPr>
        <w:pStyle w:val="BodyText"/>
      </w:pPr>
      <w:r>
        <w:t xml:space="preserve">Roch, S. G., Woehr, D. J., Mishra, V., &amp; Kieszczynska, U. (2012). Rater training revisited: An updated meta-analytic review of frame-of-reference training.</w:t>
      </w:r>
      <w:r>
        <w:t xml:space="preserve"> </w:t>
      </w:r>
      <w:r>
        <w:rPr>
          <w:i/>
          <w:iCs/>
        </w:rPr>
        <w:t xml:space="preserve">Journal of Occupational and Organizational Psychology</w:t>
      </w:r>
      <w:r>
        <w:t xml:space="preserve">,</w:t>
      </w:r>
      <w:r>
        <w:t xml:space="preserve"> </w:t>
      </w:r>
      <w:r>
        <w:rPr>
          <w:i/>
          <w:iCs/>
        </w:rPr>
        <w:t xml:space="preserve">85</w:t>
      </w:r>
      <w:r>
        <w:t xml:space="preserve">(2), 370–395. https://bpspsychub.onlinelibrary.wiley.com/doi/10.1111/j.2044-8325.2011.02045.x</w:t>
      </w:r>
    </w:p>
    <w:p>
      <w:pPr>
        <w:pStyle w:val="BodyText"/>
      </w:pPr>
      <w:hyperlink r:id="rId32"/>
    </w:p>
    <w:p>
      <w:pPr>
        <w:pStyle w:val="BodyText"/>
      </w:pPr>
      <w:r>
        <w:t xml:space="preserve">Sackett, P. R., &amp; Lievens, F. (2007). Personnel selection.</w:t>
      </w:r>
      <w:r>
        <w:t xml:space="preserve"> </w:t>
      </w:r>
      <w:r>
        <w:rPr>
          <w:i/>
          <w:iCs/>
        </w:rPr>
        <w:t xml:space="preserve">Annual Review of Psychology</w:t>
      </w:r>
      <w:r>
        <w:t xml:space="preserve">,</w:t>
      </w:r>
      <w:r>
        <w:t xml:space="preserve"> </w:t>
      </w:r>
      <w:r>
        <w:rPr>
          <w:i/>
          <w:iCs/>
        </w:rPr>
        <w:t xml:space="preserve">59</w:t>
      </w:r>
      <w:r>
        <w:t xml:space="preserve">(1), 419–450. https://www.annualreviews.org/doi/10.1146/annurev.psych.59.103006.093716</w:t>
      </w:r>
    </w:p>
    <w:p>
      <w:pPr>
        <w:pStyle w:val="BodyText"/>
      </w:pPr>
      <w:hyperlink r:id="rId51"/>
    </w:p>
    <w:p>
      <w:pPr>
        <w:pStyle w:val="BodyText"/>
      </w:pPr>
      <w:r>
        <w:t xml:space="preserve">Schipolowski, S., &amp; Böhme, K. (2016). Assessment of writing ability in secondary education: comparison of analytic and holistic scoring systems for use in large-scale assessments.</w:t>
      </w:r>
      <w:r>
        <w:t xml:space="preserve"> </w:t>
      </w:r>
      <w:r>
        <w:rPr>
          <w:i/>
          <w:iCs/>
        </w:rPr>
        <w:t xml:space="preserve">L1 Educational Studies in Language and Literature</w:t>
      </w:r>
      <w:r>
        <w:t xml:space="preserve">,</w:t>
      </w:r>
      <w:r>
        <w:t xml:space="preserve"> </w:t>
      </w:r>
      <w:r>
        <w:rPr>
          <w:i/>
          <w:iCs/>
        </w:rPr>
        <w:t xml:space="preserve">16, Open Issue</w:t>
      </w:r>
      <w:r>
        <w:t xml:space="preserve">(Open Issue), 1–22. https://l1research.org/article/view/87</w:t>
      </w:r>
    </w:p>
    <w:p>
      <w:pPr>
        <w:pStyle w:val="BodyText"/>
      </w:pPr>
      <w:hyperlink r:id="rId37"/>
    </w:p>
    <w:p>
      <w:pPr>
        <w:pStyle w:val="BodyText"/>
      </w:pPr>
      <w:r>
        <w:t xml:space="preserve">Schleicher, D. J., Day, D., Mayes, B. T., &amp; Riggio, R. E. (2002). A new frame for frame-of-reference training: enhancing the construct validity of assessment centers.</w:t>
      </w:r>
      <w:r>
        <w:t xml:space="preserve"> </w:t>
      </w:r>
      <w:r>
        <w:rPr>
          <w:i/>
          <w:iCs/>
        </w:rPr>
        <w:t xml:space="preserve">Journal of Applied Psychology</w:t>
      </w:r>
      <w:r>
        <w:t xml:space="preserve">,</w:t>
      </w:r>
      <w:r>
        <w:t xml:space="preserve"> </w:t>
      </w:r>
      <w:r>
        <w:rPr>
          <w:i/>
          <w:iCs/>
        </w:rPr>
        <w:t xml:space="preserve">87</w:t>
      </w:r>
      <w:r>
        <w:t xml:space="preserve">(4), 735–746. https://doi.apa.org/doi/10.1037/0021-9010.87.4.735</w:t>
      </w:r>
    </w:p>
    <w:p>
      <w:pPr>
        <w:pStyle w:val="BodyText"/>
      </w:pPr>
      <w:hyperlink r:id="rId81"/>
    </w:p>
    <w:p>
      <w:pPr>
        <w:pStyle w:val="BodyText"/>
      </w:pPr>
      <w:r>
        <w:t xml:space="preserve">Song, D., Lee, W.-C., &amp; Jiao, H. (2026). Exploring LLM autoscoring reliability in large-scale writing assessments using generalizability theory.</w:t>
      </w:r>
      <w:r>
        <w:t xml:space="preserve"> </w:t>
      </w:r>
      <w:r>
        <w:rPr>
          <w:i/>
          <w:iCs/>
        </w:rPr>
        <w:t xml:space="preserve">International Journal of Testing</w:t>
      </w:r>
      <w:r>
        <w:t xml:space="preserve">, 1–26. https://www.tandfonline.com/doi/full/10.1080/15305058.2026.2684584</w:t>
      </w:r>
    </w:p>
    <w:p>
      <w:pPr>
        <w:pStyle w:val="BodyText"/>
      </w:pPr>
      <w:hyperlink r:id="rId17"/>
    </w:p>
    <w:p>
      <w:pPr>
        <w:pStyle w:val="BodyText"/>
      </w:pPr>
      <w:r>
        <w:t xml:space="preserve">Speer, A. B., Tenbrink, A. P., Wegmeyer, L. J., Sendra, C. C., Shihadeh, M., &amp; Kaur, S. (2021). Meta-analysis of biodata in employment settings: Providing clarity to criterion and construct-related validity estimates.</w:t>
      </w:r>
      <w:r>
        <w:t xml:space="preserve"> </w:t>
      </w:r>
      <w:r>
        <w:rPr>
          <w:i/>
          <w:iCs/>
        </w:rPr>
        <w:t xml:space="preserve">Journal of Applied Psychology</w:t>
      </w:r>
      <w:r>
        <w:t xml:space="preserve">,</w:t>
      </w:r>
      <w:r>
        <w:t xml:space="preserve"> </w:t>
      </w:r>
      <w:r>
        <w:rPr>
          <w:i/>
          <w:iCs/>
        </w:rPr>
        <w:t xml:space="preserve">107</w:t>
      </w:r>
      <w:r>
        <w:t xml:space="preserve">(10), 1678–1705. https://doi.apa.org/doi/10.1037/apl0000964</w:t>
      </w:r>
    </w:p>
    <w:p>
      <w:pPr>
        <w:pStyle w:val="BodyText"/>
      </w:pPr>
      <w:hyperlink r:id="rId19"/>
    </w:p>
    <w:p>
      <w:pPr>
        <w:pStyle w:val="BodyText"/>
      </w:pPr>
      <w:r>
        <w:t xml:space="preserve">Stokes, G. S., &amp; Searcy, C. A. (1999). Specification of Scales in Biodata Form Development: Rational vs. Empirical and Global vs. Specific.</w:t>
      </w:r>
      <w:r>
        <w:t xml:space="preserve"> </w:t>
      </w:r>
      <w:r>
        <w:rPr>
          <w:i/>
          <w:iCs/>
        </w:rPr>
        <w:t xml:space="preserve">International Journal of Selection and Assessment</w:t>
      </w:r>
      <w:r>
        <w:t xml:space="preserve">,</w:t>
      </w:r>
      <w:r>
        <w:t xml:space="preserve"> </w:t>
      </w:r>
      <w:r>
        <w:rPr>
          <w:i/>
          <w:iCs/>
        </w:rPr>
        <w:t xml:space="preserve">7</w:t>
      </w:r>
      <w:r>
        <w:t xml:space="preserve">(2), 72–85. https://onlinelibrary.wiley.com/doi/10.1111/1468-2389.00108</w:t>
      </w:r>
    </w:p>
    <w:p>
      <w:pPr>
        <w:pStyle w:val="BodyText"/>
      </w:pPr>
      <w:hyperlink r:id="rId27"/>
    </w:p>
    <w:p>
      <w:pPr>
        <w:pStyle w:val="BodyText"/>
      </w:pPr>
      <w:r>
        <w:t xml:space="preserve">Trivedi, P., Gulati, A., Molenschot, O., Rajeev, M. A., Ramamurthy, R., Stevens, K., Chaudhery, T. S., Jambholkar, J., Zou, J., &amp; Rajani, N. (2024). Self-rationalization improves LLM as a fine-grained judge.</w:t>
      </w:r>
      <w:r>
        <w:t xml:space="preserve"> </w:t>
      </w:r>
      <w:r>
        <w:rPr>
          <w:i/>
          <w:iCs/>
        </w:rPr>
        <w:t xml:space="preserve">arXiv (Cornell University)</w:t>
      </w:r>
      <w:r>
        <w:t xml:space="preserve">. https://arxiv.org/abs/2410.05495</w:t>
      </w:r>
    </w:p>
    <w:p>
      <w:pPr>
        <w:pStyle w:val="BodyText"/>
      </w:pPr>
      <w:hyperlink r:id="rId38"/>
    </w:p>
    <w:p>
      <w:pPr>
        <w:pStyle w:val="BodyText"/>
      </w:pPr>
      <w:r>
        <w:t xml:space="preserve">Tsai, M.-H., Wee, S., &amp; Koh, B. (2019). Restructured frame‐of‐reference training improves rating accuracy.</w:t>
      </w:r>
      <w:r>
        <w:t xml:space="preserve"> </w:t>
      </w:r>
      <w:r>
        <w:rPr>
          <w:i/>
          <w:iCs/>
        </w:rPr>
        <w:t xml:space="preserve">Journal of Organizational Behavior</w:t>
      </w:r>
      <w:r>
        <w:t xml:space="preserve">,</w:t>
      </w:r>
      <w:r>
        <w:t xml:space="preserve"> </w:t>
      </w:r>
      <w:r>
        <w:rPr>
          <w:i/>
          <w:iCs/>
        </w:rPr>
        <w:t xml:space="preserve">40</w:t>
      </w:r>
      <w:r>
        <w:t xml:space="preserve">(6), 740–757. https://onlinelibrary.wiley.com/doi/10.1002/job.2368</w:t>
      </w:r>
    </w:p>
    <w:p>
      <w:pPr>
        <w:pStyle w:val="BodyText"/>
      </w:pPr>
      <w:hyperlink r:id="rId33"/>
    </w:p>
    <w:p>
      <w:pPr>
        <w:pStyle w:val="BodyText"/>
      </w:pPr>
      <w:r>
        <w:t xml:space="preserve">Tsujimoto, R. N., Hamilton, M., &amp; Berger, D. E. (1990). Averaging multiple judges to improve validity: Aid to planning cost-effective clinical research.</w:t>
      </w:r>
      <w:r>
        <w:t xml:space="preserve"> </w:t>
      </w:r>
      <w:r>
        <w:rPr>
          <w:i/>
          <w:iCs/>
        </w:rPr>
        <w:t xml:space="preserve">Psychological Assessment</w:t>
      </w:r>
      <w:r>
        <w:t xml:space="preserve">,</w:t>
      </w:r>
      <w:r>
        <w:t xml:space="preserve"> </w:t>
      </w:r>
      <w:r>
        <w:rPr>
          <w:i/>
          <w:iCs/>
        </w:rPr>
        <w:t xml:space="preserve">2</w:t>
      </w:r>
      <w:r>
        <w:t xml:space="preserve">(4), 432–437. https://doi.org/10.1037//1040-3590.2.4.432</w:t>
      </w:r>
    </w:p>
    <w:p>
      <w:pPr>
        <w:pStyle w:val="BodyText"/>
      </w:pPr>
      <w:hyperlink r:id="rId30"/>
    </w:p>
    <w:p>
      <w:pPr>
        <w:pStyle w:val="BodyText"/>
      </w:pPr>
      <w:r>
        <w:t xml:space="preserve">Voskuijl, O. F., &amp; Sliedregt, T. van. (2002). Determinants of Interrater Reliability of Job Analysis: A Meta-analysis.</w:t>
      </w:r>
      <w:r>
        <w:t xml:space="preserve"> </w:t>
      </w:r>
      <w:r>
        <w:rPr>
          <w:i/>
          <w:iCs/>
        </w:rPr>
        <w:t xml:space="preserve">European Journal of Psychological Assessment</w:t>
      </w:r>
      <w:r>
        <w:t xml:space="preserve">,</w:t>
      </w:r>
      <w:r>
        <w:t xml:space="preserve"> </w:t>
      </w:r>
      <w:r>
        <w:rPr>
          <w:i/>
          <w:iCs/>
        </w:rPr>
        <w:t xml:space="preserve">18</w:t>
      </w:r>
      <w:r>
        <w:t xml:space="preserve">(1), 52–62. https://econtent.hogrefe.com/doi/10.1027//1015-5759.18.1.52</w:t>
      </w:r>
    </w:p>
    <w:p>
      <w:pPr>
        <w:pStyle w:val="BodyText"/>
      </w:pPr>
      <w:hyperlink r:id="rId82"/>
    </w:p>
    <w:p>
      <w:pPr>
        <w:pStyle w:val="BodyText"/>
      </w:pPr>
      <w:r>
        <w:t xml:space="preserve">Walsh, C., Suresh, S., &amp; Ivan, R. (2026). Best of both worlds: combining LLMs and traditional ML for automated scoring of an open-response situational judgment test.</w:t>
      </w:r>
      <w:r>
        <w:t xml:space="preserve"> </w:t>
      </w:r>
      <w:r>
        <w:rPr>
          <w:i/>
          <w:iCs/>
        </w:rPr>
        <w:t xml:space="preserve">Frontiers in Education</w:t>
      </w:r>
      <w:r>
        <w:t xml:space="preserve">,</w:t>
      </w:r>
      <w:r>
        <w:t xml:space="preserve"> </w:t>
      </w:r>
      <w:r>
        <w:rPr>
          <w:i/>
          <w:iCs/>
        </w:rPr>
        <w:t xml:space="preserve">11</w:t>
      </w:r>
      <w:r>
        <w:t xml:space="preserve">. https://www.frontiersin.org/journals/education/articles/10.3389/feduc.2026.1756673/full</w:t>
      </w:r>
    </w:p>
    <w:p>
      <w:pPr>
        <w:pStyle w:val="BodyText"/>
      </w:pPr>
      <w:hyperlink r:id="rId14"/>
    </w:p>
    <w:p>
      <w:pPr>
        <w:pStyle w:val="BodyText"/>
      </w:pPr>
      <w:r>
        <w:t xml:space="preserve">Weddington, S., &amp; Paul, M. (2020). Biodata Measures.</w:t>
      </w:r>
      <w:r>
        <w:t xml:space="preserve"> </w:t>
      </w:r>
      <w:r>
        <w:rPr>
          <w:i/>
          <w:iCs/>
        </w:rPr>
        <w:t xml:space="preserve">Insecta Mundi</w:t>
      </w:r>
      <w:r>
        <w:t xml:space="preserve">. https://digitalcommons.unl.edu/qicwdumbrella/72</w:t>
      </w:r>
    </w:p>
    <w:p>
      <w:pPr>
        <w:pStyle w:val="BodyText"/>
      </w:pPr>
      <w:hyperlink r:id="rId35"/>
    </w:p>
    <w:p>
      <w:pPr>
        <w:pStyle w:val="BodyText"/>
      </w:pPr>
      <w:r>
        <w:t xml:space="preserve">Woehr, D. J., &amp; Huffcutt, A. I. (1994). Rater training for performance appraisal: A quantitative review.</w:t>
      </w:r>
      <w:r>
        <w:t xml:space="preserve"> </w:t>
      </w:r>
      <w:r>
        <w:rPr>
          <w:i/>
          <w:iCs/>
        </w:rPr>
        <w:t xml:space="preserve">Journal of Occupational and Organizational Psychology</w:t>
      </w:r>
      <w:r>
        <w:t xml:space="preserve">,</w:t>
      </w:r>
      <w:r>
        <w:t xml:space="preserve"> </w:t>
      </w:r>
      <w:r>
        <w:rPr>
          <w:i/>
          <w:iCs/>
        </w:rPr>
        <w:t xml:space="preserve">67</w:t>
      </w:r>
      <w:r>
        <w:t xml:space="preserve">(3), 189–205. https://bpspsychub.onlinelibrary.wiley.com/doi/10.1111/j.2044-8325.1994.tb00562.x</w:t>
      </w:r>
    </w:p>
    <w:p>
      <w:pPr>
        <w:pStyle w:val="BodyText"/>
      </w:pPr>
      <w:hyperlink r:id="rId71"/>
    </w:p>
    <w:p>
      <w:pPr>
        <w:pStyle w:val="BodyText"/>
      </w:pPr>
      <w:r>
        <w:t xml:space="preserve">Yagubyan, A. (2026). The Coin Flip Judge? Reliability and Bias in LLM-as-a-Judge Evaluation.</w:t>
      </w:r>
      <w:r>
        <w:t xml:space="preserve"> </w:t>
      </w:r>
      <w:r>
        <w:rPr>
          <w:i/>
          <w:iCs/>
        </w:rPr>
        <w:t xml:space="preserve">ArXiv</w:t>
      </w:r>
      <w:r>
        <w:t xml:space="preserve">,</w:t>
      </w:r>
      <w:r>
        <w:t xml:space="preserve"> </w:t>
      </w:r>
      <w:r>
        <w:rPr>
          <w:i/>
          <w:iCs/>
        </w:rPr>
        <w:t xml:space="preserve">abs/2606.13685</w:t>
      </w:r>
      <w:r>
        <w:t xml:space="preserve">. https://arxiv.org/abs/2606.13685</w:t>
      </w:r>
    </w:p>
    <w:p>
      <w:pPr>
        <w:pStyle w:val="BodyText"/>
      </w:pPr>
      <w:hyperlink r:id="rId56"/>
    </w:p>
    <w:p>
      <w:pPr>
        <w:pStyle w:val="BodyText"/>
      </w:pPr>
      <w:r>
        <w:t xml:space="preserve">Yeo, S. L. S., Signorelli, C., Vo, K., &amp; Smith, G. (2024). A Retrospective Cohort Analysis Comparing Analytic and Holistic Marking Rubrics in Medical Research Education.</w:t>
      </w:r>
      <w:r>
        <w:t xml:space="preserve"> </w:t>
      </w:r>
      <w:r>
        <w:rPr>
          <w:i/>
          <w:iCs/>
        </w:rPr>
        <w:t xml:space="preserve">Journal of Medical Education and Curricular Development</w:t>
      </w:r>
      <w:r>
        <w:t xml:space="preserve">,</w:t>
      </w:r>
      <w:r>
        <w:t xml:space="preserve"> </w:t>
      </w:r>
      <w:r>
        <w:rPr>
          <w:i/>
          <w:iCs/>
        </w:rPr>
        <w:t xml:space="preserve">11</w:t>
      </w:r>
      <w:r>
        <w:t xml:space="preserve">, 23821205241277337–23821205241277337. https://journals.sagepub.com/doi/10.1177/23821205241277337</w:t>
      </w:r>
    </w:p>
    <w:p>
      <w:pPr>
        <w:pStyle w:val="BodyText"/>
      </w:pPr>
      <w:hyperlink r:id="rId47"/>
    </w:p>
    <w:p>
      <w:pPr>
        <w:pStyle w:val="BodyText"/>
      </w:pPr>
      <w:r>
        <w:t xml:space="preserve">Ying, W. (2010). Biodata as A Personnel Recruitment Selection Approach in China: Assessment and Its Validity.</w:t>
      </w:r>
      <w:r>
        <w:t xml:space="preserve"> </w:t>
      </w:r>
      <w:r>
        <w:rPr>
          <w:i/>
          <w:iCs/>
        </w:rPr>
        <w:t xml:space="preserve">Acta Psychologica Sinica</w:t>
      </w:r>
      <w:r>
        <w:t xml:space="preserve">. https://en.cnki.com.cn/Article_en/CJFDTOTAL-XLXB201003014.htm</w:t>
      </w:r>
    </w:p>
    <w:p>
      <w:pPr>
        <w:pStyle w:val="BodyText"/>
      </w:pPr>
      <w:hyperlink r:id="rId55"/>
    </w:p>
    <w:p>
      <w:pPr>
        <w:pStyle w:val="BodyText"/>
      </w:pPr>
      <w:r>
        <w:t xml:space="preserve">Zhang, B., Xiao, Y., &amp; Luo, J. (2015). Rater reliability and score discrepancy under holistic and analytic scoring of second language writing.</w:t>
      </w:r>
      <w:r>
        <w:t xml:space="preserve"> </w:t>
      </w:r>
      <w:r>
        <w:rPr>
          <w:i/>
          <w:iCs/>
        </w:rPr>
        <w:t xml:space="preserve">Language Testing in Asia</w:t>
      </w:r>
      <w:r>
        <w:t xml:space="preserve">,</w:t>
      </w:r>
      <w:r>
        <w:t xml:space="preserve"> </w:t>
      </w:r>
      <w:r>
        <w:rPr>
          <w:i/>
          <w:iCs/>
        </w:rPr>
        <w:t xml:space="preserve">5</w:t>
      </w:r>
      <w:r>
        <w:t xml:space="preserve">(1). https://languagetestingasia.springeropen.com/articles/10.1186/s40468-015-0014-4</w:t>
      </w:r>
    </w:p>
    <w:p>
      <w:pPr>
        <w:pStyle w:val="BodyText"/>
      </w:pPr>
      <w:hyperlink r:id="rId77"/>
    </w:p>
    <w:p>
      <w:pPr>
        <w:pStyle w:val="BodyText"/>
      </w:pPr>
      <w:r>
        <w:t xml:space="preserve">Zhao, J., Shin, C., Huang, T.-H., Gnvv, S. S. S. N., &amp; Sala, F. (2026). CARE: Confounder-Aware Aggregation for Reliable LLM Evaluation.</w:t>
      </w:r>
      <w:r>
        <w:t xml:space="preserve"> </w:t>
      </w:r>
      <w:r>
        <w:rPr>
          <w:i/>
          <w:iCs/>
        </w:rPr>
        <w:t xml:space="preserve">ArXiv</w:t>
      </w:r>
      <w:r>
        <w:t xml:space="preserve">,</w:t>
      </w:r>
      <w:r>
        <w:t xml:space="preserve"> </w:t>
      </w:r>
      <w:r>
        <w:rPr>
          <w:i/>
          <w:iCs/>
        </w:rPr>
        <w:t xml:space="preserve">abs/2603.00039</w:t>
      </w:r>
      <w:r>
        <w:t xml:space="preserve">. https://arxiv.org/abs/2603.00039</w:t>
      </w:r>
    </w:p>
    <w:p>
      <w:pPr>
        <w:pStyle w:val="BodyText"/>
      </w:pPr>
      <w:hyperlink r:id="rId69"/>
    </w:p>
    <w:p>
      <w:pPr>
        <w:pStyle w:val="BodyText"/>
      </w:pPr>
      <w:r>
        <w:t xml:space="preserve">Zheng, L., Chiang, W.-L., Sheng, Y., Zhuang, S., Wu, Z., Zhuang, Y., Zi, L., Li, Z., Li, D., Xing, E. P., Zhang, H., Gonzalez, J. E., &amp; Stoica, I. (2023). Judging LLM-as-a-judge with MT-Bench and Chatbot Arena.</w:t>
      </w:r>
      <w:r>
        <w:t xml:space="preserve"> </w:t>
      </w:r>
      <w:r>
        <w:rPr>
          <w:i/>
          <w:iCs/>
        </w:rPr>
        <w:t xml:space="preserve">arXiv (Cornell University)</w:t>
      </w:r>
      <w:r>
        <w:t xml:space="preserve">. https://arxiv.org/abs/2306.05685</w:t>
      </w:r>
    </w:p>
    <w:p>
      <w:pPr>
        <w:pStyle w:val="BodyText"/>
      </w:pPr>
      <w:hyperlink r:id="rId58"/>
    </w:p>
    <w:p>
      <w:pPr>
        <w:pStyle w:val="BodyText"/>
      </w:pPr>
      <w:r>
        <w:t xml:space="preserve">Zlatkin-Troitschanskaia, O., Shavelson, R. J., Schmidt, S., &amp; Beck, K. (2019). On the complementarity of holistic and analytic approaches to performance assessment scoring.</w:t>
      </w:r>
      <w:r>
        <w:t xml:space="preserve"> </w:t>
      </w:r>
      <w:r>
        <w:rPr>
          <w:i/>
          <w:iCs/>
        </w:rPr>
        <w:t xml:space="preserve">British Journal of Educational Psychology</w:t>
      </w:r>
      <w:r>
        <w:t xml:space="preserve">,</w:t>
      </w:r>
      <w:r>
        <w:t xml:space="preserve"> </w:t>
      </w:r>
      <w:r>
        <w:rPr>
          <w:i/>
          <w:iCs/>
        </w:rPr>
        <w:t xml:space="preserve">89</w:t>
      </w:r>
      <w:r>
        <w:t xml:space="preserve">(3), 468–484. https://bpspsychub.onlinelibrary.wiley.com/doi/10.1111/bjep.12286</w:t>
      </w:r>
    </w:p>
    <w:p>
      <w:pPr>
        <w:pStyle w:val="BodyText"/>
      </w:pPr>
      <w:hyperlink r:id="rId44"/>
    </w:p>
    <w:p>
      <w:pPr>
        <w:pStyle w:val="BodyText"/>
      </w:pPr>
      <w:r>
        <w:t xml:space="preserve">공공기관 “블라인드 채용” 전면 시행…지원서에 학력·사진 금지. (2017). https://m.korea.kr/news/policyNewsView.do?newsId=148839085</w:t>
      </w:r>
    </w:p>
    <w:p>
      <w:pPr>
        <w:pStyle w:val="BodyText"/>
      </w:pPr>
      <w:hyperlink r:id="rId45"/>
    </w:p>
    <w:p>
      <w:pPr>
        <w:pStyle w:val="BodyText"/>
      </w:pPr>
      <w:r>
        <w:rPr>
          <w:i/>
          <w:iCs/>
        </w:rPr>
        <w:t xml:space="preserve">붙임 4 KOICA 블라인드 채용 서류검토 기준 1. ...</w:t>
      </w:r>
      <w:r>
        <w:t xml:space="preserve"> </w:t>
      </w:r>
      <w:r>
        <w:t xml:space="preserve">(n.d.). https://int.korea.edu/kuis/community/optn_job.do?mode=download&amp;articleNo=807876&amp;attachNo=314145&amp;totalNoticeYn=&amp;totalBoardNo=</w:t>
      </w:r>
    </w:p>
    <w:p>
      <w:pPr>
        <w:pStyle w:val="BodyText"/>
      </w:pPr>
      <w:hyperlink r:id="rId43"/>
    </w:p>
    <w:p>
      <w:pPr>
        <w:pStyle w:val="BodyText"/>
      </w:pPr>
      <w:r>
        <w:rPr>
          <w:i/>
          <w:iCs/>
        </w:rPr>
        <w:t xml:space="preserve">참고 - ncs 기반 능력중심채용 가이드북 - 160330 - Scribd</w:t>
      </w:r>
      <w:r>
        <w:t xml:space="preserve">. (n.d.). https://www.scribd.com/document/722258381/%EC%B0%B8%EA%B3%A0-ncs-%EA%B8%B0%EB%B0%98-%EB%8A%A5%EB%A0%A5%EC%A4%91%EC%8B%AC%EC%B1%84%EC%9A%A9-%EA%B0%80%EC%9D%B4%EB%93%9C%EB%B6%81-160330</w:t>
      </w:r>
    </w:p>
    <w:p>
      <w:pPr>
        <w:pStyle w:val="BodyText"/>
      </w:pPr>
      <w:r>
        <w:br/>
      </w:r>
    </w:p>
    <w:bookmarkEnd w:id="87"/>
    <w:bookmarkEnd w:id="88"/>
    <w:bookmarkEnd w:id="89"/>
    <w:bookmarkStart w:id="90" w:name="LINERModal"/>
    <w:bookmarkEnd w:id="90"/>
    <w:bookmarkStart w:id="91" w:name="LINERModalV2"/>
    <w:bookmarkEnd w:id="91"/>
    <w:bookmarkStart w:id="92" w:name="ImageHighlightZoom"/>
    <w:bookmarkEnd w:id="92"/>
    <w:p>
      <w:pPr>
        <w:pStyle w:val="BodyText"/>
      </w:pPr>
      <w:r>
        <w:drawing>
          <wp:inline>
            <wp:extent cx="9525" cy="9525"/>
            <wp:effectExtent b="0" l="0" r="0" t="0"/>
            <wp:docPr descr="" title="" id="94" name="Picture"/>
            <a:graphic>
              <a:graphicData uri="http://schemas.openxmlformats.org/drawingml/2006/picture">
                <pic:pic>
                  <pic:nvPicPr>
                    <pic:cNvPr descr="https://t.co/1/i/adsct?bci=2&amp;dv=UTC%26en-US%26Google%20Inc.%26Linux%20x86_64%26255%26800%26600%2616%2624%26800%26600%260%26na&amp;eci=4&amp;event=%7B%7D&amp;event_id=d2234b84-b407-45ac-a6b2-0d64618b7556&amp;integration=gtm&amp;p_id=Twitter&amp;p_user_id=0&amp;pl_id=2ea4c1d1-06c1-4458-9825-9269ac580408&amp;pt=Liner%20Scholar&amp;tw_document_href=https%3A%2F%2Fscholar.liner.com%2Fprojects%2F855790%2Fexport%3Fnode-id%3D5899068%26type%3Dmain%26citation-style%3Dapa&amp;tw_iframe_status=0&amp;tw_pid_src=1&amp;tw_session_count=1&amp;tw_session_id=1788172662686-423926056&amp;tw_session_start=1&amp;twpid=tw.1788172662686.324851635938530950&amp;txn_id=tw-of480-sd199&amp;type=javascript&amp;version=2.4.2" id="95" name="Picture"/>
                    <pic:cNvPicPr>
                      <a:picLocks noChangeArrowheads="1" noChangeAspect="1"/>
                    </pic:cNvPicPr>
                  </pic:nvPicPr>
                  <pic:blipFill>
                    <a:blip r:embed="rId93"/>
                    <a:stretch>
                      <a:fillRect/>
                    </a:stretch>
                  </pic:blipFill>
                  <pic:spPr bwMode="auto">
                    <a:xfrm>
                      <a:off x="0" y="0"/>
                      <a:ext cx="9525" cy="9525"/>
                    </a:xfrm>
                    <a:prstGeom prst="rect">
                      <a:avLst/>
                    </a:prstGeom>
                    <a:noFill/>
                    <a:ln w="9525">
                      <a:noFill/>
                      <a:headEnd/>
                      <a:tailEnd/>
                    </a:ln>
                  </pic:spPr>
                </pic:pic>
              </a:graphicData>
            </a:graphic>
          </wp:inline>
        </w:drawing>
      </w:r>
      <w:r>
        <w:drawing>
          <wp:inline>
            <wp:extent cx="9525" cy="9525"/>
            <wp:effectExtent b="0" l="0" r="0" t="0"/>
            <wp:docPr descr="" title="" id="97" name="Picture"/>
            <a:graphic>
              <a:graphicData uri="http://schemas.openxmlformats.org/drawingml/2006/picture">
                <pic:pic>
                  <pic:nvPicPr>
                    <pic:cNvPr descr="https://analytics.twitter.com/1/i/adsct?bci=2&amp;dv=UTC%26en-US%26Google%20Inc.%26Linux%20x86_64%26255%26800%26600%2616%2624%26800%26600%260%26na&amp;eci=4&amp;event=%7B%7D&amp;event_id=d2234b84-b407-45ac-a6b2-0d64618b7556&amp;integration=gtm&amp;p_id=Twitter&amp;p_user_id=0&amp;pl_id=2ea4c1d1-06c1-4458-9825-9269ac580408&amp;pt=Liner%20Scholar&amp;tw_document_href=https%3A%2F%2Fscholar.liner.com%2Fprojects%2F855790%2Fexport%3Fnode-id%3D5899068%26type%3Dmain%26citation-style%3Dapa&amp;tw_iframe_status=0&amp;tw_pid_src=1&amp;tw_session_count=1&amp;tw_session_id=1788172662686-423926056&amp;tw_session_start=1&amp;twpid=tw.1788172662686.324851635938530950&amp;txn_id=tw-of480-sd199&amp;type=javascript&amp;version=2.4.2" id="98" name="Picture"/>
                    <pic:cNvPicPr>
                      <a:picLocks noChangeArrowheads="1" noChangeAspect="1"/>
                    </pic:cNvPicPr>
                  </pic:nvPicPr>
                  <pic:blipFill>
                    <a:blip r:embed="rId96"/>
                    <a:stretch>
                      <a:fillRect/>
                    </a:stretch>
                  </pic:blipFill>
                  <pic:spPr bwMode="auto">
                    <a:xfrm>
                      <a:off x="0" y="0"/>
                      <a:ext cx="9525" cy="9525"/>
                    </a:xfrm>
                    <a:prstGeom prst="rect">
                      <a:avLst/>
                    </a:prstGeom>
                    <a:noFill/>
                    <a:ln w="9525">
                      <a:noFill/>
                      <a:headEnd/>
                      <a:tailEnd/>
                    </a:ln>
                  </pic:spPr>
                </pic:pic>
              </a:graphicData>
            </a:graphic>
          </wp:inline>
        </w:drawing>
      </w:r>
    </w:p>
    <w:sectPr w:rsidR="008C0165">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Pretendard">
    <w:panose1 w:val="02000503000000020004"/>
    <w:charset w:val="81"/>
    <w:family w:val="auto"/>
    <w:notTrueType/>
    <w:pitch w:val="variable"/>
    <w:sig w:usb0="E10002FF" w:usb1="1BD7E5FF" w:usb2="04000011" w:usb3="00000000" w:csb0="0008019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1F5A0EF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980695656" w:numId="1">
    <w:abstractNumId w:val="0"/>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6"/>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efaultTableStyle w:val="PlainTable1"/>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8C0165"/>
    <w:rsid w:val="0012795A"/>
    <w:rsid w:val="0023778E"/>
    <w:rsid w:val="002B0449"/>
    <w:rsid w:val="002E2016"/>
    <w:rsid w:val="004E5DC6"/>
    <w:rsid w:val="00513D47"/>
    <w:rsid w:val="006C4A12"/>
    <w:rsid w:val="007C3776"/>
    <w:rsid w:val="008C0165"/>
    <w:rsid w:val="009F6944"/>
    <w:rsid w:val="00A44BBD"/>
    <w:rsid w:val="00AE314F"/>
    <w:rsid w:val="00AE79A1"/>
    <w:rsid w:val="00BB3A3B"/>
    <w:rsid w:val="00D34345"/>
    <w:rsid w:val="00D771F2"/>
    <w:rsid w:val="00E21A5B"/>
    <w:rsid w:val="00EE4EFD"/>
    <w:rsid w:val="00F042F8"/>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F6944"/>
    <w:rPr>
      <w:rFonts w:ascii="Pretendard" w:cs="Times New Roman (Body CS)" w:eastAsia="Pretendard" w:hAnsi="Pretendard"/>
      <w:sz w:val="21"/>
    </w:rPr>
  </w:style>
  <w:style w:styleId="Heading1" w:type="paragraph">
    <w:name w:val="heading 1"/>
    <w:basedOn w:val="Normal"/>
    <w:next w:val="BodyText"/>
    <w:link w:val="Heading1Char"/>
    <w:uiPriority w:val="9"/>
    <w:qFormat/>
    <w:rsid w:val="0023778E"/>
    <w:pPr>
      <w:keepNext/>
      <w:keepLines/>
      <w:spacing w:after="80" w:before="360"/>
      <w:outlineLvl w:val="0"/>
    </w:pPr>
    <w:rPr>
      <w:rFonts w:cstheme="majorBidi"/>
      <w:b/>
      <w:sz w:val="36"/>
      <w:szCs w:val="40"/>
    </w:rPr>
  </w:style>
  <w:style w:styleId="Heading2" w:type="paragraph">
    <w:name w:val="heading 2"/>
    <w:basedOn w:val="Normal"/>
    <w:next w:val="BodyText"/>
    <w:link w:val="Heading2Char"/>
    <w:uiPriority w:val="9"/>
    <w:semiHidden/>
    <w:unhideWhenUsed/>
    <w:qFormat/>
    <w:rsid w:val="0023778E"/>
    <w:pPr>
      <w:keepNext/>
      <w:keepLines/>
      <w:spacing w:after="80" w:before="160"/>
      <w:outlineLvl w:val="1"/>
    </w:pPr>
    <w:rPr>
      <w:rFonts w:cs="Pretendard"/>
      <w:b/>
      <w:color w:themeColor="text1" w:val="000000"/>
      <w:sz w:val="28"/>
      <w:szCs w:val="32"/>
    </w:rPr>
  </w:style>
  <w:style w:styleId="Heading3" w:type="paragraph">
    <w:name w:val="heading 3"/>
    <w:basedOn w:val="Normal"/>
    <w:next w:val="BodyText"/>
    <w:link w:val="Heading3Char"/>
    <w:uiPriority w:val="9"/>
    <w:semiHidden/>
    <w:unhideWhenUsed/>
    <w:qFormat/>
    <w:rsid w:val="0012795A"/>
    <w:pPr>
      <w:keepNext/>
      <w:keepLines/>
      <w:spacing w:after="80" w:before="160"/>
      <w:outlineLvl w:val="2"/>
    </w:pPr>
    <w:rPr>
      <w:rFonts w:cs="Times New Roman (Headings CS)"/>
      <w:color w:themeColor="text1" w:val="000000"/>
      <w:szCs w:val="28"/>
    </w:rPr>
  </w:style>
  <w:style w:styleId="Heading4" w:type="paragraph">
    <w:name w:val="heading 4"/>
    <w:basedOn w:val="Normal"/>
    <w:next w:val="BodyText"/>
    <w:link w:val="Heading4Char"/>
    <w:uiPriority w:val="9"/>
    <w:semiHidden/>
    <w:unhideWhenUsed/>
    <w:qFormat/>
    <w:rsid w:val="0012795A"/>
    <w:pPr>
      <w:keepNext/>
      <w:keepLines/>
      <w:spacing w:after="40" w:before="80"/>
      <w:outlineLvl w:val="3"/>
    </w:pPr>
    <w:rPr>
      <w:rFonts w:cstheme="majorBidi"/>
      <w:i/>
      <w:iCs/>
      <w:color w:themeColor="text1" w:val="000000"/>
    </w:rPr>
  </w:style>
  <w:style w:styleId="Heading5" w:type="paragraph">
    <w:name w:val="heading 5"/>
    <w:basedOn w:val="Normal"/>
    <w:next w:val="BodyText"/>
    <w:link w:val="Heading5Char"/>
    <w:uiPriority w:val="9"/>
    <w:semiHidden/>
    <w:unhideWhenUsed/>
    <w:qFormat/>
    <w:rsid w:val="0012795A"/>
    <w:pPr>
      <w:keepNext/>
      <w:keepLines/>
      <w:spacing w:after="40" w:before="80"/>
      <w:outlineLvl w:val="4"/>
    </w:pPr>
    <w:rPr>
      <w:rFonts w:cstheme="majorBidi"/>
      <w:color w:themeColor="text1" w:val="000000"/>
    </w:rPr>
  </w:style>
  <w:style w:styleId="Heading6" w:type="paragraph">
    <w:name w:val="heading 6"/>
    <w:basedOn w:val="Normal"/>
    <w:next w:val="BodyText"/>
    <w:link w:val="Heading6Char"/>
    <w:uiPriority w:val="9"/>
    <w:semiHidden/>
    <w:unhideWhenUsed/>
    <w:qFormat/>
    <w:rsid w:val="0012795A"/>
    <w:pPr>
      <w:keepNext/>
      <w:keepLines/>
      <w:spacing w:after="0" w:before="40"/>
      <w:outlineLvl w:val="5"/>
    </w:pPr>
    <w:rPr>
      <w:rFonts w:cstheme="majorBidi"/>
      <w:i/>
      <w:iCs/>
      <w:color w:themeColor="text1"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6C4A12"/>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E79A1"/>
    <w:pPr>
      <w:spacing w:after="80"/>
      <w:contextualSpacing/>
      <w:jc w:val="center"/>
    </w:pPr>
    <w:rPr>
      <w:rFonts w:cs="Pretendard"/>
      <w:sz w:val="56"/>
      <w:szCs w:val="56"/>
    </w:rPr>
  </w:style>
  <w:style w:customStyle="1" w:styleId="TitleChar" w:type="character">
    <w:name w:val="Title Char"/>
    <w:basedOn w:val="DefaultParagraphFont"/>
    <w:link w:val="Title"/>
    <w:uiPriority w:val="10"/>
    <w:rsid w:val="00AE79A1"/>
    <w:rPr>
      <w:rFonts w:ascii="Pretendard" w:cs="Pretendard" w:eastAsia="Pretendard" w:hAnsi="Pretendard"/>
      <w:sz w:val="56"/>
      <w:szCs w:val="56"/>
    </w:rPr>
  </w:style>
  <w:style w:styleId="Subtitle" w:type="paragraph">
    <w:name w:val="Subtitle"/>
    <w:basedOn w:val="Title"/>
    <w:next w:val="BodyText"/>
    <w:link w:val="SubtitleChar"/>
    <w:uiPriority w:val="11"/>
    <w:qFormat/>
    <w:rsid w:val="00AE79A1"/>
    <w:pPr>
      <w:numPr>
        <w:ilvl w:val="1"/>
      </w:numPr>
    </w:pPr>
    <w:rPr>
      <w:spacing w:val="15"/>
      <w:sz w:val="28"/>
      <w:szCs w:val="28"/>
    </w:rPr>
  </w:style>
  <w:style w:customStyle="1" w:styleId="SubtitleChar" w:type="character">
    <w:name w:val="Subtitle Char"/>
    <w:basedOn w:val="DefaultParagraphFont"/>
    <w:link w:val="Subtitle"/>
    <w:uiPriority w:val="11"/>
    <w:rsid w:val="00AE79A1"/>
    <w:rPr>
      <w:rFonts w:ascii="Pretendard" w:cs="Pretendard" w:eastAsia="Pretendard" w:hAnsi="Pretendard"/>
      <w:spacing w:val="15"/>
      <w:sz w:val="28"/>
      <w:szCs w:val="28"/>
    </w:rPr>
  </w:style>
  <w:style w:customStyle="1" w:styleId="Author" w:type="paragraph">
    <w:name w:val="Author"/>
    <w:basedOn w:val="Title"/>
    <w:next w:val="BodyText"/>
    <w:qFormat/>
    <w:rsid w:val="00AE79A1"/>
    <w:pPr>
      <w:keepNext/>
      <w:keepLines/>
    </w:pPr>
    <w:rPr>
      <w:sz w:val="24"/>
      <w:szCs w:val="24"/>
    </w:rPr>
  </w:style>
  <w:style w:styleId="Date" w:type="paragraph">
    <w:name w:val="Date"/>
    <w:basedOn w:val="Title"/>
    <w:next w:val="BodyText"/>
    <w:qFormat/>
    <w:rsid w:val="00AE79A1"/>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23778E"/>
    <w:rPr>
      <w:rFonts w:ascii="Pretendard" w:cstheme="majorBidi" w:eastAsia="Pretendard" w:hAnsi="Pretendard"/>
      <w:b/>
      <w:sz w:val="36"/>
      <w:szCs w:val="40"/>
    </w:rPr>
  </w:style>
  <w:style w:customStyle="1" w:styleId="Heading2Char" w:type="character">
    <w:name w:val="Heading 2 Char"/>
    <w:basedOn w:val="DefaultParagraphFont"/>
    <w:link w:val="Heading2"/>
    <w:uiPriority w:val="9"/>
    <w:semiHidden/>
    <w:rsid w:val="0023778E"/>
    <w:rPr>
      <w:rFonts w:ascii="Pretendard" w:cs="Pretendard" w:eastAsia="Pretendard" w:hAnsi="Pretendard"/>
      <w:b/>
      <w:color w:themeColor="text1" w:val="000000"/>
      <w:sz w:val="28"/>
      <w:szCs w:val="32"/>
    </w:rPr>
  </w:style>
  <w:style w:customStyle="1" w:styleId="Heading3Char" w:type="character">
    <w:name w:val="Heading 3 Char"/>
    <w:basedOn w:val="DefaultParagraphFont"/>
    <w:link w:val="Heading3"/>
    <w:uiPriority w:val="9"/>
    <w:semiHidden/>
    <w:rsid w:val="0012795A"/>
    <w:rPr>
      <w:rFonts w:ascii="Pretendard" w:cs="Times New Roman (Headings CS)" w:eastAsia="Pretendard" w:hAnsi="Pretendard"/>
      <w:color w:themeColor="text1" w:val="000000"/>
      <w:sz w:val="22"/>
      <w:szCs w:val="28"/>
    </w:rPr>
  </w:style>
  <w:style w:customStyle="1" w:styleId="Heading4Char" w:type="character">
    <w:name w:val="Heading 4 Char"/>
    <w:basedOn w:val="DefaultParagraphFont"/>
    <w:link w:val="Heading4"/>
    <w:uiPriority w:val="9"/>
    <w:semiHidden/>
    <w:rsid w:val="0012795A"/>
    <w:rPr>
      <w:rFonts w:ascii="Pretendard" w:cstheme="majorBidi" w:eastAsia="Pretendard" w:hAnsi="Pretendard"/>
      <w:i/>
      <w:iCs/>
      <w:color w:themeColor="text1" w:val="000000"/>
      <w:sz w:val="22"/>
    </w:rPr>
  </w:style>
  <w:style w:customStyle="1" w:styleId="Heading5Char" w:type="character">
    <w:name w:val="Heading 5 Char"/>
    <w:basedOn w:val="DefaultParagraphFont"/>
    <w:link w:val="Heading5"/>
    <w:uiPriority w:val="9"/>
    <w:semiHidden/>
    <w:rsid w:val="0012795A"/>
    <w:rPr>
      <w:rFonts w:ascii="Pretendard" w:cstheme="majorBidi" w:eastAsia="Pretendard" w:hAnsi="Pretendard"/>
      <w:color w:themeColor="text1" w:val="000000"/>
      <w:sz w:val="22"/>
    </w:rPr>
  </w:style>
  <w:style w:customStyle="1" w:styleId="Heading6Char" w:type="character">
    <w:name w:val="Heading 6 Char"/>
    <w:basedOn w:val="DefaultParagraphFont"/>
    <w:link w:val="Heading6"/>
    <w:uiPriority w:val="9"/>
    <w:semiHidden/>
    <w:rsid w:val="0012795A"/>
    <w:rPr>
      <w:rFonts w:ascii="Pretendard" w:cstheme="majorBidi" w:eastAsia="Pretendard" w:hAnsi="Pretendard"/>
      <w:i/>
      <w:iCs/>
      <w:color w:themeColor="text1" w:val="000000"/>
      <w:sz w:val="22"/>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AE79A1"/>
    <w:rPr>
      <w:rFonts w:ascii="Pretendard" w:eastAsia="Pretendard" w:hAnsi="Pretendard"/>
      <w:color w:val="0070C0"/>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A5A5A5"/>
    </w:rPr>
  </w:style>
  <w:style w:styleId="FollowedHyperlink" w:type="character">
    <w:name w:val="FollowedHyperlink"/>
    <w:basedOn w:val="DefaultParagraphFont"/>
    <w:rsid w:val="00EE4EFD"/>
    <w:rPr>
      <w:color w:themeColor="followedHyperlink" w:val="919191"/>
      <w:u w:val="single"/>
    </w:rPr>
  </w:style>
  <w:style w:customStyle="1" w:styleId="Style1" w:type="paragraph">
    <w:name w:val="Style1"/>
    <w:basedOn w:val="Heading2"/>
    <w:qFormat/>
    <w:rsid w:val="0012795A"/>
    <w:rPr>
      <w:rFonts w:cs="Times New Roman (Headings CS)"/>
    </w:rPr>
  </w:style>
  <w:style w:styleId="TableGrid" w:type="table">
    <w:name w:val="Table Grid"/>
    <w:basedOn w:val="TableNormal"/>
    <w:rsid w:val="009F6944"/>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inTable1" w:type="table">
    <w:name w:val="Plain Table 1"/>
    <w:basedOn w:val="TableNormal"/>
    <w:rsid w:val="00D771F2"/>
    <w:pPr>
      <w:spacing w:after="0"/>
    </w:pPr>
    <w:rPr>
      <w:rFonts w:ascii="Pretendard" w:cs="Pretendard" w:eastAsia="Pretendard" w:hAnsi="Pretendard"/>
      <w:sz w:val="21"/>
      <w:szCs w:val="21"/>
    </w:rPr>
    <w:tblPr>
      <w:tblStyleRowBandSize w:val="1"/>
      <w:tblStyleColBandSize w:val="1"/>
      <w:tblBorders>
        <w:top w:color="DFDFDF" w:space="0" w:sz="4" w:themeColor="background2" w:themeShade="E6" w:val="single"/>
        <w:left w:color="DFDFDF" w:space="0" w:sz="4" w:themeColor="background2" w:themeShade="E6" w:val="single"/>
        <w:bottom w:color="DFDFDF" w:space="0" w:sz="4" w:themeColor="background2" w:themeShade="E6" w:val="single"/>
        <w:right w:color="DFDFDF" w:space="0" w:sz="4" w:themeColor="background2" w:themeShade="E6" w:val="single"/>
        <w:insideH w:color="DFDFDF" w:space="0" w:sz="4" w:themeColor="background2" w:themeShade="E6" w:val="single"/>
        <w:insideV w:color="DFDFDF" w:space="0" w:sz="4" w:themeColor="background2" w:themeShade="E6" w:val="single"/>
      </w:tblBorders>
    </w:tblPr>
    <w:tcPr>
      <w:shd w:color="auto" w:fill="DFDFDF" w:themeFill="background2" w:themeFillShade="E6" w:val="clear"/>
    </w:tcPr>
    <w:tblStylePr w:type="firstRow">
      <w:rPr>
        <w:rFonts w:ascii="Pretendard" w:cs="Pretendard" w:eastAsia="Pretendard" w:hAnsi="Pretendard"/>
        <w:b w:val="0"/>
        <w:bCs w:val="0"/>
      </w:rPr>
      <w:tblPr/>
      <w:tcPr>
        <w:shd w:color="auto" w:fill="F2F2F2" w:themeFill="background1" w:themeFillShade="F2" w:val="clear"/>
      </w:tcPr>
    </w:tblStylePr>
    <w:tblStylePr w:type="lastRow">
      <w:rPr>
        <w:rFonts w:ascii="Pretendard" w:cs="Pretendard" w:eastAsia="Pretendard" w:hAnsi="Pretendard"/>
        <w:b/>
        <w:bCs/>
      </w:rPr>
      <w:tblPr/>
      <w:tcPr>
        <w:shd w:color="auto" w:fill="FFFFFF" w:themeFill="background1" w:val="clear"/>
      </w:tcPr>
    </w:tblStylePr>
    <w:tblStylePr w:type="firstCol">
      <w:rPr>
        <w:rFonts w:ascii="Pretendard" w:cs="Pretendard" w:eastAsia="Pretendard" w:hAnsi="Pretendard"/>
        <w:b/>
        <w:bCs/>
      </w:rPr>
    </w:tblStylePr>
    <w:tblStylePr w:type="lastCol">
      <w:rPr>
        <w:rFonts w:ascii="Pretendard" w:cs="Pretendard" w:eastAsia="Pretendard" w:hAnsi="Pretendard"/>
        <w:b/>
        <w:bCs/>
      </w:rPr>
    </w:tblStylePr>
    <w:tblStylePr w:type="band1Vert">
      <w:rPr>
        <w:rFonts w:ascii="Pretendard" w:hAnsi="Pretendard"/>
      </w:rPr>
      <w:tblPr/>
      <w:tcPr>
        <w:shd w:color="auto" w:fill="FFFFFF" w:themeFill="background1" w:val="clear"/>
      </w:tcPr>
    </w:tblStylePr>
    <w:tblStylePr w:type="band2Vert">
      <w:rPr>
        <w:rFonts w:ascii="Pretendard" w:hAnsi="Pretendard"/>
      </w:rPr>
      <w:tblPr/>
      <w:tcPr>
        <w:shd w:color="auto" w:fill="FFFFFF" w:themeFill="background1" w:val="clear"/>
      </w:tcPr>
    </w:tblStylePr>
    <w:tblStylePr w:type="band1Horz">
      <w:rPr>
        <w:rFonts w:ascii="Pretendard" w:hAnsi="Pretendard"/>
      </w:rPr>
      <w:tblPr/>
      <w:tcPr>
        <w:shd w:color="auto" w:fill="FFFFFF" w:themeFill="background1" w:val="clear"/>
      </w:tcPr>
    </w:tblStylePr>
    <w:tblStylePr w:type="band2Horz">
      <w:rPr>
        <w:rFonts w:ascii="Pretendard" w:hAnsi="Pretendard"/>
      </w:rPr>
      <w:tblPr/>
      <w:tcPr>
        <w:shd w:color="auto" w:fill="FFFFFF" w:themeFill="background1" w:val="clear"/>
      </w:tcPr>
    </w:tblStylePr>
  </w:style>
  <w:style w:styleId="PlainTable2" w:type="table">
    <w:name w:val="Plain Table 2"/>
    <w:basedOn w:val="TableNormal"/>
    <w:rsid w:val="00D771F2"/>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4" w:type="table">
    <w:name w:val="Plain Table 4"/>
    <w:basedOn w:val="TableNormal"/>
    <w:rsid w:val="00D771F2"/>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3" w:type="table">
    <w:name w:val="Plain Table 3"/>
    <w:basedOn w:val="TableNormal"/>
    <w:rsid w:val="00D771F2"/>
    <w:pPr>
      <w:spacing w:after="0"/>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5" w:type="table">
    <w:name w:val="Plain Table 5"/>
    <w:basedOn w:val="TableNormal"/>
    <w:rsid w:val="00D771F2"/>
    <w:pPr>
      <w:spacing w:after="0"/>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eGridLight" w:type="table">
    <w:name w:val="Grid Table Light"/>
    <w:basedOn w:val="TableNormal"/>
    <w:rsid w:val="00D771F2"/>
    <w:pPr>
      <w:spacing w:after="0"/>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GridTable1Light" w:type="table">
    <w:name w:val="Grid Table 1 Light"/>
    <w:basedOn w:val="TableNormal"/>
    <w:rsid w:val="00D771F2"/>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2" w:type="table">
    <w:name w:val="Grid Table 2"/>
    <w:basedOn w:val="TableNormal"/>
    <w:rsid w:val="00D771F2"/>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3" w:type="table">
    <w:name w:val="Grid Table 3"/>
    <w:basedOn w:val="TableNormal"/>
    <w:rsid w:val="00D771F2"/>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1Light-Accent5" w:type="table">
    <w:name w:val="Grid Table 1 Light Accent 5"/>
    <w:basedOn w:val="TableNormal"/>
    <w:uiPriority w:val="46"/>
    <w:rsid w:val="00D771F2"/>
    <w:pPr>
      <w:spacing w:after="0"/>
    </w:pPr>
    <w:tblPr>
      <w:tblStyleRowBandSize w:val="1"/>
      <w:tblStyleColBandSize w:val="1"/>
      <w:tblBorders>
        <w:top w:color="BFBFBF" w:space="0" w:sz="4" w:themeColor="accent5" w:themeTint="66" w:val="single"/>
        <w:left w:color="BFBFBF" w:space="0" w:sz="4" w:themeColor="accent5" w:themeTint="66" w:val="single"/>
        <w:bottom w:color="BFBFBF" w:space="0" w:sz="4" w:themeColor="accent5" w:themeTint="66" w:val="single"/>
        <w:right w:color="BFBFBF" w:space="0" w:sz="4" w:themeColor="accent5" w:themeTint="66" w:val="single"/>
        <w:insideH w:color="BFBFBF" w:space="0" w:sz="4" w:themeColor="accent5" w:themeTint="66" w:val="single"/>
        <w:insideV w:color="BFBFBF" w:space="0" w:sz="4" w:themeColor="accent5" w:themeTint="66" w:val="single"/>
      </w:tblBorders>
    </w:tblPr>
    <w:tblStylePr w:type="firstRow">
      <w:rPr>
        <w:b/>
        <w:bCs/>
      </w:rPr>
      <w:tblPr/>
      <w:tcPr>
        <w:tcBorders>
          <w:bottom w:color="9F9F9F" w:space="0" w:sz="12" w:themeColor="accent5" w:themeTint="99" w:val="single"/>
        </w:tcBorders>
      </w:tcPr>
    </w:tblStylePr>
    <w:tblStylePr w:type="lastRow">
      <w:rPr>
        <w:b/>
        <w:bCs/>
      </w:rPr>
      <w:tblPr/>
      <w:tcPr>
        <w:tcBorders>
          <w:top w:color="9F9F9F" w:space="0" w:sz="2" w:themeColor="accent5"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6" Target="media/rId96.gif" /><Relationship Type="http://schemas.openxmlformats.org/officeDocument/2006/relationships/image" Id="rId93" Target="media/rId93.gif" /><Relationship Type="http://schemas.openxmlformats.org/officeDocument/2006/relationships/hyperlink" Id="rId9" Target="http://citeseerx.ist.psu.edu/viewdoc/summary?doi=10.1.1.123.7522" TargetMode="External" /><Relationship Type="http://schemas.openxmlformats.org/officeDocument/2006/relationships/hyperlink" Id="rId39" Target="http://doi.apa.org/getdoi.cfm?doi=10.1037/a0016476" TargetMode="External" /><Relationship Type="http://schemas.openxmlformats.org/officeDocument/2006/relationships/hyperlink" Id="rId62" Target="http://journal.frontiersin.org/article/10.3389/feduc.2018.00022/full" TargetMode="External" /><Relationship Type="http://schemas.openxmlformats.org/officeDocument/2006/relationships/hyperlink" Id="rId21" Target="http://m.www.na-businesspress.com/JOP/BreaughJ_Web14_1_.pdf" TargetMode="External" /><Relationship Type="http://schemas.openxmlformats.org/officeDocument/2006/relationships/hyperlink" Id="rId72" Target="http://medrxiv.org/lookup/doi/10.1101/2025.08.11.25333429" TargetMode="External" /><Relationship Type="http://schemas.openxmlformats.org/officeDocument/2006/relationships/hyperlink" Id="rId22" Target="http://ntl.bts.gov/lib/46000/46700/46721/201219.pdf" TargetMode="External" /><Relationship Type="http://schemas.openxmlformats.org/officeDocument/2006/relationships/hyperlink" Id="rId53" Target="http://www.ccsenet.org/journal/index.php/elt/article/view/50574" TargetMode="External" /><Relationship Type="http://schemas.openxmlformats.org/officeDocument/2006/relationships/hyperlink" Id="rId57" Target="http://www.tandfonline.com/doi/abs/10.1080/0969594X.2012.742422" TargetMode="External" /><Relationship Type="http://schemas.openxmlformats.org/officeDocument/2006/relationships/hyperlink" Id="rId50" Target="http://www.tandfonline.com/doi/abs/10.1207/s15324818ame1102_1" TargetMode="External" /><Relationship Type="http://schemas.openxmlformats.org/officeDocument/2006/relationships/hyperlink" Id="rId28" Target="http://www.tandfonline.com/doi/abs/10.1207/s15434311laq0202_2" TargetMode="External" /><Relationship Type="http://schemas.openxmlformats.org/officeDocument/2006/relationships/hyperlink" Id="rId59" Target="http://www.tandfonline.com/doi/full/10.1080/00131911.2014.929565" TargetMode="External" /><Relationship Type="http://schemas.openxmlformats.org/officeDocument/2006/relationships/hyperlink" Id="rId26" Target="https://aclanthology.org/2026.argmining-1.3/" TargetMode="External" /><Relationship Type="http://schemas.openxmlformats.org/officeDocument/2006/relationships/hyperlink" Id="rId69" Target="https://arxiv.org/abs/2306.05685" TargetMode="External" /><Relationship Type="http://schemas.openxmlformats.org/officeDocument/2006/relationships/hyperlink" Id="rId74" Target="https://arxiv.org/abs/2410.04663" TargetMode="External" /><Relationship Type="http://schemas.openxmlformats.org/officeDocument/2006/relationships/hyperlink" Id="rId27" Target="https://arxiv.org/abs/2410.05495" TargetMode="External" /><Relationship Type="http://schemas.openxmlformats.org/officeDocument/2006/relationships/hyperlink" Id="rId83" Target="https://arxiv.org/abs/2508.02442" TargetMode="External" /><Relationship Type="http://schemas.openxmlformats.org/officeDocument/2006/relationships/hyperlink" Id="rId70" Target="https://arxiv.org/abs/2508.07805" TargetMode="External" /><Relationship Type="http://schemas.openxmlformats.org/officeDocument/2006/relationships/hyperlink" Id="rId78" Target="https://arxiv.org/abs/2510.01499" TargetMode="External" /><Relationship Type="http://schemas.openxmlformats.org/officeDocument/2006/relationships/hyperlink" Id="rId75" Target="https://arxiv.org/abs/2510.12697" TargetMode="External" /><Relationship Type="http://schemas.openxmlformats.org/officeDocument/2006/relationships/hyperlink" Id="rId68" Target="https://arxiv.org/abs/2601.08654" TargetMode="External" /><Relationship Type="http://schemas.openxmlformats.org/officeDocument/2006/relationships/hyperlink" Id="rId79" Target="https://arxiv.org/abs/2601.22336" TargetMode="External" /><Relationship Type="http://schemas.openxmlformats.org/officeDocument/2006/relationships/hyperlink" Id="rId77" Target="https://arxiv.org/abs/2603.00039" TargetMode="External" /><Relationship Type="http://schemas.openxmlformats.org/officeDocument/2006/relationships/hyperlink" Id="rId73" Target="https://arxiv.org/abs/2605.29800" TargetMode="External" /><Relationship Type="http://schemas.openxmlformats.org/officeDocument/2006/relationships/hyperlink" Id="rId71" Target="https://arxiv.org/abs/2606.13685" TargetMode="External" /><Relationship Type="http://schemas.openxmlformats.org/officeDocument/2006/relationships/hyperlink" Id="rId58" Target="https://bpspsychub.onlinelibrary.wiley.com/doi/10.1111/bjep.12286" TargetMode="External" /><Relationship Type="http://schemas.openxmlformats.org/officeDocument/2006/relationships/hyperlink" Id="rId35" Target="https://bpspsychub.onlinelibrary.wiley.com/doi/10.1111/j.2044-8325.1994.tb00562.x" TargetMode="External" /><Relationship Type="http://schemas.openxmlformats.org/officeDocument/2006/relationships/hyperlink" Id="rId36" Target="https://bpspsychub.onlinelibrary.wiley.com/doi/10.1111/j.2044-8325.2011.02045.x" TargetMode="External" /><Relationship Type="http://schemas.openxmlformats.org/officeDocument/2006/relationships/hyperlink" Id="rId86" Target="https://digital.car.chula.ac.th/pasaa/vol53/iss1/5/" TargetMode="External" /><Relationship Type="http://schemas.openxmlformats.org/officeDocument/2006/relationships/hyperlink" Id="rId14" Target="https://digitalcommons.unl.edu/qicwdumbrella/72" TargetMode="External" /><Relationship Type="http://schemas.openxmlformats.org/officeDocument/2006/relationships/hyperlink" Id="rId31" Target="https://doi.apa.org/doi/10.1037/0021-9010.80.5.565" TargetMode="External" /><Relationship Type="http://schemas.openxmlformats.org/officeDocument/2006/relationships/hyperlink" Id="rId37" Target="https://doi.apa.org/doi/10.1037/0021-9010.87.4.735" TargetMode="External" /><Relationship Type="http://schemas.openxmlformats.org/officeDocument/2006/relationships/hyperlink" Id="rId13" Target="https://doi.apa.org/doi/10.1037/apl0000108" TargetMode="External" /><Relationship Type="http://schemas.openxmlformats.org/officeDocument/2006/relationships/hyperlink" Id="rId17" Target="https://doi.apa.org/doi/10.1037/apl0000964" TargetMode="External" /><Relationship Type="http://schemas.openxmlformats.org/officeDocument/2006/relationships/hyperlink" Id="rId33" Target="https://doi.org/10.1037/1040-3590.2.4.432" TargetMode="External" /><Relationship Type="http://schemas.openxmlformats.org/officeDocument/2006/relationships/hyperlink" Id="rId30" Target="https://econtent.hogrefe.com/doi/10.1027/1015-5759.18.1.52" TargetMode="External" /><Relationship Type="http://schemas.openxmlformats.org/officeDocument/2006/relationships/hyperlink" Id="rId47" Target="https://en.cnki.com.cn/Article_en/CJFDTOTAL-XLXB201003014.htm" TargetMode="External" /><Relationship Type="http://schemas.openxmlformats.org/officeDocument/2006/relationships/hyperlink" Id="rId65" Target="https://ieeexplore.ieee.org/document/11387699/" TargetMode="External" /><Relationship Type="http://schemas.openxmlformats.org/officeDocument/2006/relationships/hyperlink" Id="rId45" Target="https://int.korea.edu/kuis/community/optn_job.do?mode=download&amp;articleNo=807876&amp;attachNo=314145&amp;totalNoticeYn=&amp;totalBoardNo=" TargetMode="External" /><Relationship Type="http://schemas.openxmlformats.org/officeDocument/2006/relationships/hyperlink" Id="rId41" Target="https://jhmind.tistory.com/391" TargetMode="External" /><Relationship Type="http://schemas.openxmlformats.org/officeDocument/2006/relationships/hyperlink" Id="rId67" Target="https://journals.gmu.edu/jssr/article/view/5344" TargetMode="External" /><Relationship Type="http://schemas.openxmlformats.org/officeDocument/2006/relationships/hyperlink" Id="rId56" Target="https://journals.sagepub.com/doi/10.1177/23821205241277337" TargetMode="External" /><Relationship Type="http://schemas.openxmlformats.org/officeDocument/2006/relationships/hyperlink" Id="rId46" Target="https://krivet.re.kr/repository/handle/202405/3757" TargetMode="External" /><Relationship Type="http://schemas.openxmlformats.org/officeDocument/2006/relationships/hyperlink" Id="rId51" Target="https://l1research.org/article/view/87" TargetMode="External" /><Relationship Type="http://schemas.openxmlformats.org/officeDocument/2006/relationships/hyperlink" Id="rId55" Target="https://languagetestingasia.springeropen.com/articles/10.1186/s40468-015-0014-4" TargetMode="External" /><Relationship Type="http://schemas.openxmlformats.org/officeDocument/2006/relationships/hyperlink" Id="rId66" Target="https://link.springer.com/10.1007/978-3-032-29918-5_38" TargetMode="External" /><Relationship Type="http://schemas.openxmlformats.org/officeDocument/2006/relationships/hyperlink" Id="rId25" Target="https://linkinghub.elsevier.com/retrieve/pii/S0001691899000505" TargetMode="External" /><Relationship Type="http://schemas.openxmlformats.org/officeDocument/2006/relationships/hyperlink" Id="rId52" Target="https://linkinghub.elsevier.com/retrieve/pii/S0002945925000245" TargetMode="External" /><Relationship Type="http://schemas.openxmlformats.org/officeDocument/2006/relationships/hyperlink" Id="rId44" Target="https://m.korea.kr/news/policyNewsView.do?newsId=148839085" TargetMode="External" /><Relationship Type="http://schemas.openxmlformats.org/officeDocument/2006/relationships/hyperlink" Id="rId38" Target="https://onlinelibrary.wiley.com/doi/10.1002/job.2368" TargetMode="External" /><Relationship Type="http://schemas.openxmlformats.org/officeDocument/2006/relationships/hyperlink" Id="rId19" Target="https://onlinelibrary.wiley.com/doi/10.1111/1468-2389.00108" TargetMode="External" /><Relationship Type="http://schemas.openxmlformats.org/officeDocument/2006/relationships/hyperlink" Id="rId12" Target="https://onlinelibrary.wiley.com/doi/10.1111/j.1744-6570.1983.tb01436.x" TargetMode="External" /><Relationship Type="http://schemas.openxmlformats.org/officeDocument/2006/relationships/hyperlink" Id="rId34" Target="https://onlinelibrary.wiley.com/doi/10.1111/j.1744-6570.1996.tb01792.x" TargetMode="External" /><Relationship Type="http://schemas.openxmlformats.org/officeDocument/2006/relationships/hyperlink" Id="rId24" Target="https://onlinelibrary.wiley.com/doi/10.1111/j.1744-6570.2010.01202.x" TargetMode="External" /><Relationship Type="http://schemas.openxmlformats.org/officeDocument/2006/relationships/hyperlink" Id="rId18" Target="https://onlinelibrary.wiley.com/doi/10.1111/j.1744-6570.2012.01244.x" TargetMode="External" /><Relationship Type="http://schemas.openxmlformats.org/officeDocument/2006/relationships/hyperlink" Id="rId11" Target="https://onlinelibrary.wiley.com/doi/10.1111/peps.12578" TargetMode="External" /><Relationship Type="http://schemas.openxmlformats.org/officeDocument/2006/relationships/hyperlink" Id="rId49" Target="https://openpublishing.library.umass.edu/pare/article/id/1660/" TargetMode="External" /><Relationship Type="http://schemas.openxmlformats.org/officeDocument/2006/relationships/hyperlink" Id="rId15" Target="https://repository.lsu.edu/gradschool_disstheses/6938" TargetMode="External" /><Relationship Type="http://schemas.openxmlformats.org/officeDocument/2006/relationships/hyperlink" Id="rId32" Target="https://www.annualreviews.org/doi/10.1146/annurev.psych.59.103006.093716" TargetMode="External" /><Relationship Type="http://schemas.openxmlformats.org/officeDocument/2006/relationships/hyperlink" Id="rId10" Target="https://www.emerald.com/insight/content/doi/10.1108/eb017192/full/html" TargetMode="External" /><Relationship Type="http://schemas.openxmlformats.org/officeDocument/2006/relationships/hyperlink" Id="rId82" Target="https://www.frontiersin.org/journals/education/articles/10.3389/feduc.2026.1756673/full" TargetMode="External" /><Relationship Type="http://schemas.openxmlformats.org/officeDocument/2006/relationships/hyperlink" Id="rId80" Target="https://www.mdpi.com/2076-3417/16/12/5902" TargetMode="External" /><Relationship Type="http://schemas.openxmlformats.org/officeDocument/2006/relationships/hyperlink" Id="rId42" Target="https://www.moel.go.kr/policy/policydata/view.do?bbs_seq=1475070061003&amp;ref=blog.viewinterhr.com" TargetMode="External" /><Relationship Type="http://schemas.openxmlformats.org/officeDocument/2006/relationships/hyperlink" Id="rId76" Target="https://www.proceedings.com/079017-0911.html" TargetMode="External" /><Relationship Type="http://schemas.openxmlformats.org/officeDocument/2006/relationships/hyperlink" Id="rId43" Target="https://www.scribd.com/document/722258381/%EC%B0%B8%EA%B3%A0-ncs-%EA%B8%B0%EB%B0%98-%EB%8A%A5%EB%A0%A5%EC%A4%91%EC%8B%AC%EC%B1%84%EC%9A%A9-%EA%B0%80%EC%9D%B4%EB%93%9C%EB%B6%81-160330" TargetMode="External" /><Relationship Type="http://schemas.openxmlformats.org/officeDocument/2006/relationships/hyperlink" Id="rId61" Target="https://www.tandfonline.com/doi/full/10.1080/02602938.2015.1111294" TargetMode="External" /><Relationship Type="http://schemas.openxmlformats.org/officeDocument/2006/relationships/hyperlink" Id="rId54" Target="https://www.tandfonline.com/doi/full/10.1080/02602938.2023.2203883" TargetMode="External" /><Relationship Type="http://schemas.openxmlformats.org/officeDocument/2006/relationships/hyperlink" Id="rId81" Target="https://www.tandfonline.com/doi/full/10.1080/15305058.2026.2684584" TargetMode="External" /><Relationship Type="http://schemas.openxmlformats.org/officeDocument/2006/relationships/hyperlink" Id="rId20" Target="https://www.tandfonline.com/doi/full/10.1207/s15327876mp0403_1" TargetMode="External" /><Relationship Type="http://schemas.openxmlformats.org/officeDocument/2006/relationships/hyperlink" Id="rId16" Target="https://www.tandfonline.com/doi/full/10.1207/s15327876mp0701_2" TargetMode="External" /><Relationship Type="http://schemas.openxmlformats.org/officeDocument/2006/relationships/hyperlink" Id="rId63" Target="https://www.taylorfrancis.com/books/9781003443629/chapters/10.4324/9781003443629-7" TargetMode="External" /><Relationship Type="http://schemas.openxmlformats.org/officeDocument/2006/relationships/hyperlink" Id="rId60" Target="https://www.taylorfrancis.com/entries/10.4324/9781138609877-REE2-1" TargetMode="External" /></Relationships>
</file>

<file path=word/_rels/footnotes.xml.rels><?xml version="1.0" encoding="UTF-8"?><Relationships xmlns="http://schemas.openxmlformats.org/package/2006/relationships"><Relationship Type="http://schemas.openxmlformats.org/officeDocument/2006/relationships/hyperlink" Id="rId9" Target="http://citeseerx.ist.psu.edu/viewdoc/summary?doi=10.1.1.123.7522" TargetMode="External" /><Relationship Type="http://schemas.openxmlformats.org/officeDocument/2006/relationships/hyperlink" Id="rId39" Target="http://doi.apa.org/getdoi.cfm?doi=10.1037/a0016476" TargetMode="External" /><Relationship Type="http://schemas.openxmlformats.org/officeDocument/2006/relationships/hyperlink" Id="rId62" Target="http://journal.frontiersin.org/article/10.3389/feduc.2018.00022/full" TargetMode="External" /><Relationship Type="http://schemas.openxmlformats.org/officeDocument/2006/relationships/hyperlink" Id="rId21" Target="http://m.www.na-businesspress.com/JOP/BreaughJ_Web14_1_.pdf" TargetMode="External" /><Relationship Type="http://schemas.openxmlformats.org/officeDocument/2006/relationships/hyperlink" Id="rId72" Target="http://medrxiv.org/lookup/doi/10.1101/2025.08.11.25333429" TargetMode="External" /><Relationship Type="http://schemas.openxmlformats.org/officeDocument/2006/relationships/hyperlink" Id="rId22" Target="http://ntl.bts.gov/lib/46000/46700/46721/201219.pdf" TargetMode="External" /><Relationship Type="http://schemas.openxmlformats.org/officeDocument/2006/relationships/hyperlink" Id="rId53" Target="http://www.ccsenet.org/journal/index.php/elt/article/view/50574" TargetMode="External" /><Relationship Type="http://schemas.openxmlformats.org/officeDocument/2006/relationships/hyperlink" Id="rId57" Target="http://www.tandfonline.com/doi/abs/10.1080/0969594X.2012.742422" TargetMode="External" /><Relationship Type="http://schemas.openxmlformats.org/officeDocument/2006/relationships/hyperlink" Id="rId50" Target="http://www.tandfonline.com/doi/abs/10.1207/s15324818ame1102_1" TargetMode="External" /><Relationship Type="http://schemas.openxmlformats.org/officeDocument/2006/relationships/hyperlink" Id="rId28" Target="http://www.tandfonline.com/doi/abs/10.1207/s15434311laq0202_2" TargetMode="External" /><Relationship Type="http://schemas.openxmlformats.org/officeDocument/2006/relationships/hyperlink" Id="rId59" Target="http://www.tandfonline.com/doi/full/10.1080/00131911.2014.929565" TargetMode="External" /><Relationship Type="http://schemas.openxmlformats.org/officeDocument/2006/relationships/hyperlink" Id="rId26" Target="https://aclanthology.org/2026.argmining-1.3/" TargetMode="External" /><Relationship Type="http://schemas.openxmlformats.org/officeDocument/2006/relationships/hyperlink" Id="rId69" Target="https://arxiv.org/abs/2306.05685" TargetMode="External" /><Relationship Type="http://schemas.openxmlformats.org/officeDocument/2006/relationships/hyperlink" Id="rId74" Target="https://arxiv.org/abs/2410.04663" TargetMode="External" /><Relationship Type="http://schemas.openxmlformats.org/officeDocument/2006/relationships/hyperlink" Id="rId27" Target="https://arxiv.org/abs/2410.05495" TargetMode="External" /><Relationship Type="http://schemas.openxmlformats.org/officeDocument/2006/relationships/hyperlink" Id="rId83" Target="https://arxiv.org/abs/2508.02442" TargetMode="External" /><Relationship Type="http://schemas.openxmlformats.org/officeDocument/2006/relationships/hyperlink" Id="rId70" Target="https://arxiv.org/abs/2508.07805" TargetMode="External" /><Relationship Type="http://schemas.openxmlformats.org/officeDocument/2006/relationships/hyperlink" Id="rId78" Target="https://arxiv.org/abs/2510.01499" TargetMode="External" /><Relationship Type="http://schemas.openxmlformats.org/officeDocument/2006/relationships/hyperlink" Id="rId75" Target="https://arxiv.org/abs/2510.12697" TargetMode="External" /><Relationship Type="http://schemas.openxmlformats.org/officeDocument/2006/relationships/hyperlink" Id="rId68" Target="https://arxiv.org/abs/2601.08654" TargetMode="External" /><Relationship Type="http://schemas.openxmlformats.org/officeDocument/2006/relationships/hyperlink" Id="rId79" Target="https://arxiv.org/abs/2601.22336" TargetMode="External" /><Relationship Type="http://schemas.openxmlformats.org/officeDocument/2006/relationships/hyperlink" Id="rId77" Target="https://arxiv.org/abs/2603.00039" TargetMode="External" /><Relationship Type="http://schemas.openxmlformats.org/officeDocument/2006/relationships/hyperlink" Id="rId73" Target="https://arxiv.org/abs/2605.29800" TargetMode="External" /><Relationship Type="http://schemas.openxmlformats.org/officeDocument/2006/relationships/hyperlink" Id="rId71" Target="https://arxiv.org/abs/2606.13685" TargetMode="External" /><Relationship Type="http://schemas.openxmlformats.org/officeDocument/2006/relationships/hyperlink" Id="rId58" Target="https://bpspsychub.onlinelibrary.wiley.com/doi/10.1111/bjep.12286" TargetMode="External" /><Relationship Type="http://schemas.openxmlformats.org/officeDocument/2006/relationships/hyperlink" Id="rId35" Target="https://bpspsychub.onlinelibrary.wiley.com/doi/10.1111/j.2044-8325.1994.tb00562.x" TargetMode="External" /><Relationship Type="http://schemas.openxmlformats.org/officeDocument/2006/relationships/hyperlink" Id="rId36" Target="https://bpspsychub.onlinelibrary.wiley.com/doi/10.1111/j.2044-8325.2011.02045.x" TargetMode="External" /><Relationship Type="http://schemas.openxmlformats.org/officeDocument/2006/relationships/hyperlink" Id="rId86" Target="https://digital.car.chula.ac.th/pasaa/vol53/iss1/5/" TargetMode="External" /><Relationship Type="http://schemas.openxmlformats.org/officeDocument/2006/relationships/hyperlink" Id="rId14" Target="https://digitalcommons.unl.edu/qicwdumbrella/72" TargetMode="External" /><Relationship Type="http://schemas.openxmlformats.org/officeDocument/2006/relationships/hyperlink" Id="rId31" Target="https://doi.apa.org/doi/10.1037/0021-9010.80.5.565" TargetMode="External" /><Relationship Type="http://schemas.openxmlformats.org/officeDocument/2006/relationships/hyperlink" Id="rId37" Target="https://doi.apa.org/doi/10.1037/0021-9010.87.4.735" TargetMode="External" /><Relationship Type="http://schemas.openxmlformats.org/officeDocument/2006/relationships/hyperlink" Id="rId13" Target="https://doi.apa.org/doi/10.1037/apl0000108" TargetMode="External" /><Relationship Type="http://schemas.openxmlformats.org/officeDocument/2006/relationships/hyperlink" Id="rId17" Target="https://doi.apa.org/doi/10.1037/apl0000964" TargetMode="External" /><Relationship Type="http://schemas.openxmlformats.org/officeDocument/2006/relationships/hyperlink" Id="rId33" Target="https://doi.org/10.1037/1040-3590.2.4.432" TargetMode="External" /><Relationship Type="http://schemas.openxmlformats.org/officeDocument/2006/relationships/hyperlink" Id="rId30" Target="https://econtent.hogrefe.com/doi/10.1027/1015-5759.18.1.52" TargetMode="External" /><Relationship Type="http://schemas.openxmlformats.org/officeDocument/2006/relationships/hyperlink" Id="rId47" Target="https://en.cnki.com.cn/Article_en/CJFDTOTAL-XLXB201003014.htm" TargetMode="External" /><Relationship Type="http://schemas.openxmlformats.org/officeDocument/2006/relationships/hyperlink" Id="rId65" Target="https://ieeexplore.ieee.org/document/11387699/" TargetMode="External" /><Relationship Type="http://schemas.openxmlformats.org/officeDocument/2006/relationships/hyperlink" Id="rId45" Target="https://int.korea.edu/kuis/community/optn_job.do?mode=download&amp;articleNo=807876&amp;attachNo=314145&amp;totalNoticeYn=&amp;totalBoardNo=" TargetMode="External" /><Relationship Type="http://schemas.openxmlformats.org/officeDocument/2006/relationships/hyperlink" Id="rId41" Target="https://jhmind.tistory.com/391" TargetMode="External" /><Relationship Type="http://schemas.openxmlformats.org/officeDocument/2006/relationships/hyperlink" Id="rId67" Target="https://journals.gmu.edu/jssr/article/view/5344" TargetMode="External" /><Relationship Type="http://schemas.openxmlformats.org/officeDocument/2006/relationships/hyperlink" Id="rId56" Target="https://journals.sagepub.com/doi/10.1177/23821205241277337" TargetMode="External" /><Relationship Type="http://schemas.openxmlformats.org/officeDocument/2006/relationships/hyperlink" Id="rId46" Target="https://krivet.re.kr/repository/handle/202405/3757" TargetMode="External" /><Relationship Type="http://schemas.openxmlformats.org/officeDocument/2006/relationships/hyperlink" Id="rId51" Target="https://l1research.org/article/view/87" TargetMode="External" /><Relationship Type="http://schemas.openxmlformats.org/officeDocument/2006/relationships/hyperlink" Id="rId55" Target="https://languagetestingasia.springeropen.com/articles/10.1186/s40468-015-0014-4" TargetMode="External" /><Relationship Type="http://schemas.openxmlformats.org/officeDocument/2006/relationships/hyperlink" Id="rId66" Target="https://link.springer.com/10.1007/978-3-032-29918-5_38" TargetMode="External" /><Relationship Type="http://schemas.openxmlformats.org/officeDocument/2006/relationships/hyperlink" Id="rId25" Target="https://linkinghub.elsevier.com/retrieve/pii/S0001691899000505" TargetMode="External" /><Relationship Type="http://schemas.openxmlformats.org/officeDocument/2006/relationships/hyperlink" Id="rId52" Target="https://linkinghub.elsevier.com/retrieve/pii/S0002945925000245" TargetMode="External" /><Relationship Type="http://schemas.openxmlformats.org/officeDocument/2006/relationships/hyperlink" Id="rId44" Target="https://m.korea.kr/news/policyNewsView.do?newsId=148839085" TargetMode="External" /><Relationship Type="http://schemas.openxmlformats.org/officeDocument/2006/relationships/hyperlink" Id="rId38" Target="https://onlinelibrary.wiley.com/doi/10.1002/job.2368" TargetMode="External" /><Relationship Type="http://schemas.openxmlformats.org/officeDocument/2006/relationships/hyperlink" Id="rId19" Target="https://onlinelibrary.wiley.com/doi/10.1111/1468-2389.00108" TargetMode="External" /><Relationship Type="http://schemas.openxmlformats.org/officeDocument/2006/relationships/hyperlink" Id="rId12" Target="https://onlinelibrary.wiley.com/doi/10.1111/j.1744-6570.1983.tb01436.x" TargetMode="External" /><Relationship Type="http://schemas.openxmlformats.org/officeDocument/2006/relationships/hyperlink" Id="rId34" Target="https://onlinelibrary.wiley.com/doi/10.1111/j.1744-6570.1996.tb01792.x" TargetMode="External" /><Relationship Type="http://schemas.openxmlformats.org/officeDocument/2006/relationships/hyperlink" Id="rId24" Target="https://onlinelibrary.wiley.com/doi/10.1111/j.1744-6570.2010.01202.x" TargetMode="External" /><Relationship Type="http://schemas.openxmlformats.org/officeDocument/2006/relationships/hyperlink" Id="rId18" Target="https://onlinelibrary.wiley.com/doi/10.1111/j.1744-6570.2012.01244.x" TargetMode="External" /><Relationship Type="http://schemas.openxmlformats.org/officeDocument/2006/relationships/hyperlink" Id="rId11" Target="https://onlinelibrary.wiley.com/doi/10.1111/peps.12578" TargetMode="External" /><Relationship Type="http://schemas.openxmlformats.org/officeDocument/2006/relationships/hyperlink" Id="rId49" Target="https://openpublishing.library.umass.edu/pare/article/id/1660/" TargetMode="External" /><Relationship Type="http://schemas.openxmlformats.org/officeDocument/2006/relationships/hyperlink" Id="rId15" Target="https://repository.lsu.edu/gradschool_disstheses/6938" TargetMode="External" /><Relationship Type="http://schemas.openxmlformats.org/officeDocument/2006/relationships/hyperlink" Id="rId32" Target="https://www.annualreviews.org/doi/10.1146/annurev.psych.59.103006.093716" TargetMode="External" /><Relationship Type="http://schemas.openxmlformats.org/officeDocument/2006/relationships/hyperlink" Id="rId10" Target="https://www.emerald.com/insight/content/doi/10.1108/eb017192/full/html" TargetMode="External" /><Relationship Type="http://schemas.openxmlformats.org/officeDocument/2006/relationships/hyperlink" Id="rId82" Target="https://www.frontiersin.org/journals/education/articles/10.3389/feduc.2026.1756673/full" TargetMode="External" /><Relationship Type="http://schemas.openxmlformats.org/officeDocument/2006/relationships/hyperlink" Id="rId80" Target="https://www.mdpi.com/2076-3417/16/12/5902" TargetMode="External" /><Relationship Type="http://schemas.openxmlformats.org/officeDocument/2006/relationships/hyperlink" Id="rId42" Target="https://www.moel.go.kr/policy/policydata/view.do?bbs_seq=1475070061003&amp;ref=blog.viewinterhr.com" TargetMode="External" /><Relationship Type="http://schemas.openxmlformats.org/officeDocument/2006/relationships/hyperlink" Id="rId76" Target="https://www.proceedings.com/079017-0911.html" TargetMode="External" /><Relationship Type="http://schemas.openxmlformats.org/officeDocument/2006/relationships/hyperlink" Id="rId43" Target="https://www.scribd.com/document/722258381/%EC%B0%B8%EA%B3%A0-ncs-%EA%B8%B0%EB%B0%98-%EB%8A%A5%EB%A0%A5%EC%A4%91%EC%8B%AC%EC%B1%84%EC%9A%A9-%EA%B0%80%EC%9D%B4%EB%93%9C%EB%B6%81-160330" TargetMode="External" /><Relationship Type="http://schemas.openxmlformats.org/officeDocument/2006/relationships/hyperlink" Id="rId61" Target="https://www.tandfonline.com/doi/full/10.1080/02602938.2015.1111294" TargetMode="External" /><Relationship Type="http://schemas.openxmlformats.org/officeDocument/2006/relationships/hyperlink" Id="rId54" Target="https://www.tandfonline.com/doi/full/10.1080/02602938.2023.2203883" TargetMode="External" /><Relationship Type="http://schemas.openxmlformats.org/officeDocument/2006/relationships/hyperlink" Id="rId81" Target="https://www.tandfonline.com/doi/full/10.1080/15305058.2026.2684584" TargetMode="External" /><Relationship Type="http://schemas.openxmlformats.org/officeDocument/2006/relationships/hyperlink" Id="rId20" Target="https://www.tandfonline.com/doi/full/10.1207/s15327876mp0403_1" TargetMode="External" /><Relationship Type="http://schemas.openxmlformats.org/officeDocument/2006/relationships/hyperlink" Id="rId16" Target="https://www.tandfonline.com/doi/full/10.1207/s15327876mp0701_2" TargetMode="External" /><Relationship Type="http://schemas.openxmlformats.org/officeDocument/2006/relationships/hyperlink" Id="rId63" Target="https://www.taylorfrancis.com/books/9781003443629/chapters/10.4324/9781003443629-7" TargetMode="External" /><Relationship Type="http://schemas.openxmlformats.org/officeDocument/2006/relationships/hyperlink" Id="rId60" Target="https://www.taylorfrancis.com/entries/10.4324/9781138609877-REE2-1" TargetMode="External" /></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52</Words>
  <Characters>303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Best AI search engine for students and researchers trusted by over 10 million people. Get smart faster with Liner.</dc:description>
  <dc:language>en</dc:language>
  <cp:keywords/>
  <dcterms:created xsi:type="dcterms:W3CDTF">2026-08-31T10:37:54Z</dcterms:created>
  <dcterms:modified xsi:type="dcterms:W3CDTF">2026-08-31T10:37:54Z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ication-name">
    <vt:lpwstr>LINER</vt:lpwstr>
  </property>
  <property fmtid="{D5CDD505-2E9C-101B-9397-08002B2CF9AE}" pid="4" name="google-adsense-account">
    <vt:lpwstr>ca-pub-3096219204790462</vt:lpwstr>
  </property>
  <property fmtid="{D5CDD505-2E9C-101B-9397-08002B2CF9AE}" pid="5" name="google-signin-client_id">
    <vt:lpwstr>806977994971-1qqu2pd2ihu3jkbhfs7l6p5jhum0288v.apps.googleusercontent.com.apps.googleusercontent.com</vt:lpwstr>
  </property>
  <property fmtid="{D5CDD505-2E9C-101B-9397-08002B2CF9AE}" pid="6" name="google-site-verification">
    <vt:lpwstr>CYBEDeAEH0g7V_loXxa8WpFamRzcxWY6clJQxJT7VN4</vt:lpwstr>
  </property>
  <property fmtid="{D5CDD505-2E9C-101B-9397-08002B2CF9AE}" pid="7" name="mobile-web-app-capable">
    <vt:lpwstr>yes</vt:lpwstr>
  </property>
  <property fmtid="{D5CDD505-2E9C-101B-9397-08002B2CF9AE}" pid="8" name="naver-site-verification">
    <vt:lpwstr>fb43e7f6848543f088d215875cd3281e60268e89</vt:lpwstr>
  </property>
  <property fmtid="{D5CDD505-2E9C-101B-9397-08002B2CF9AE}" pid="9" name="robots">
    <vt:lpwstr/>
  </property>
  <property fmtid="{D5CDD505-2E9C-101B-9397-08002B2CF9AE}" pid="10" name="twitter:card">
    <vt:lpwstr/>
  </property>
  <property fmtid="{D5CDD505-2E9C-101B-9397-08002B2CF9AE}" pid="11" name="twitter:creator">
    <vt:lpwstr>@Liner</vt:lpwstr>
  </property>
  <property fmtid="{D5CDD505-2E9C-101B-9397-08002B2CF9AE}" pid="12" name="twitter:description">
    <vt:lpwstr>Best AI search engine for students and researchers trusted by over 10 million people. Get smart faster with Liner.</vt:lpwstr>
  </property>
  <property fmtid="{D5CDD505-2E9C-101B-9397-08002B2CF9AE}" pid="13" name="twitter:image">
    <vt:lpwstr>https://assets.getliner.com/web/scholar-og-image.webp</vt:lpwstr>
  </property>
  <property fmtid="{D5CDD505-2E9C-101B-9397-08002B2CF9AE}" pid="14" name="twitter:site">
    <vt:lpwstr>@Liner</vt:lpwstr>
  </property>
  <property fmtid="{D5CDD505-2E9C-101B-9397-08002B2CF9AE}" pid="15" name="twitter:title">
    <vt:lpwstr>Liner Scholar</vt:lpwstr>
  </property>
  <property fmtid="{D5CDD505-2E9C-101B-9397-08002B2CF9AE}" pid="16" name="viewport">
    <vt:lpwstr>width=device-width,initial-scale=1.0,minimum-scale=1.0,maximum-scale=1.0, minimal-ui, user-scalable=no, interactive-widget=resizes-content</vt:lpwstr>
  </property>
</Properties>
</file>