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Documentation — Phase 2: WHY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2E7D32"/>
          <w:sz w:val="24"/>
          <w:szCs w:val="24"/>
        </w:rPr>
        <w:t xml:space="preserve">Algorithmic Trading Backtest (Equities)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Justification for every technical choice made in Phase 1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Why This Scenario?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 chose the Algorithmic Trading Backtest because it combines demanding data-engineering challenges (617,831 rows, two-file merge, rolling-window calculations) with clear, measurable outputs — Sharpe ratio, drawdown, and sector regime — that make our conclusions falsifiable rather than subjective. The scenario builds directly transferable skills: time-series manipulation, cross-sectional ranking, and risk-adjusted metrics are used daily in quantitative finance and data roles. It also forces us to think carefully about bias (look-ahead, survivorship) which is exactly the analytical discipline a senior practitioner would evaluate. The practical impact is concrete: a correctly implemented backtest is the first gate before any strategy is considered for real capital.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Methodological Justification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Why This Analytical Approach?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126-day momentum over 12-1 month: We chose a 6-month window (126 trading days) because it is the most empirically supported momentum horizon in academic literature (Jegadeesh &amp; Titman 1993). It is long enough to capture a genuine trend but short enough to be actionable. A 12-month window would include the most recent month where momentum historically reverses.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Cross-sectional ranking (top 20%) over absolute threshold: Ranking within each date (pct=True) ensures we always select the same proportion of stocks regardless of the overall market level. An absolute return threshold would select almost no stocks during a crash and too many during a rally — inconsistent portfolio sizing.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Long-only portfolio over long-short: A long-short strategy requires shorting mechanics and margin calculations that are out of scope for this lab. Long-only captures the momentum premium more simply while still being analytically valid.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 regime (bull/bear via 200-day MA): The 200-day moving average is the most widely used trend indicator in practice. It provides a clean, objective split between risk-on and risk-off environments without overfitting to the specific dataset.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Why Daily Aggregation?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 kept daily granularity for prices because the raw data is daily and downsampling to weekly or monthly would lose the precision needed for accurate drawdown calculation — a single-day -25% event (like 2020-03-16) would be smoothed away in monthly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momentum signal is computed at 126-day (6-month) frequency, which is the right balance: long enough to be a meaningful trend, short enough to rebalance before momentum reverses.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Sector regime statistics are aggregated across the full date range grouped by bull/bear regime — this gives a stable enough sample to compare sectors meaningfully.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2.3 Why These Features and Not Others?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symbol, OHLCV, sector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sufficient set for momentum signal construction and sector attribution.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adj_close = 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split/dividend data available in this dataset. Using raw close is a documented assumption — consistent across all tickers.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open, high, low, 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(unused in signal)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Kept for completeness and potential future use (e.g. volume-weighted momentum). Not used in the current strategy.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cap, P/E, etc.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require a second data source join — out of scope for this lab.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Dividends / splits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DROPPED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present in this Kaggle dataset version. Noted as a limitation.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2.4 Limits of the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Look-ahead bias: the current implementation ranks stocks and computes returns on the same day's close. In production, portfolio weights would be calculated at close on day T and applied at open on day T+1. This inflates the reported Sharpe ratio (3.51 is unrealistically high partly for this reason). Flagged in the report as a known limitation.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Survivorship bias: the Kaggle dataset reflects companies currently in the S&amp;P 500. Companies that were removed due to bankruptcy or poor performance between 2014–2024 are likely absent, which artificially inflates average momentum returns.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Tooling Selection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Why pandas + numpy?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 over raw Python loops: At 617,831 rows, a pure Python loop would take minutes. pandas groupby + pct_change + rank operations are vectorised (C-level) and process the full dataset in seconds. It is also the standard tool for tabular time-series in financial data science.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numpy for scalar metrics: Sharpe ratio and drawdown are pure array math (mean, std, cumprod, cummax). numpy is more explicit and marginally faster than pandas for these scalar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 over Polars: Polars is faster but has a steeper learning curve and fewer integrations. For a team lab at mixed experience levels, pandas is the safer choice — everyone already knows the API.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Why matplotlib?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matplotlib for the drawdown chart: We needed a simple line chart with crimson color and grid lines — matplotlib handles this in 5 lines. The drawdown series is a pandas Series so .plot() works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seaborn NOT used: the notebook's charts are straightforward enough that seaborn's statistical abstractions (heatmap, FacetGrid) were not needed. Using matplotlib directly keeps the dependency count 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plotly NOT chosen: interactive HTML charts are harder to embed in a printed report and add a dependency that is not standard in this module.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Why CSV input, no Parquet?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Raw data stays as CSV: Kaggle provides CSV. We load it directly with read_csv() — no conversion step needed for a lab of this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Parquet intermediate: at 617K rows the load time is fast enough (~2s) that saving a Parquet intermediate would add complexity with minimal benefit. For a production pipeline with 10M+ rows, Parquet would be justified.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Jupyter Notebook over .py script: the deliverable is a report with embedded charts and narrative. A notebook interleaves code, outputs, and markdown in one file and can be exported to PDF directly.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3.4 Why These Validation References?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S&amp;P 500 buy-and-hold Sharpe (~0.5 annualised): our computed Sharpe of 3.51 should be compared against this well-known benchmark. If our strategy can't beat it, the signal is broken. If it far exceeds it (as ours does), look-ahead bias is the likely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Known drawdown event (2020-03-16 COVID crash): the fact that our max drawdown lands on this exact date is a strong validation signal — it confirms the equity curve is tracking real market events correctly.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What We Did NOT Pick —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Rejected 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(LSTM, Random Forest)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momentum backtest is a rule-based strategy, not a prediction problem. Adding ML would shift the lab scope from data engineering to model tuning and require a train/test split that reduces the already-limited 10-year history — beyond Module 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/ relational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dataset is a single denormalised CSV; no joins beyond the one sector merge are needed. SQLite adds schema design and insert overhead with no benefit over a direct pandas read for this read-mostly workload.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Submission Checklist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Phase 1 document completed and signed off by mentor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This Phase 2 document completed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Both pushed to group repo at: module-2/class_6/submissions/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Mentor approval received before any code is written</w:t>
      </w:r>
    </w:p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Mentor signature / date: 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2026-05-13T16:10:05.656Z</dcterms:created>
  <dcterms:modified xsi:type="dcterms:W3CDTF">2026-05-13T16:10:05.656Z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