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40"/>
          <w:szCs w:val="40"/>
        </w:rPr>
        <w:t xml:space="preserve">Documentation — Phase 1: WHAT</w:t>
      </w:r>
    </w:p>
    <w:p>
      <w:pPr>
        <w:spacing w:after="40"/>
        <w:jc w:val="center"/>
      </w:pPr>
      <w:r>
        <w:rPr>
          <w:rFonts w:ascii="Arial" w:cs="Arial" w:eastAsia="Arial" w:hAnsi="Arial"/>
          <w:i/>
          <w:iCs/>
          <w:color w:val="2E75B6"/>
          <w:sz w:val="24"/>
          <w:szCs w:val="24"/>
        </w:rPr>
        <w:t xml:space="preserve">Algorithmic Trading Backtest (Equities)</w:t>
      </w:r>
    </w:p>
    <w:p>
      <w:pPr>
        <w:spacing w:after="300"/>
        <w:jc w:val="center"/>
      </w:pPr>
      <w:r>
        <w:rPr>
          <w:rFonts w:ascii="Arial" w:cs="Arial" w:eastAsia="Arial" w:hAnsi="Arial"/>
          <w:color w:val="888888"/>
          <w:sz w:val="20"/>
          <w:szCs w:val="20"/>
        </w:rPr>
        <w:t xml:space="preserve">Module 2 — Python and Data Foundations  |  Final Lab</w:t>
      </w:r>
    </w:p>
    <w:p>
      <w:pPr>
        <w:pStyle w:val="Heading1"/>
        <w:spacing w:after="120" w:before="300"/>
      </w:pPr>
      <w:r>
        <w:rPr>
          <w:rFonts w:ascii="Arial" w:cs="Arial" w:eastAsia="Arial" w:hAnsi="Arial"/>
          <w:b/>
          <w:bCs/>
          <w:color w:val="1F4E79"/>
          <w:sz w:val="32"/>
          <w:szCs w:val="32"/>
        </w:rPr>
        <w:t xml:space="preserve">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Lead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Member 2</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3</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Member 4</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bl>
    <w:p>
      <w:pPr>
        <w:spacing w:after="200"/>
      </w:pPr>
      <w:r>
        <w:rPr>
          <w:rFonts w:ascii="Arial" w:cs="Arial" w:eastAsia="Arial" w:hAnsi="Arial"/>
          <w:sz w:val="20"/>
          <w:szCs w:val="20"/>
        </w:rPr>
        <w:t xml:space="preserve">Date: _________________________     Scenario: Algorithmic Trading Backtest (Equities)</w:t>
      </w:r>
    </w:p>
    <w:p>
      <w:pPr>
        <w:pStyle w:val="Heading1"/>
        <w:spacing w:after="120" w:before="300"/>
      </w:pPr>
      <w:r>
        <w:rPr>
          <w:rFonts w:ascii="Arial" w:cs="Arial" w:eastAsia="Arial" w:hAnsi="Arial"/>
          <w:b/>
          <w:bCs/>
          <w:color w:val="1F4E79"/>
          <w:sz w:val="32"/>
          <w:szCs w:val="32"/>
        </w:rPr>
        <w:t xml:space="preserve">1. Problem Restatement</w:t>
      </w:r>
    </w:p>
    <w:p>
      <w:pPr>
        <w:spacing w:after="100"/>
      </w:pPr>
      <w:r>
        <w:rPr>
          <w:rFonts w:ascii="Arial" w:cs="Arial" w:eastAsia="Arial" w:hAnsi="Arial"/>
          <w:sz w:val="22"/>
          <w:szCs w:val="22"/>
        </w:rPr>
        <w:t xml:space="preserve">We are building a momentum-based trading backtester using 10 years of daily OHLCV price data for S&amp;P 500 companies (~617,831 rows after cleaning). The strategy identifies stocks with the strongest 6-month price momentum each day, holds the top 20% as a long-only portfolio, and tracks the daily return of that portfolio over time. The analysis quantifies sector performance under bull and bear market regimes, computes the maximum portfolio drawdown, and calculates the annualised Sharpe ratio as a risk-adjusted performance measure. The final deliverable reports the best sector regime, worst drawdown event, and Sharpe ratio alongside a 3-sentence interpretation of what worked and what did not.</w:t>
      </w:r>
    </w:p>
    <w:p>
      <w:pPr>
        <w:pStyle w:val="Heading1"/>
        <w:spacing w:after="120" w:before="300"/>
      </w:pPr>
      <w:r>
        <w:rPr>
          <w:rFonts w:ascii="Arial" w:cs="Arial" w:eastAsia="Arial" w:hAnsi="Arial"/>
          <w:b/>
          <w:bCs/>
          <w:color w:val="1F4E79"/>
          <w:sz w:val="32"/>
          <w:szCs w:val="32"/>
        </w:rPr>
        <w:t xml:space="preserve">2. Proposed Solution Stack</w:t>
      </w:r>
    </w:p>
    <w:p>
      <w:pPr>
        <w:pStyle w:val="Heading2"/>
        <w:spacing w:after="80" w:before="220"/>
      </w:pPr>
      <w:r>
        <w:rPr>
          <w:rFonts w:ascii="Arial" w:cs="Arial" w:eastAsia="Arial" w:hAnsi="Arial"/>
          <w:b/>
          <w:bCs/>
          <w:color w:val="2E75B6"/>
          <w:sz w:val="26"/>
          <w:szCs w:val="26"/>
        </w:rPr>
        <w:t xml:space="preserve">2.1 Data Download &amp; Ingestion</w:t>
      </w:r>
    </w:p>
    <w:p>
      <w:pPr>
        <w:pStyle w:val="ListParagraph"/>
        <w:numPr>
          <w:ilvl w:val="0"/>
          <w:numId w:val="2"/>
        </w:numPr>
        <w:spacing w:after="80"/>
      </w:pPr>
      <w:r>
        <w:rPr>
          <w:rFonts w:ascii="Arial" w:cs="Arial" w:eastAsia="Arial" w:hAnsi="Arial"/>
          <w:sz w:val="22"/>
          <w:szCs w:val="22"/>
        </w:rPr>
        <w:t xml:space="preserve">Source: Kaggle dataset 'S&amp;P 500 Stocks (Daily Updated)' — two CSV files used: sp500_stocks.csv (daily OHLCV) and sp500_companies.csv (sector metadata).</w:t>
      </w:r>
    </w:p>
    <w:p>
      <w:pPr>
        <w:pStyle w:val="ListParagraph"/>
        <w:numPr>
          <w:ilvl w:val="0"/>
          <w:numId w:val="2"/>
        </w:numPr>
        <w:spacing w:after="80"/>
      </w:pPr>
      <w:r>
        <w:rPr>
          <w:rFonts w:ascii="Arial" w:cs="Arial" w:eastAsia="Arial" w:hAnsi="Arial"/>
          <w:sz w:val="22"/>
          <w:szCs w:val="22"/>
        </w:rPr>
        <w:t xml:space="preserve">Load both CSVs with pandas read_csv(). Standardise all column names to lowercase immediately with .str.lower(). Parse the date column with pd.to_datetime().</w:t>
      </w:r>
    </w:p>
    <w:p>
      <w:pPr>
        <w:pStyle w:val="ListParagraph"/>
        <w:numPr>
          <w:ilvl w:val="0"/>
          <w:numId w:val="2"/>
        </w:numPr>
        <w:spacing w:after="80"/>
      </w:pPr>
      <w:r>
        <w:rPr>
          <w:rFonts w:ascii="Arial" w:cs="Arial" w:eastAsia="Arial" w:hAnsi="Arial"/>
          <w:sz w:val="22"/>
          <w:szCs w:val="22"/>
        </w:rPr>
        <w:t xml:space="preserve">Merge the two files on 'symbol' to attach sector labels to each price row. Keep only: date, symbol, open, high, low, close, volume, sector.</w:t>
      </w:r>
    </w:p>
    <w:p>
      <w:pPr>
        <w:pStyle w:val="ListParagraph"/>
        <w:numPr>
          <w:ilvl w:val="0"/>
          <w:numId w:val="2"/>
        </w:numPr>
        <w:spacing w:after="80"/>
      </w:pPr>
      <w:r>
        <w:rPr>
          <w:rFonts w:ascii="Arial" w:cs="Arial" w:eastAsia="Arial" w:hAnsi="Arial"/>
          <w:sz w:val="22"/>
          <w:szCs w:val="22"/>
        </w:rPr>
        <w:t xml:space="preserve">Store raw files under data/raw/ — never modify originals.</w:t>
      </w:r>
    </w:p>
    <w:p>
      <w:pPr>
        <w:pStyle w:val="Heading2"/>
        <w:spacing w:after="80" w:before="220"/>
      </w:pPr>
      <w:r>
        <w:rPr>
          <w:rFonts w:ascii="Arial" w:cs="Arial" w:eastAsia="Arial" w:hAnsi="Arial"/>
          <w:b/>
          <w:bCs/>
          <w:color w:val="2E75B6"/>
          <w:sz w:val="26"/>
          <w:szCs w:val="26"/>
        </w:rPr>
        <w:t xml:space="preserve">2.2 Data Cleaning / Hygiene</w:t>
      </w:r>
    </w:p>
    <w:p>
      <w:pPr>
        <w:pStyle w:val="ListParagraph"/>
        <w:numPr>
          <w:ilvl w:val="0"/>
          <w:numId w:val="2"/>
        </w:numPr>
        <w:spacing w:after="80"/>
      </w:pPr>
      <w:r>
        <w:rPr>
          <w:rFonts w:ascii="Arial" w:cs="Arial" w:eastAsia="Arial" w:hAnsi="Arial"/>
          <w:sz w:val="22"/>
          <w:szCs w:val="22"/>
        </w:rPr>
        <w:t xml:space="preserve">Drop rows where date, symbol, close, or sector is null. Print row count before and after — documented in code comment.</w:t>
      </w:r>
    </w:p>
    <w:p>
      <w:pPr>
        <w:pStyle w:val="ListParagraph"/>
        <w:numPr>
          <w:ilvl w:val="0"/>
          <w:numId w:val="2"/>
        </w:numPr>
        <w:spacing w:after="80"/>
      </w:pPr>
      <w:r>
        <w:rPr>
          <w:rFonts w:ascii="Arial" w:cs="Arial" w:eastAsia="Arial" w:hAnsi="Arial"/>
          <w:sz w:val="22"/>
          <w:szCs w:val="22"/>
        </w:rPr>
        <w:t xml:space="preserve">Remove duplicate (date, symbol) pairs — keep first occurrence.</w:t>
      </w:r>
    </w:p>
    <w:p>
      <w:pPr>
        <w:pStyle w:val="ListParagraph"/>
        <w:numPr>
          <w:ilvl w:val="0"/>
          <w:numId w:val="2"/>
        </w:numPr>
        <w:spacing w:after="80"/>
      </w:pPr>
      <w:r>
        <w:rPr>
          <w:rFonts w:ascii="Arial" w:cs="Arial" w:eastAsia="Arial" w:hAnsi="Arial"/>
          <w:sz w:val="22"/>
          <w:szCs w:val="22"/>
        </w:rPr>
        <w:t xml:space="preserve">Sort by symbol then date to ensure correct time ordering before any rolling calculation.</w:t>
      </w:r>
    </w:p>
    <w:p>
      <w:pPr>
        <w:pStyle w:val="ListParagraph"/>
        <w:numPr>
          <w:ilvl w:val="0"/>
          <w:numId w:val="2"/>
        </w:numPr>
        <w:spacing w:after="80"/>
      </w:pPr>
      <w:r>
        <w:rPr>
          <w:rFonts w:ascii="Arial" w:cs="Arial" w:eastAsia="Arial" w:hAnsi="Arial"/>
          <w:sz w:val="22"/>
          <w:szCs w:val="22"/>
        </w:rPr>
        <w:t xml:space="preserve">Set adj_close = close (no split/dividend adjustment in this dataset version). Document the assumption.</w:t>
      </w:r>
    </w:p>
    <w:p>
      <w:pPr>
        <w:pStyle w:val="ListParagraph"/>
        <w:numPr>
          <w:ilvl w:val="0"/>
          <w:numId w:val="2"/>
        </w:numPr>
        <w:spacing w:after="80"/>
      </w:pPr>
      <w:r>
        <w:rPr>
          <w:rFonts w:ascii="Arial" w:cs="Arial" w:eastAsia="Arial" w:hAnsi="Arial"/>
          <w:sz w:val="22"/>
          <w:szCs w:val="22"/>
        </w:rPr>
        <w:t xml:space="preserve">Final cleaned dataset: 617,831 rows, 9 columns, zero nulls in key fields.</w:t>
      </w:r>
    </w:p>
    <w:p>
      <w:pPr>
        <w:pStyle w:val="Heading2"/>
        <w:spacing w:after="80" w:before="220"/>
      </w:pPr>
      <w:r>
        <w:rPr>
          <w:rFonts w:ascii="Arial" w:cs="Arial" w:eastAsia="Arial" w:hAnsi="Arial"/>
          <w:b/>
          <w:bCs/>
          <w:color w:val="2E75B6"/>
          <w:sz w:val="26"/>
          <w:szCs w:val="26"/>
        </w:rPr>
        <w:t xml:space="preserve">2.3 Analysis / Modelling</w:t>
      </w:r>
    </w:p>
    <w:p>
      <w:pPr>
        <w:pStyle w:val="ListParagraph"/>
        <w:numPr>
          <w:ilvl w:val="0"/>
          <w:numId w:val="2"/>
        </w:numPr>
        <w:spacing w:after="80"/>
      </w:pPr>
      <w:r>
        <w:rPr>
          <w:rFonts w:ascii="Arial" w:cs="Arial" w:eastAsia="Arial" w:hAnsi="Arial"/>
          <w:sz w:val="22"/>
          <w:szCs w:val="22"/>
        </w:rPr>
        <w:t xml:space="preserve">Daily returns: pct_change() grouped by symbol on adj_close.</w:t>
      </w:r>
    </w:p>
    <w:p>
      <w:pPr>
        <w:pStyle w:val="ListParagraph"/>
        <w:numPr>
          <w:ilvl w:val="0"/>
          <w:numId w:val="2"/>
        </w:numPr>
        <w:spacing w:after="80"/>
      </w:pPr>
      <w:r>
        <w:rPr>
          <w:rFonts w:ascii="Arial" w:cs="Arial" w:eastAsia="Arial" w:hAnsi="Arial"/>
          <w:sz w:val="22"/>
          <w:szCs w:val="22"/>
        </w:rPr>
        <w:t xml:space="preserve">Momentum signal: 126-day (approx. 6-month) percentage return per ticker, computed with pct_change(126) grouped by symbol.</w:t>
      </w:r>
    </w:p>
    <w:p>
      <w:pPr>
        <w:pStyle w:val="ListParagraph"/>
        <w:numPr>
          <w:ilvl w:val="0"/>
          <w:numId w:val="2"/>
        </w:numPr>
        <w:spacing w:after="80"/>
      </w:pPr>
      <w:r>
        <w:rPr>
          <w:rFonts w:ascii="Arial" w:cs="Arial" w:eastAsia="Arial" w:hAnsi="Arial"/>
          <w:sz w:val="22"/>
          <w:szCs w:val="22"/>
        </w:rPr>
        <w:t xml:space="preserve">Cross-sectional ranking: rank stocks by momentum within each date using rank(pct=True). Select top 20% (rank &gt;= 0.8) as the long portfolio.</w:t>
      </w:r>
    </w:p>
    <w:p>
      <w:pPr>
        <w:pStyle w:val="ListParagraph"/>
        <w:numPr>
          <w:ilvl w:val="0"/>
          <w:numId w:val="2"/>
        </w:numPr>
        <w:spacing w:after="80"/>
      </w:pPr>
      <w:r>
        <w:rPr>
          <w:rFonts w:ascii="Arial" w:cs="Arial" w:eastAsia="Arial" w:hAnsi="Arial"/>
          <w:sz w:val="22"/>
          <w:szCs w:val="22"/>
        </w:rPr>
        <w:t xml:space="preserve">Strategy daily return: mean of daily_return across all long-portfolio stocks on each date.</w:t>
      </w:r>
    </w:p>
    <w:p>
      <w:pPr>
        <w:pStyle w:val="ListParagraph"/>
        <w:numPr>
          <w:ilvl w:val="0"/>
          <w:numId w:val="2"/>
        </w:numPr>
        <w:spacing w:after="80"/>
      </w:pPr>
      <w:r>
        <w:rPr>
          <w:rFonts w:ascii="Arial" w:cs="Arial" w:eastAsia="Arial" w:hAnsi="Arial"/>
          <w:sz w:val="22"/>
          <w:szCs w:val="22"/>
        </w:rPr>
        <w:t xml:space="preserve">Market regime: 200-day rolling mean of the equal-weighted market return. Bull if &gt; 0, Bear if &lt;= 0.</w:t>
      </w:r>
    </w:p>
    <w:p>
      <w:pPr>
        <w:pStyle w:val="ListParagraph"/>
        <w:numPr>
          <w:ilvl w:val="0"/>
          <w:numId w:val="2"/>
        </w:numPr>
        <w:spacing w:after="80"/>
      </w:pPr>
      <w:r>
        <w:rPr>
          <w:rFonts w:ascii="Arial" w:cs="Arial" w:eastAsia="Arial" w:hAnsi="Arial"/>
          <w:sz w:val="22"/>
          <w:szCs w:val="22"/>
        </w:rPr>
        <w:t xml:space="preserve">Sector regime table: group top-20% stocks by sector and market regime, compute mean daily return per group. Identify best sector-regime combination.</w:t>
      </w:r>
    </w:p>
    <w:p>
      <w:pPr>
        <w:pStyle w:val="ListParagraph"/>
        <w:numPr>
          <w:ilvl w:val="0"/>
          <w:numId w:val="2"/>
        </w:numPr>
        <w:spacing w:after="80"/>
      </w:pPr>
      <w:r>
        <w:rPr>
          <w:rFonts w:ascii="Arial" w:cs="Arial" w:eastAsia="Arial" w:hAnsi="Arial"/>
          <w:sz w:val="22"/>
          <w:szCs w:val="22"/>
        </w:rPr>
        <w:t xml:space="preserve">Equity curve: cumulative product of (1 + strategy daily return).</w:t>
      </w:r>
    </w:p>
    <w:p>
      <w:pPr>
        <w:pStyle w:val="ListParagraph"/>
        <w:numPr>
          <w:ilvl w:val="0"/>
          <w:numId w:val="2"/>
        </w:numPr>
        <w:spacing w:after="80"/>
      </w:pPr>
      <w:r>
        <w:rPr>
          <w:rFonts w:ascii="Arial" w:cs="Arial" w:eastAsia="Arial" w:hAnsi="Arial"/>
          <w:sz w:val="22"/>
          <w:szCs w:val="22"/>
        </w:rPr>
        <w:t xml:space="preserve">Max drawdown: (equity / running_max - 1).min() — record the date it occurred.</w:t>
      </w:r>
    </w:p>
    <w:p>
      <w:pPr>
        <w:pStyle w:val="ListParagraph"/>
        <w:numPr>
          <w:ilvl w:val="0"/>
          <w:numId w:val="2"/>
        </w:numPr>
        <w:spacing w:after="80"/>
      </w:pPr>
      <w:r>
        <w:rPr>
          <w:rFonts w:ascii="Arial" w:cs="Arial" w:eastAsia="Arial" w:hAnsi="Arial"/>
          <w:sz w:val="22"/>
          <w:szCs w:val="22"/>
        </w:rPr>
        <w:t xml:space="preserve">Sharpe ratio: (mean daily return / std daily return) * sqrt(252), risk-free rate = 0.</w:t>
      </w:r>
    </w:p>
    <w:p>
      <w:pPr>
        <w:pStyle w:val="Heading2"/>
        <w:spacing w:after="80" w:before="220"/>
      </w:pPr>
      <w:r>
        <w:rPr>
          <w:rFonts w:ascii="Arial" w:cs="Arial" w:eastAsia="Arial" w:hAnsi="Arial"/>
          <w:b/>
          <w:bCs/>
          <w:color w:val="2E75B6"/>
          <w:sz w:val="26"/>
          <w:szCs w:val="26"/>
        </w:rPr>
        <w:t xml:space="preserve">2.4 Visualization</w:t>
      </w:r>
    </w:p>
    <w:p>
      <w:pPr>
        <w:pStyle w:val="ListParagraph"/>
        <w:numPr>
          <w:ilvl w:val="0"/>
          <w:numId w:val="2"/>
        </w:numPr>
        <w:spacing w:after="80"/>
      </w:pPr>
      <w:r>
        <w:rPr>
          <w:rFonts w:ascii="Arial" w:cs="Arial" w:eastAsia="Arial" w:hAnsi="Arial"/>
          <w:sz w:val="22"/>
          <w:szCs w:val="22"/>
        </w:rPr>
        <w:t xml:space="preserve">Drawdown chart (matplotlib): strategy drawdown series plotted as a crimson line over time, with grid lines. Shows the -25.10% trough on 2020-03-16 clearly.</w:t>
      </w:r>
    </w:p>
    <w:p>
      <w:pPr>
        <w:pStyle w:val="ListParagraph"/>
        <w:numPr>
          <w:ilvl w:val="0"/>
          <w:numId w:val="2"/>
        </w:numPr>
        <w:spacing w:after="80"/>
      </w:pPr>
      <w:r>
        <w:rPr>
          <w:rFonts w:ascii="Arial" w:cs="Arial" w:eastAsia="Arial" w:hAnsi="Arial"/>
          <w:sz w:val="22"/>
          <w:szCs w:val="22"/>
        </w:rPr>
        <w:t xml:space="preserve">(Optional extension) Equity curve line chart: cumulative portfolio value from start to end.</w:t>
      </w:r>
    </w:p>
    <w:p>
      <w:pPr>
        <w:pStyle w:val="ListParagraph"/>
        <w:numPr>
          <w:ilvl w:val="0"/>
          <w:numId w:val="2"/>
        </w:numPr>
        <w:spacing w:after="80"/>
      </w:pPr>
      <w:r>
        <w:rPr>
          <w:rFonts w:ascii="Arial" w:cs="Arial" w:eastAsia="Arial" w:hAnsi="Arial"/>
          <w:sz w:val="22"/>
          <w:szCs w:val="22"/>
        </w:rPr>
        <w:t xml:space="preserve">(Optional extension) Sector bar chart: mean daily return by sector-regime, sorted descending — highlights Technology (bull) as the best regime.</w:t>
      </w:r>
    </w:p>
    <w:p>
      <w:pPr>
        <w:pStyle w:val="Heading2"/>
        <w:spacing w:after="80" w:before="220"/>
      </w:pPr>
      <w:r>
        <w:rPr>
          <w:rFonts w:ascii="Arial" w:cs="Arial" w:eastAsia="Arial" w:hAnsi="Arial"/>
          <w:b/>
          <w:bCs/>
          <w:color w:val="2E75B6"/>
          <w:sz w:val="26"/>
          <w:szCs w:val="26"/>
        </w:rPr>
        <w:t xml:space="preserve">2.5 Reporting</w:t>
      </w:r>
    </w:p>
    <w:p>
      <w:pPr>
        <w:pStyle w:val="ListParagraph"/>
        <w:numPr>
          <w:ilvl w:val="0"/>
          <w:numId w:val="2"/>
        </w:numPr>
        <w:spacing w:after="80"/>
      </w:pPr>
      <w:r>
        <w:rPr>
          <w:rFonts w:ascii="Arial" w:cs="Arial" w:eastAsia="Arial" w:hAnsi="Arial"/>
          <w:sz w:val="22"/>
          <w:szCs w:val="22"/>
        </w:rPr>
        <w:t xml:space="preserve">Primary artifact: Jupyter Notebook (.ipynb) with code, outputs, and markdown narrative in one file.</w:t>
      </w:r>
    </w:p>
    <w:p>
      <w:pPr>
        <w:pStyle w:val="ListParagraph"/>
        <w:numPr>
          <w:ilvl w:val="0"/>
          <w:numId w:val="2"/>
        </w:numPr>
        <w:spacing w:after="80"/>
      </w:pPr>
      <w:r>
        <w:rPr>
          <w:rFonts w:ascii="Arial" w:cs="Arial" w:eastAsia="Arial" w:hAnsi="Arial"/>
          <w:sz w:val="22"/>
          <w:szCs w:val="22"/>
        </w:rPr>
        <w:t xml:space="preserve">Final printed report block inside the notebook: Best Sector, Max Drawdown (value + date), Sharpe Ratio, and 3-sentence interpretation.</w:t>
      </w:r>
    </w:p>
    <w:p>
      <w:pPr>
        <w:pStyle w:val="Heading1"/>
        <w:spacing w:after="120" w:before="300"/>
      </w:pPr>
      <w:r>
        <w:rPr>
          <w:rFonts w:ascii="Arial" w:cs="Arial" w:eastAsia="Arial" w:hAnsi="Arial"/>
          <w:b/>
          <w:bCs/>
          <w:color w:val="1F4E79"/>
          <w:sz w:val="32"/>
          <w:szCs w:val="32"/>
        </w:rPr>
        <w:t xml:space="preserve">3. Logic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760"/>
        <w:gridCol w:w="33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Transformation</w:t>
            </w:r>
          </w:p>
        </w:tc>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sp500_stocks.csv + sp500_companies.csv → merge on symbol → select 8 cols → parse dates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DataFrame in memory: 617,831 rows, 9 cols</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Cleaning</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Drop nulls in key cols, remove duplicate (date,symbol), sort by symbol+date, set adj_close=close</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Clean DataFrame: 617,831 rows, zero nulls, correct dtypes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 daily returns, 126d momentum, top-20% ranking, strategy returns, market regime, sector-regime table, equity curve, drawdown, Sharpe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sharpe=3.51, max_dd=-25.10% (2020-03-16), best_sector=Technology (bull)</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Visualization</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Plot drawdown chart (crimson line, grid)</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Drawdown chart embedded in notebook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strategy report block: best sector, drawdown, Sharpe + 3-sentence narrative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notebook ready for submission</w:t>
            </w:r>
          </w:p>
        </w:tc>
      </w:tr>
    </w:tbl>
    <w:p>
      <w:pPr>
        <w:pStyle w:val="Heading1"/>
        <w:spacing w:after="120" w:before="300"/>
      </w:pPr>
      <w:r>
        <w:rPr>
          <w:rFonts w:ascii="Arial" w:cs="Arial" w:eastAsia="Arial" w:hAnsi="Arial"/>
          <w:b/>
          <w:bCs/>
          <w:color w:val="1F4E79"/>
          <w:sz w:val="32"/>
          <w:szCs w:val="32"/>
        </w:rPr>
        <w:t xml:space="preserve">4. Workload Split (4 Developers)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60"/>
        <w:gridCol w:w="250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Developer</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Stages Owned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1 (Lead)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ingestion: load both CSVs, merge, select columns, parse dates, set up project folders, final notebook integration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1 + integration</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 2</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cleaning: drop nulls, remove duplicates, sort, set adj_close, print row counts, document every rule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Stage 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daily returns, momentum signal, ranking, strategy returns, market regime, sector table, drawdown, Sharpe ratio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3</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 4</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Visualization: drawdown chart, notebook assembly, report print block, 3-sentence narrative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Stage 4 + Stage 5</w:t>
            </w:r>
          </w:p>
        </w:tc>
      </w:tr>
    </w:tbl>
    <w:p>
      <w:pPr>
        <w:pStyle w:val="Heading1"/>
        <w:spacing w:after="120" w:before="300"/>
      </w:pPr>
      <w:r>
        <w:rPr>
          <w:rFonts w:ascii="Arial" w:cs="Arial" w:eastAsia="Arial" w:hAnsi="Arial"/>
          <w:b/>
          <w:bCs/>
          <w:color w:val="1F4E79"/>
          <w:sz w:val="32"/>
          <w:szCs w:val="32"/>
        </w:rPr>
        <w:t xml:space="preserve">5.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Look-ahead bias: momentum signal uses same-day close to rank and return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Shift portfolio weights by 1 day (.shift(1)) before computing returns — not yet applied, flagged as known limitation in report.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Survivorship bias: dataset may only contain companies currently in S&amp;P 500</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Noted as a limitation; de-listed companies between 2014–2024 may be missing, inflating returns slightly.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Sharpe ratio of 3.51 seems very high — possible data or calculation error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 by comparing to S&amp;P 500 buy-and-hold Sharpe (~0.5). Investigate whether pct=True ranking on sparse days inflates returns.</w:t>
            </w:r>
          </w:p>
        </w:tc>
      </w:tr>
    </w:tbl>
    <w:p>
      <w:pPr>
        <w:pStyle w:val="Heading1"/>
        <w:spacing w:after="120" w:before="300"/>
      </w:pPr>
      <w:r>
        <w:rPr>
          <w:rFonts w:ascii="Arial" w:cs="Arial" w:eastAsia="Arial" w:hAnsi="Arial"/>
          <w:b/>
          <w:bCs/>
          <w:color w:val="1F4E79"/>
          <w:sz w:val="32"/>
          <w:szCs w:val="32"/>
        </w:rPr>
        <w:t xml:space="preserve">6. Sign-Off</w:t>
      </w:r>
    </w:p>
    <w:p>
      <w:pPr>
        <w:spacing w:after="100"/>
      </w:pPr>
      <w:r>
        <w:rPr>
          <w:rFonts w:ascii="Arial" w:cs="Arial" w:eastAsia="Arial" w:hAnsi="Arial"/>
          <w:sz w:val="22"/>
          <w:szCs w:val="22"/>
        </w:rPr>
        <w:t xml:space="preserve">☐  All 4 team members reviewed and agree</w:t>
      </w:r>
    </w:p>
    <w:p>
      <w:pPr>
        <w:spacing w:after="100"/>
      </w:pPr>
      <w:r>
        <w:rPr>
          <w:rFonts w:ascii="Arial" w:cs="Arial" w:eastAsia="Arial" w:hAnsi="Arial"/>
          <w:sz w:val="22"/>
          <w:szCs w:val="22"/>
        </w:rPr>
        <w:t xml:space="preserve">☐  Mentor reviewed and approved</w:t>
      </w:r>
    </w:p>
    <w:p>
      <w:pPr>
        <w:spacing w:before="200"/>
      </w:pPr>
      <w:r>
        <w:rPr>
          <w:rFonts w:ascii="Arial" w:cs="Arial" w:eastAsia="Arial" w:hAnsi="Arial"/>
          <w:sz w:val="22"/>
          <w:szCs w:val="22"/>
        </w:rPr>
        <w:t xml:space="preserve">Mentor signature / date: ___________________________________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sz w:val="32"/>
      <w:szCs w:val="32"/>
    </w:rPr>
  </w:style>
  <w:style w:type="paragraph" w:styleId="Heading2">
    <w:name w:val="Heading 2"/>
    <w:basedOn w:val="Normal"/>
    <w:next w:val="Normal"/>
    <w:qFormat/>
    <w:pPr>
      <w:spacing w:after="80" w:before="2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2026-05-13T16:10:05.629Z</dcterms:created>
  <dcterms:modified xsi:type="dcterms:W3CDTF">2026-05-13T16:10:05.641Z</dcterms:modified>
</cp:coreProperties>
</file>

<file path=docProps/custom.xml><?xml version="1.0" encoding="utf-8"?>
<Properties xmlns="http://schemas.openxmlformats.org/officeDocument/2006/custom-properties" xmlns:vt="http://schemas.openxmlformats.org/officeDocument/2006/docPropsVTypes"/>
</file>