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Introduction (4,500-5,000 words | 16-18 pages)</w:t>
      </w:r>
    </w:p>
    <w:p>
      <w:pPr>
        <w:pStyle w:val="Heading2"/>
      </w:pPr>
      <w:r>
        <w:t>1.1. Background and Rationale</w:t>
      </w:r>
    </w:p>
    <w:p>
      <w:r>
        <w:rPr>
          <w:b/>
        </w:rPr>
        <w:t>The Demographic Imperative and the "Third Age"</w:t>
      </w:r>
    </w:p>
    <w:p>
      <w:r>
        <w:t xml:space="preserve">In the third decade of the 21st century, the world is undergoing a demographic transformation of unprecedented scale, a phenomenon the World Health Organization (WHO) and the United Nations have characterized as a "silver tsunami." According to the UN's </w:t>
      </w:r>
      <w:r>
        <w:rPr>
          <w:i/>
        </w:rPr>
        <w:t>World Population Prospects 2019</w:t>
      </w:r>
      <w:r>
        <w:t>, by 2050, one in six people globally will be over age 65 (65+), up from one in eleven in 2019. In Europe and Northern America, this figure is expected to rise to one in four. This aging of the global population is not merely a statistical curiosity; it represents a fundamental restructuring of society, economy, and culture. It necessitates a paradigm shift in how we conceptualize the "Third Age"—a term coined by Laslett (1991) to describe the era of active retirement, distinct from the dependence of the "Fourth Age."</w:t>
      </w:r>
    </w:p>
    <w:p>
      <w:r>
        <w:t>Within this shifting landscape, international policy frameworks such as the WHO's "Active Aging" (2002) and the EU's "Healthy Aging" initiatives emphasize that continued participation in social, economic, cultural, spiritual, and civic affairs is essential for maintaining quality of life. Education plays a pivotal role in this framework. The concept of "Lifelong Learning" has evolved from a policy catchphrase into a critical necessity for preserving cognitive health and social inclusion. However, historically, educational policy and resource allocation have been heavily skewed towards the "First Age" (childhood/adolescence) and "Second Age" (working adulthood), focusing on developmental milestones or workforce preparation. This systemic bias has left the educational needs of the Third Age largely unaddressed, creating a vacuum in specialized domains such as Second Language Acquisition (SLA).</w:t>
      </w:r>
    </w:p>
    <w:p>
      <w:r>
        <w:rPr>
          <w:b/>
        </w:rPr>
        <w:t>The Historical Exclusion of the Senior Learner in SLA</w:t>
      </w:r>
    </w:p>
    <w:p>
      <w:r>
        <w:t>The marginalization of the senior learner is not accidental but is deeply rooted in the historical trajectory of Applied Linguistics. Throughout the 20th century, the dominant paradigms of language acquisition focused almost exclusively on the younger learner. The behaviorist models of the 1950s and 60s (Skinner) viewed language as habit formation best instilled in malleable young minds. The subsequent cognitive revolution (Chomsky) shifted focus to innate language acquisition devices (LAD), which were theoretically presumed to atrophy post-puberty.</w:t>
      </w:r>
    </w:p>
    <w:p>
      <w:r>
        <w:t xml:space="preserve">This focus culminated in the "Critical Period Hypothesis" (CPH) (Lenneberg, 1967), which posited a biological window for optimal language acquisition, typically closing around puberty. While the "strong version" of the CPH has been largely debunked—adults </w:t>
      </w:r>
      <w:r>
        <w:rPr>
          <w:i/>
        </w:rPr>
        <w:t>can</w:t>
      </w:r>
      <w:r>
        <w:t xml:space="preserve"> and </w:t>
      </w:r>
      <w:r>
        <w:rPr>
          <w:i/>
        </w:rPr>
        <w:t>do</w:t>
      </w:r>
      <w:r>
        <w:t xml:space="preserve"> learn languages to high proficiency—its legacy has been a persistent "deficit model" of aging. Senior learners have traditionally been viewed through the lens of what they have </w:t>
      </w:r>
      <w:r>
        <w:rPr>
          <w:i/>
        </w:rPr>
        <w:t>lost</w:t>
      </w:r>
      <w:r>
        <w:t xml:space="preserve"> (plasticity, speed, auditory acuity) rather than what they have </w:t>
      </w:r>
      <w:r>
        <w:rPr>
          <w:i/>
        </w:rPr>
        <w:t>gained</w:t>
      </w:r>
      <w:r>
        <w:t xml:space="preserve"> (pragmatic competence, world knowledge, discipline). Consequently, pedagogical materials and teacher training programs have been designed with a "youth-normative" bias, failing to account for the distinct cognitive profile of the older adult.</w:t>
      </w:r>
    </w:p>
    <w:p>
      <w:r>
        <w:rPr>
          <w:b/>
        </w:rPr>
        <w:t>Cognitive Dissonance: Fluid vs. Crystallized Intelligence</w:t>
      </w:r>
    </w:p>
    <w:p>
      <w:r>
        <w:t>The core of this educational misalignment lies in the distinction between "fluid" and "crystallized" intelligence (Horn &amp; Cattell, 1967). Fluid intelligence ($G_f$) involves the ability to solve novel problems, use logic in new situations, and identify patterns—faculties that indeed tend to peak in early adulthood and decline with age. Much of modern Communicative Language Teaching (CLT)—with its emphasis on rapid-fire interaction, inductive grammar learning ("figuring out the rules"), and auditory discrimination—heavily taxes fluid intelligence.</w:t>
      </w:r>
    </w:p>
    <w:p>
      <w:r>
        <w:t>In contrast, "crystallized" intelligence ($G_c$)—the ability to use learned knowledge and experience—remains stable or even increases well into the seventh and eighth decades of life. Senior learners possess a vast reservoir of vocabulary, a deep understanding of grammatical metalanguage (from their own schooling), and sophisticated pragmatic strategies. Yet, they frequently encounter learning environments designed for younger cohorts that fail to leverage these assets. Instead of explicit, structured explanations that would tap into their crystallized strengths, they are often subjected to immersion-style environments that overload their declining working memory (Kacetl &amp; Klimova, 2021). This mismatch leads to anxiety, frustration, and fossilization, reinforcing the false narrative that seniors "cannot learn."</w:t>
      </w:r>
    </w:p>
    <w:p>
      <w:r>
        <w:rPr>
          <w:b/>
        </w:rPr>
        <w:t>The Role of English in Late-Life Enrichment</w:t>
      </w:r>
    </w:p>
    <w:p>
      <w:r>
        <w:t xml:space="preserve">For the modern senior citizen, learning English is no longer solely about professional advancement; it has become a gateway to global citizenship and digital inclusion. In an increasingly interconnected world, English serves as the global </w:t>
      </w:r>
      <w:r>
        <w:rPr>
          <w:i/>
        </w:rPr>
        <w:t>lingua franca</w:t>
      </w:r>
      <w:r>
        <w:t xml:space="preserve"> for travel, cross-border family communication (often with grandchildren in diaspora), and accessing the vast repository of information on the internet. Consequently, demand for English Language Teaching (ELT) among seniors is rising. Universities of the Third Age (U3A) and community centers report long waiting lists for language courses, challenging the stereotype of the "passive" retiree (Gabryś-Barker, 2018). Yet, despite this demand, the field of Applied Linguistics has been slow to pivot, leaving a "grey gap" in our understanding: we know surprisingly little about how the 60+ brain acquires a new linguistic system in a formal setting (Pfenninger &amp; Singleton, 2014).</w:t>
      </w:r>
    </w:p>
    <w:p>
      <w:r>
        <w:rPr>
          <w:b/>
        </w:rPr>
        <w:t>The Technological Pivot: From CALL to AI</w:t>
      </w:r>
    </w:p>
    <w:p>
      <w:r>
        <w:t>In addressing this gap, technology has long been proposed as a solution. Computer-Assisted Language Learning (CALL) has evolved significantly since the mainframe era. Early CALL (1970s-80s) was largely behaviorist, offering "drill and kill" exercises that were effective for rote memorization but lacked communicative value. Integrative CALL (1990s-2000s) introduced multimedia and social interaction, yet often relied on pre-scripted branching scenarios that could not handle the unpredictability of natural conversation.</w:t>
      </w:r>
    </w:p>
    <w:p>
      <w:r>
        <w:t>The recent emergence of Artificial Intelligence (AI), specifically Generative Pre-trained Transformers (GPT) and Large Language Models (LLMs), offers a unique affordance to resolve the paradox of senior learning. Unlike previous generations of "chatbots" which failed when a user deviated from the script, LLMs can generate coherent, contextually appropriate responses to infinite novel inputs. This capability allows for the creation of a "synthetic interlocutor" that can simulate the natural flow of conversation—including turn-taking, repair, and topic management—while maintaining infinite patience.</w:t>
      </w:r>
    </w:p>
    <w:p>
      <w:r>
        <w:t>This research posits that AI can serve as a compensatory mechanism for the cognitive changes associated with aging. By providing an environment that is low-anxiety, adaptively paced, and capable of explicit metalinguistic explanation, AI can unlock the latent language learning potential of the senior population that traditional classrooms have failed to tap. Therefore, this study is not merely a "tech trial"; it is a linguistically grounded investigation into the future of inclusive language education.</w:t>
      </w:r>
    </w:p>
    <w:p>
      <w:pPr>
        <w:pStyle w:val="Heading2"/>
      </w:pPr>
      <w:r>
        <w:t>1.2. The Problem: Senior Learners and English Language Learning</w:t>
      </w:r>
    </w:p>
    <w:p>
      <w:r>
        <w:t xml:space="preserve">The core problem addressing this thesis is the systemic misalignment between the learning needs of older adults and the current provisions of the language teaching landscape. This misalignment is multifaceted, spanning cognitive, affective, and institutional dimensions. It is not merely a matter of access; it is a fundamental issue of </w:t>
      </w:r>
      <w:r>
        <w:rPr>
          <w:i/>
        </w:rPr>
        <w:t>pedagogical fit</w:t>
      </w:r>
      <w:r>
        <w:t>. While the desire to learn remains high among many older adults—driven by post-retirement travel, family connections in a globalized world, or the desire for cognitive stimulation—the educational infrastructure to support them is critically underdeveloped.</w:t>
      </w:r>
    </w:p>
    <w:p>
      <w:pPr>
        <w:pStyle w:val="Heading3"/>
      </w:pPr>
      <w:r>
        <w:t>1.2.1. Declining Participation Rates: The "Pedagogical Divide"</w:t>
      </w:r>
    </w:p>
    <w:p>
      <w:r>
        <w:t>While the "Third Age" is theoretically a time of freedom and self-development, participation rates in formal language learning drop precipitously after age 50. In many European contexts, less than 5% of language students are over 60, despite this demographic representing 25% or more of the population (Eurostat, 2020). This decline is frequently attributed to a "digital divide"—the assumption that seniors lack the technical skills to engage with modern learning platforms. However, research suggests a more pervasive "pedagogical divide" is at play.</w:t>
      </w:r>
    </w:p>
    <w:p>
      <w:r>
        <w:t>Research indicates that older adults often perceive traditional classroom environments as intimidating or ill-suited to their needs (Kacetl &amp; Klimova, 2021). The fast-paced, communicative methodologies favored in modern ELT can exacerbate anxieties related to processing speed and auditory discrimination, which naturally decline with age. Seniors frequently report feeling "left behind" in mixed-age classrooms where younger students dominate the turn-taking floor. Furthermore, the content of standard ELT textbooks often features youth-centric topics—university life, pop culture, entry-level job interviews—that lack relevance and resonance for a retired demographic (Gabryś-Barker, 2018). This lack of "face validity" in materials contributes to high attrition rates, reinforcing the self-fulfilling prophecy that seniors are "too old to learn."</w:t>
      </w:r>
    </w:p>
    <w:p>
      <w:pPr>
        <w:pStyle w:val="Heading3"/>
      </w:pPr>
      <w:r>
        <w:t>1.2.2. The Aging Brain: Decline vs. Reorganization</w:t>
      </w:r>
    </w:p>
    <w:p>
      <w:r>
        <w:t>A central component of the problem is the prevailing "deficit model" of aging in education, which views the senior brain solely as a vessel of decline. While it is true that certain faculties—specifically processing speed, working memory capacity, and inhibitory control—tend to diminish with age, this view ignores the brain's remarkable capacity for compensation.</w:t>
      </w:r>
    </w:p>
    <w:p>
      <w:r>
        <w:rPr>
          <w:b/>
        </w:rPr>
        <w:t>Neuroplasticity and the HAROLD Model:</w:t>
      </w:r>
    </w:p>
    <w:p>
      <w:r>
        <w:t xml:space="preserve">Recent neuroscientific research challenges the notion of inevitable atrophy. The HAROLD model (Hemispheric Asymmetry Reduction in OLDer adults) posits that older brains compensate for neural decline by recruiting additional cortical areas. Whereas younger brains might use only the left hemisphere for a specific linguistic task, older brains often bilateralize, recruiting the right hemisphere to support performance (Cabeza, 2002). This suggests that language learning in later life is not impossible, but essentially </w:t>
      </w:r>
      <w:r>
        <w:rPr>
          <w:i/>
        </w:rPr>
        <w:t>different</w:t>
      </w:r>
      <w:r>
        <w:t xml:space="preserve"> in its neural implementation. It requires a pedagogy that allows time for this broader neural recruitment to occur—time that the rapid-fire "Ping-Pong" style of standard communicative classrooms does not afford.</w:t>
      </w:r>
    </w:p>
    <w:p>
      <w:pPr>
        <w:pStyle w:val="Heading3"/>
      </w:pPr>
      <w:r>
        <w:t>1.2.3. Cognitive, Psychological, and Social Benefits of Late-Life Language Learning</w:t>
      </w:r>
    </w:p>
    <w:p>
      <w:r>
        <w:t>The failure to engage seniors in language learning is a missed public health opportunity. A growing body of research suggests that bilingualism and the active process of language learning are powerful neuroprotective factors.</w:t>
      </w:r>
    </w:p>
    <w:p>
      <w:r>
        <w:rPr>
          <w:b/>
        </w:rPr>
        <w:t>The "Cognitive Reserve" Hypothesis:</w:t>
      </w:r>
    </w:p>
    <w:p>
      <w:r>
        <w:t xml:space="preserve">Neuroscientific evidence indicates that lifelong bilingualism contributes to "cognitive reserve"—the brain's ability to improvise and find alternative ways of getting a job done. This reserve has been shown to delay the onset of Alzheimer's and dementia symptoms by an average of 4-5 years compared to monolinguals (Antoniou &amp; Wong, 2013). Crucially, recent studies suggest that this benefit is not exclusive to lifelong bilinguals; even </w:t>
      </w:r>
      <w:r>
        <w:rPr>
          <w:i/>
        </w:rPr>
        <w:t>late-life</w:t>
      </w:r>
      <w:r>
        <w:t xml:space="preserve"> language acquisition can stimulate neuroplasticity. Fong et al. (2022) found that short-term vocabulary training in older adults increased connectivity in the left pars orbitalis, suggesting that the semantic network remains plastic well into the seventh decade of life.</w:t>
      </w:r>
    </w:p>
    <w:p>
      <w:r>
        <w:rPr>
          <w:b/>
        </w:rPr>
        <w:t>Psychosocial Well-being and Isolation:</w:t>
      </w:r>
    </w:p>
    <w:p>
      <w:r>
        <w:t>Beyond cognition, language learning addresses the epidemic of social isolation among the elderly. Loneliness is a significant predictor of mortality in older populations. Attending a class or engaging in a virtual community for language practice provides a "social infrastructure," combating isolation and fostering a sense of belonging (Ware et al., 2017). Mastery of a new skill also enhances self-efficacy, countering the depression and loss of agency often associated with retirement and aging (Pfenninger &amp; Kliesch, 2023).</w:t>
      </w:r>
    </w:p>
    <w:p>
      <w:pPr>
        <w:pStyle w:val="Heading3"/>
      </w:pPr>
      <w:r>
        <w:t>1.2.4. Gaps in Current Research on Older Adult Language Acquisition</w:t>
      </w:r>
    </w:p>
    <w:p>
      <w:r>
        <w:t>Despite the clear benefits, the field of SLA remains largely "age-blind" regarding the upper end of the lifespan. The "Critical Period Hypothesis" (CPH) has cast a long shadow, focusing research almost exclusively on the differences between children and young adults. This has left significant gaps in our knowledge about the "post-critical" period:</w:t>
      </w:r>
    </w:p>
    <w:p>
      <w:r>
        <w:rPr>
          <w:i/>
        </w:rPr>
        <w:t xml:space="preserve">   </w:t>
      </w:r>
      <w:r>
        <w:rPr>
          <w:i/>
        </w:rPr>
        <w:t>Interlanguage Restructuring:</w:t>
      </w:r>
      <w:r>
        <w:t>* We know little about how the highly entrenched L1 (First Language) system of a 65-year-old interacts with a new L2 (Second Language). Does the resistance to restructuring increase linearly with age, or are there qualitative differences in how seniors process syntax versus lexis?</w:t>
      </w:r>
    </w:p>
    <w:p>
      <w:r>
        <w:rPr>
          <w:i/>
        </w:rPr>
        <w:t xml:space="preserve">   </w:t>
      </w:r>
      <w:r>
        <w:rPr>
          <w:i/>
        </w:rPr>
        <w:t>Feedback Sensitivity:</w:t>
      </w:r>
      <w:r>
        <w:t>* Research on younger learners suggests that "recasts" (implicit correction) are effective. However, given the decline in working memory (fluid intelligence) in seniors, implicit feedback may be missed entirely. There is a lack of empirical data on whether seniors benefit more from explicit, metalinguistic explanations that leverage their crystallized intelligence (Kacetl &amp; Klimova, 2021).</w:t>
      </w:r>
    </w:p>
    <w:p>
      <w:r>
        <w:rPr>
          <w:i/>
        </w:rPr>
        <w:t xml:space="preserve">   </w:t>
      </w:r>
      <w:r>
        <w:rPr>
          <w:i/>
        </w:rPr>
        <w:t>The Affective Filter in Later Life:</w:t>
      </w:r>
      <w:r>
        <w:t>* While Krashen's (1982) Affective Filter Hypothesis is foundational, it has primarily been tested in adolescents (peer pressure) or migrants (survival anxiety). The anxiety of the senior learner—often rooted in a fear of cognitive decline or "losing face"—is phenomenologically distinct and under-researched.</w:t>
      </w:r>
    </w:p>
    <w:p>
      <w:r>
        <w:t>This thesis aims to fill these gaps by using AI not just as a teacher, but as a research instrument to capture the granular details of senior learner discourse that have previously remained invisible.</w:t>
      </w:r>
    </w:p>
    <w:p>
      <w:pPr>
        <w:pStyle w:val="Heading2"/>
      </w:pPr>
      <w:r>
        <w:t>1.3. The Potential of AI-Mediated Language Practice</w:t>
      </w:r>
    </w:p>
    <w:p>
      <w:r>
        <w:t xml:space="preserve">To address the multifaceted barriers of access, anxiety, and lack of specialized pedagogy identified above, this research turns to the rapidly evolving field of Artificial Intelligence (AI). However, the interest here is not in the technology </w:t>
      </w:r>
      <w:r>
        <w:rPr>
          <w:i/>
        </w:rPr>
        <w:t>per se</w:t>
      </w:r>
      <w:r>
        <w:t xml:space="preserve"> as a novelty, but in its potential as a specialized, adaptive instrument for both SLA research and pedagogical intervention. The shift from traditional Computer-Assisted Language Learning (CALL) to Intelligent CALL (ICALL) and now to Generative AI represents a paradigm shift in how we can support the "Third Age" learner.</w:t>
      </w:r>
    </w:p>
    <w:p>
      <w:pPr>
        <w:pStyle w:val="Heading3"/>
      </w:pPr>
      <w:r>
        <w:t>1.3.1. From "Drill and Kill" to Adaptive Conversation: The Evolution of CALL</w:t>
      </w:r>
    </w:p>
    <w:p>
      <w:r>
        <w:t>Historically, technology in language learning was defined by behaviorist principles—the "drill and kill" exercises of the 1980s and 90s. While effective for rote memorization of vocabulary, these systems lacked the communicative dimension essential for interactional competence. For senior learners, often seeking social connection and meaningful exchange (Ware et al., 2017), these rigid systems proved demotivating. The second wave of CALL introduced multimedia and "branching" scenarios, but these remained inherently deterministic; the machine could only respond to inputs it had been specifically programmed to recognize.</w:t>
      </w:r>
    </w:p>
    <w:p>
      <w:r>
        <w:t>The emergence of Large Language Models (LLMs) represents a radical departure from this scripted past. Unlike rule-based chatbots, generative AI can maintain coherent, context-aware dialogue over extended turns. This capability allows for the creation of a "synthetic interlocutor" that can simulate the natural flow of conversation—including turn-taking, repair, and topic management. For the senior learner, this flexibility is transformative. It allows for a move away from "correct/incorrect" binary testing toward "negotiation of meaning," which is widely recognized as the primary engine of language acquisition (Long, 1981).</w:t>
      </w:r>
    </w:p>
    <w:p>
      <w:pPr>
        <w:pStyle w:val="Heading3"/>
      </w:pPr>
      <w:r>
        <w:t>1.3.2. AI as a Pedagogical Scaffold for Senior Learners</w:t>
      </w:r>
    </w:p>
    <w:p>
      <w:r>
        <w:t>The theoretical potential of AI for this demographic lies in its ability to provide hyper-personalized scaffolding within the "Zone of Proximal Development" (Vygotsky, 1978). This scaffolding is operationalized through specific technical affordances that address age-related cognitive changes.</w:t>
      </w:r>
    </w:p>
    <w:p>
      <w:r>
        <w:rPr>
          <w:b/>
        </w:rPr>
        <w:t>Adaptive Input and Prosodic Control:</w:t>
      </w:r>
    </w:p>
    <w:p>
      <w:r>
        <w:t>One of the most significant barriers for senior learners is the speed of natural spoken English. Age-related decline in temporal processing makes it difficult to parse rapid speech, leading to cognitive overload. Modern AI systems utilizing advanced Text-to-Speech (TTS) allow for granular control over prosody. The system can be configured to provide "Comprehensible Input" (Krashen, 1982) not just by simplifying vocabulary (i+1), but by slightly slowing the speech rate and elongating pauses between thought groups. This "eternal patience" of the machine ensures that the learner is not overwhelmed, allowing the "Affective Filter" to remain low.</w:t>
      </w:r>
    </w:p>
    <w:p>
      <w:r>
        <w:rPr>
          <w:b/>
        </w:rPr>
        <w:t>STT and Error Tolerance:</w:t>
      </w:r>
    </w:p>
    <w:p>
      <w:r>
        <w:t>Similarly, Speech-to-Text (STT) technology has reached a level of sophistication where it can handle the non-native accents and hesitation phenomena typical of senior learners. Traditional voice recognition systems often failed if a user paused for too long or repeated a word, leading to learner frustration. Current generative systems can be "tuned" to have a higher tolerance for disfluency, allowing the senior learner to "find their words" without being interrupted or cut off. This creates a safe space for "Pushed Output" (Swain, 1985), where the learner is encouraged to attempt complex structures without the immediate fear of a technical or social breakdown.</w:t>
      </w:r>
    </w:p>
    <w:p>
      <w:pPr>
        <w:pStyle w:val="Heading3"/>
      </w:pPr>
      <w:r>
        <w:t>1.3.3. The Social Presence Paradox: Anthropomorphism and the Senior Learner</w:t>
      </w:r>
    </w:p>
    <w:p>
      <w:r>
        <w:t>A critical debate in the design of artificial intelligence for older adults centers on the intersection of "Social Presence" and "Anthropomorphism." Social Presence Theory, as conceptualized by Short, Williams, and Christie (1976), posits that the effectiveness of mediated communication is contingent upon the degree to which a user perceives the medium as being socially and psychologically present. In the context of language learning, this perception is vital for triggering the interactional mechanisms of acquisition—specifically the "negotiation of meaning" (Long, 1981; Chapelle, 2009).</w:t>
      </w:r>
    </w:p>
    <w:p>
      <w:r>
        <w:rPr>
          <w:b/>
        </w:rPr>
        <w:t>The Uncanny Valley and Age-Related Preferences</w:t>
      </w:r>
    </w:p>
    <w:p>
      <w:r>
        <w:t>Historically, designers have been cautioned against the "uncanny valley" effect—Mori’s (1970) hypothesis that human-like agents elicit feelings of repulsion when they appear nearly, but not perfectly, human. However, empirical evidence suggests that senior learners may be uniquely exempt from this phenomenon. Studies by Tu et al. (2019) and Sayis et al. (2020) demonstrated that older adults (aged 60–87) showed a consistent preference for highly anthropomorphic, human-like robots, irrespective of the agent's specific function. This suggests that for seniors, the benefits of human-like cues—such as perceived empathy and social support—outweigh the potential for eerie dissonance.</w:t>
      </w:r>
    </w:p>
    <w:p>
      <w:r>
        <w:rPr>
          <w:b/>
        </w:rPr>
        <w:t>Social Presence as an Engine for Acquisition</w:t>
      </w:r>
    </w:p>
    <w:p>
      <w:r>
        <w:t>If a learner does not perceive the AI as a social agent, they may fail to engage in the clarification requests and confirmation checks that characterize naturalistic discourse (Lombard &amp; Ditton, 1997). This thesis posits that for senior learners, the ideal AI interlocutor is one that provides the social cues of a supportive instructor—leveraging the learner's emotional needs for companionship—without the social risks associated with a human interlocutor. By establishing a robust sense of social presence, the AI creates a unique "low-stakes" interactional space. This environment is particularly conducive to lowering the "Ego-Protection" barriers identified in adult SLA research, thereby encouraging the linguistic risk-taking necessary for interlanguage restructuring.</w:t>
      </w:r>
    </w:p>
    <w:p>
      <w:pPr>
        <w:pStyle w:val="Heading3"/>
      </w:pPr>
      <w:r>
        <w:t>1.3.4. AI as a Research Instrument: Investigating SLA Processes at Scale</w:t>
      </w:r>
    </w:p>
    <w:p>
      <w:r>
        <w:t>Beyond its teaching potential, AI offers a solution to the "logistical bottleneck" of SLA research. Traditional longitudinal studies are limited by the high cost and complexity of recording and transcribing human-human interaction.</w:t>
      </w:r>
    </w:p>
    <w:p>
      <w:r>
        <w:t>An AI-mediated platform functions as a high-precision research instrument. It allows for:</w:t>
      </w:r>
    </w:p>
    <w:p>
      <w:r>
        <w:rPr>
          <w:i/>
        </w:rPr>
        <w:t xml:space="preserve">   </w:t>
      </w:r>
      <w:r>
        <w:rPr>
          <w:i/>
        </w:rPr>
        <w:t>High-Density Longitudinal Data:</w:t>
      </w:r>
      <w:r>
        <w:t>* The collection of frequent, consistent samples of oral production, enabling the observation of micro-genetic changes in interlanguage that are missed in weekly classroom observations.</w:t>
      </w:r>
    </w:p>
    <w:p>
      <w:r>
        <w:rPr>
          <w:i/>
        </w:rPr>
        <w:t xml:space="preserve">   </w:t>
      </w:r>
      <w:r>
        <w:rPr>
          <w:i/>
        </w:rPr>
        <w:t>Variable Control:</w:t>
      </w:r>
      <w:r>
        <w:t>* In human interaction, the interlocutor's style fluctuates. An AI can deliver consistent input prompts and feedback styles to all participants, allowing for rigorous testing of hypotheses like Schmidt's (1990) Noticing Hypothesis.</w:t>
      </w:r>
    </w:p>
    <w:p>
      <w:r>
        <w:rPr>
          <w:i/>
        </w:rPr>
        <w:t xml:space="preserve">   </w:t>
      </w:r>
      <w:r>
        <w:rPr>
          <w:i/>
        </w:rPr>
        <w:t>Granular CAF Analysis:</w:t>
      </w:r>
      <w:r>
        <w:t>* The automatic transcription and logging of every pause and hesitation allow for a precise measurement of Complexity, Accuracy, and Fluency (CAF). For senior learners, whose progress may be subtle, this sensitivity is vital for accurately assessing development (Housen &amp; Kuiken, 2009).</w:t>
      </w:r>
    </w:p>
    <w:p>
      <w:r>
        <w:t>By harnessing these capabilities, this thesis aims to move beyond general statements about the "benefits" of technology to provide specific linguistic evidence of how acquisition proceeds in the Third Age.</w:t>
      </w:r>
    </w:p>
    <w:p>
      <w:pPr>
        <w:pStyle w:val="Heading2"/>
      </w:pPr>
      <w:r>
        <w:t>1.4. Research Aims and Objectives</w:t>
      </w:r>
    </w:p>
    <w:p>
      <w:r>
        <w:t xml:space="preserve">The overarching aim of this doctoral thesis is to conduct a multi-dimensional investigation into the efficacy, linguistic dynamics, and socio-affective impact of AI-mediated English language practice for senior learners (aged 50+). This research moves beyond a binary evaluation of technology; instead, it seeks to deconstruct the granular </w:t>
      </w:r>
      <w:r>
        <w:rPr>
          <w:i/>
        </w:rPr>
        <w:t>process</w:t>
      </w:r>
      <w:r>
        <w:t xml:space="preserve"> of acquisition within a synthetic interactional space. The study is structured around four primary research objectives, each designed to address a critical gap in the current gerontolinguistics literature.</w:t>
      </w:r>
    </w:p>
    <w:p>
      <w:pPr>
        <w:pStyle w:val="Heading3"/>
      </w:pPr>
      <w:r>
        <w:t>1.4.1. Longitudinal Linguistic Development and the CAF Triad</w:t>
      </w:r>
    </w:p>
    <w:p>
      <w:r>
        <w:t>The primary empirical objective of this research is to track and quantify the linguistic trajectory of senior learners over a sustained eight-week intervention. To achieve this, the study adopts the Complexity, Accuracy, and Fluency (CAF) framework as defined by Housen and Kuiken (2009). The CAF triad has emerged as the gold standard in instructed Second Language Acquisition (SLA) research because it allows for the multidimensional measurement of learner performance, distinguishing between the richness of the language used, the adherence to target-language norms, and the efficiency of real-time speech production.</w:t>
      </w:r>
    </w:p>
    <w:p>
      <w:r>
        <w:t>The application of the CAF framework is particularly vital in the context of the "Subtlety Gap" identified in recent gerontolinguistics literature. Traditional proficiency assessments, such as global CEFR level descriptors, often fail to capture the incremental progress made by older adults, whose development may not manifest in rapid jumps between levels. Instead, as Pfenninger and Singleton (2014) suggest, progress in the "Third Age" is often found in the "micro-genetic" details of discourse. These include nuanced shifts in temporal fluency, such as a reduction in the mean length of pauses or a decrease in the frequency of mid-clause hesitations, which indicate a stabilization of the learner’s lexical retrieval processes. By utilizing the AI Teaching Assistant to generate high-fidelity transcripts, this study will systematically analyze specific metrics including the Mean Length of Utterance (MLU) for grammatical complexity and the ratio of error-free clauses for accuracy.</w:t>
      </w:r>
    </w:p>
    <w:p>
      <w:pPr>
        <w:pStyle w:val="Heading3"/>
      </w:pPr>
      <w:r>
        <w:t>1.4.2. Interactional Dynamics and Scaffolding Mechanisms</w:t>
      </w:r>
    </w:p>
    <w:p>
      <w:r>
        <w:t>A secondary objective is to deconstruct the interactional dynamics that emerge when a senior learner engages with a generative AI interlocutor. Grounded in Vygotsky’s (1978) Sociocultural Theory and Bruner’s (1960) concept of scaffolding, this objective focuses on how the AI provides "contingent support" to facilitate learning. We seek to understand how senior learners negotiate meaning when communication breakdowns occur—whether they employ the same clarification requests and confirmation checks as younger cohorts, or if their lifetime of pragmatic experience lead to distinct interactional patterns.</w:t>
      </w:r>
    </w:p>
    <w:p>
      <w:r>
        <w:t>This aim involves a granular discourse analysis of AI-learner transcripts to identify the "fading" of support—the moment where the learner takes on more linguistic responsibility as their autonomy increases. By analyzing the "Negotiation of Meaning Episodes" (NMEs), the study will determine if synthetic agents can truly replicate the social mediation necessary for acquisition. This objective is critical for evaluating whether AI can function not just as a repository of information, but as a genuine "more knowledgeable other" (MKO) capable of navigating the learner’s Zone of Proximal Development (ZPD).</w:t>
      </w:r>
    </w:p>
    <w:p>
      <w:pPr>
        <w:pStyle w:val="Heading3"/>
      </w:pPr>
      <w:r>
        <w:t>1.4.3. Testing Core SLA Hypotheses in a Synthetic Context</w:t>
      </w:r>
    </w:p>
    <w:p>
      <w:r>
        <w:t>A major theoretical objective is to determine if the "universal" conditions for acquisition remain valid in an AI-mediated environment. Specifically, the study will examine the "Noticing Hypothesis" (Schmidt, 1990) by tracking how learners incorporate corrective feedback into subsequent turns, a process known as uptake. It will also test the "Output Hypothesis" (Swain, 1985) by identifying "pushed output" episodes—moments where the AI prompts the learner to produce language that is more complex or accurate than their current baseline.</w:t>
      </w:r>
    </w:p>
    <w:p>
      <w:r>
        <w:t>Observing these mechanisms in a synthetic context allows for a level of variable control that is impossible in a traditional classroom. By programming the AI to deliver consistent types of feedback (e.g., explicit vs. implicit), the study can isolate the cognitive variables of acquisition more cleanly. This objective seeks to provide empirical evidence for whether the aging brain responds to interactional modifications in the same way as younger brains, contributing to a more comprehensive lifespan-theory of SLA.</w:t>
      </w:r>
    </w:p>
    <w:p>
      <w:pPr>
        <w:pStyle w:val="Heading3"/>
      </w:pPr>
      <w:r>
        <w:t>1.4.4. The Affective-Cognitive Interface in Later Life</w:t>
      </w:r>
    </w:p>
    <w:p>
      <w:r>
        <w:t>Recognizing that for seniors, emotion and cognition are inextricably linked, this study aims to correlate affective states—anxiety, motivation, and self-efficacy—with observed linguistic performance. By triangulating qualitative interview data with quantitative discourse markers, such as hesitation phenomena as a proxy for processing anxiety, the study seeks to build a model of how a "low-filter" environment (Krashen, 1982) specifically facilitates risk-taking in the aging brain.</w:t>
      </w:r>
    </w:p>
    <w:p>
      <w:r>
        <w:t>This aim addresses the "Confidence Bottleneck"—the observation that many seniors fail to progress not because they lack linguistic knowledge, but because they lack the willingness to communicate (WTC) in high-stakes or judgmental environments. By analyzing the learner's perception of the AI as a "non-judgmental" agent, we aim to demonstrate how the reduction of social risk leads to an increase in linguistic "stretch" and, ultimately, more robust acquisition.</w:t>
      </w:r>
    </w:p>
    <w:p>
      <w:pPr>
        <w:pStyle w:val="Heading2"/>
      </w:pPr>
      <w:r>
        <w:t>1.5. Research Questions</w:t>
      </w:r>
    </w:p>
    <w:p>
      <w:r>
        <w:t>To achieve these objectives, the research is structured around one central question and five specialized sub-questions, each requiring a distinct analytical approach.</w:t>
      </w:r>
    </w:p>
    <w:p>
      <w:pPr>
        <w:pStyle w:val="Heading3"/>
      </w:pPr>
      <w:r>
        <w:t>1.5.1. Main Research Question: The Efficacy of the AI Instrument</w:t>
      </w:r>
    </w:p>
    <w:p>
      <w:r>
        <w:rPr>
          <w:b/>
        </w:rPr>
        <w:t>RQ1: To what extent does regular, adaptive conversational practice with an AI Teaching Assistant influence the oral English proficiency of senior learners (50+) as measured by longitudinal changes in Complexity, Accuracy, and Fluency (CAF)?</w:t>
      </w:r>
    </w:p>
    <w:p>
      <w:r>
        <w:t>This question addresses the fundamental empirical gap in the field. While many language apps claim efficacy, there is a lack of longitudinal, peer-reviewed data on how these tools impact the specific linguistic output of older adults. By tracking participants over an eight-week period, the study will determine if gains in fluency (e.g., speech rate) come at the expense of accuracy, or if the adaptive nature of AI feedback allows for balanced growth across all dimensions of proficiency.</w:t>
      </w:r>
    </w:p>
    <w:p>
      <w:pPr>
        <w:pStyle w:val="Heading3"/>
      </w:pPr>
      <w:r>
        <w:t>1.5.2. Sub-question: The Interactional Process and Negotiation of Meaning</w:t>
      </w:r>
    </w:p>
    <w:p>
      <w:r>
        <w:rPr>
          <w:b/>
        </w:rPr>
        <w:t>RQ2: How do senior learners negotiate meaning with a generative AI interlocutor, and to what extent does this interaction facilitate the theoretical conditions of "Comprehensible Input" and "Pushed Output"?</w:t>
      </w:r>
    </w:p>
    <w:p>
      <w:r>
        <w:t xml:space="preserve">Grounded in Long’s (1981) Interaction Hypothesis, this question investigates the </w:t>
      </w:r>
      <w:r>
        <w:rPr>
          <w:i/>
        </w:rPr>
        <w:t>quality</w:t>
      </w:r>
      <w:r>
        <w:t xml:space="preserve"> of the synthetic conversation. It asks whether a machine can truly engage in the "negotiation of meaning" that is widely considered the engine of acquisition. We will analyze how seniors use the AI to resolve lexical or syntactic gaps, testing whether the AI can provide the "i+1" input (Krashen, 1982) necessary for development without causing cognitive overload.</w:t>
      </w:r>
    </w:p>
    <w:p>
      <w:pPr>
        <w:pStyle w:val="Heading3"/>
      </w:pPr>
      <w:r>
        <w:t>1.5.3. Sub-question: Feedback Mechanisms and the Noticing Mechanism</w:t>
      </w:r>
    </w:p>
    <w:p>
      <w:r>
        <w:rPr>
          <w:b/>
        </w:rPr>
        <w:t>RQ3: Which types of AI-generated corrective feedback (e.g., implicit recasts vs. explicit metalinguistic explanations) elicit the highest rates of learner uptake and immediate repair in senior learners?</w:t>
      </w:r>
    </w:p>
    <w:p>
      <w:r>
        <w:t>Older learners often show a preference for explicit rules over implicit absorption, leveraging their "crystallized" verbal intelligence. This question tests whether the AI’s ability to provide immediate, analytical feedback is more effective for seniors than the implicit methods favored in younger-learner classrooms. By tracking "Uptake Rates," we can determine which feedback styles successfully trigger the "Noticing" mechanism (Schmidt, 1990) in the aging brain.</w:t>
      </w:r>
    </w:p>
    <w:p>
      <w:pPr>
        <w:pStyle w:val="Heading3"/>
      </w:pPr>
      <w:r>
        <w:t>1.5.4. Sub-question: Interlanguage Development and Fossilization</w:t>
      </w:r>
    </w:p>
    <w:p>
      <w:r>
        <w:rPr>
          <w:b/>
        </w:rPr>
        <w:t>RQ4: Does the interlanguage development of senior learners follow the predictable developmental sequences described in SLA literature, or do age-related factors lead to distinct patterns of stabilization and fossilization?</w:t>
      </w:r>
    </w:p>
    <w:p>
      <w:r>
        <w:t>This is a purely linguistic question that explores whether the "rules" of interlanguage restructuring (Selinker, 1972) are age-invariant. We will specifically track the acquisition of "bottleneck" structures, such as English tense and aspect, to see if the highly entrenched L1 system of a 70-year-old creates unique developmental plateaus. This has significant implications for our understanding of the "Critical Period" and the limits of late-life acquisition.</w:t>
      </w:r>
    </w:p>
    <w:p>
      <w:pPr>
        <w:pStyle w:val="Heading3"/>
      </w:pPr>
      <w:r>
        <w:t>1.5.5. Sub-question: The Affective Filter and Willingness to Communicate</w:t>
      </w:r>
    </w:p>
    <w:p>
      <w:r>
        <w:rPr>
          <w:b/>
        </w:rPr>
        <w:t>RQ5: How do learners perceive the AI as a non-human interlocutor, and how does this perception influence their Foreign Language Anxiety (FLA) and Willingness to Communicate (WTC)?</w:t>
      </w:r>
    </w:p>
    <w:p>
      <w:r>
        <w:t>This question addresses the psychological dimension of acquisition. Drawing on MacIntyre et al.'s (1998) model of Willingness to Communicate, it investigates whether the machine's perceived lack of judgment allows seniors to overcome the "ego-protection" mechanisms that often inhibit adult language production. We will explore whether the AI becomes a "significant other" in the learning journey, fostering a high-engagement, low-anxiety environment.</w:t>
      </w:r>
    </w:p>
    <w:p>
      <w:pPr>
        <w:pStyle w:val="Heading3"/>
      </w:pPr>
      <w:r>
        <w:t>1.5.6. Methodological Synergy: The Mixed-Methods Rationale</w:t>
      </w:r>
    </w:p>
    <w:p>
      <w:r>
        <w:t xml:space="preserve">The complexity of these research questions necessitates a Sequential Explanatory Mixed-Methods design (Creswell, 2018). We argue that linguistic data (the </w:t>
      </w:r>
      <w:r>
        <w:rPr>
          <w:i/>
        </w:rPr>
        <w:t>what</w:t>
      </w:r>
      <w:r>
        <w:t xml:space="preserve">) cannot be fully understood without the learner's phenomenological experience (the </w:t>
      </w:r>
      <w:r>
        <w:rPr>
          <w:i/>
        </w:rPr>
        <w:t>why</w:t>
      </w:r>
      <w:r>
        <w:t>). For example, a decrease in speech rate might be interpreted as a decline in proficiency, but when triangulated with interview data, it may reveal an increase in "monitoring" or self-correction—a sign of developing accuracy. This study seeks a "Methodological Triangulation" where quantitative CAF metrics and qualitative discourse analysis converge to provide a holistic picture of the senior learning process.</w:t>
      </w:r>
    </w:p>
    <w:p>
      <w:pPr>
        <w:pStyle w:val="Heading2"/>
      </w:pPr>
      <w:r>
        <w:t>1.6. Contribution to Applied Linguistics</w:t>
      </w:r>
    </w:p>
    <w:p>
      <w:r>
        <w:t>This thesis provides a significant, original contribution to three distinct but overlapping academic domains, positioning itself at the forefront of the multidisciplinary intersection between linguistics, gerontology, and educational technology.</w:t>
      </w:r>
    </w:p>
    <w:p>
      <w:pPr>
        <w:pStyle w:val="Heading3"/>
      </w:pPr>
      <w:r>
        <w:t>1.6.1. Theoretical Contribution: Redefining Lifespan SLA</w:t>
      </w:r>
    </w:p>
    <w:p>
      <w:r>
        <w:t>The study makes a robust contribution to the long-standing debate surrounding the "Critical Period Hypothesis." By providing high-resolution longitudinal data on late-life acquisition, it challenges deterministic, biologically-driven views of age-related decline. Most current SLA theories are "age-blind," having been developed and tested on younger populations. This research extends the theoretical reach of models such as the Input and Interaction Hypotheses, testing their "breaking points" in a previously neglected demographic.</w:t>
      </w:r>
    </w:p>
    <w:p>
      <w:r>
        <w:t>Drawing on the work of Hyltenstam and Abrahamsson (2003) regarding maturational constraints, this thesis contributes to a more "Lifespan-Comprehensive" theory of acquisition. It introduces and defines the concept of "Gerontolinguistics" within the SLA mainstream—arguing that acquisition is not a single linear trajectory that terminates in adolescence, but a lifelong process that changes qualitatively in response to shifts in the cognitive-affective profile. By analyzing how seniors interact with synthetic agents, we can begin to differentiate between biological constraints and pedagogical failures in adult learning.</w:t>
      </w:r>
    </w:p>
    <w:p>
      <w:r>
        <w:t xml:space="preserve">Furthermore, the study provides a theoretical bridge between Cognitive Gerontology and Applied Linguistics. It explores how "Crystallized Intelligence" (Horn &amp; Cattell, 1967) can compensate for declines in fluid processing, thereby proposing a "Compensatory Model of Late-Life SLA." This model suggests that while the </w:t>
      </w:r>
      <w:r>
        <w:rPr>
          <w:i/>
        </w:rPr>
        <w:t>speed</w:t>
      </w:r>
      <w:r>
        <w:t xml:space="preserve"> of acquisition may decrease, the </w:t>
      </w:r>
      <w:r>
        <w:rPr>
          <w:i/>
        </w:rPr>
        <w:t>depth</w:t>
      </w:r>
      <w:r>
        <w:t xml:space="preserve"> of processing—facilitated by decades of L1 pragmatic experience—remains a powerful and under-utilized asset in the classroom.</w:t>
      </w:r>
    </w:p>
    <w:p>
      <w:pPr>
        <w:pStyle w:val="Heading3"/>
      </w:pPr>
      <w:r>
        <w:t>1.6.2. Methodological Contribution: Solving the Observer's Paradox</w:t>
      </w:r>
    </w:p>
    <w:p>
      <w:r>
        <w:t>Methodologically, this work pioneers the use of Large Language Models as "Naturalistic Lab Conditions." A major hurdle in traditional SLA research is the "Observer’s Paradox" (Labov, 1972)—the fact that people change their speech patterns when they know they are being recorded by a human researcher. This effect is often amplified in senior learners, who may feel a heightened sense of performance anxiety or fear of "losing face" in front of a high-status academic observer.</w:t>
      </w:r>
    </w:p>
    <w:p>
      <w:r>
        <w:t>By utilizing an AI Teaching Assistant as the primary data collection tool, this study captures naturalistic speech in a low-stakes, judgment-free environment. This methodological innovation allows for the collection of more authentic linguistic data, potentially yielding a truer representation of the learner's actual interlanguage state than traditional face-to-face interviews. The AI functions as a "constant variable," providing a standardized interlocutor for all participants, which eliminates the variability inherent in human-human interaction studies.</w:t>
      </w:r>
    </w:p>
    <w:p>
      <w:r>
        <w:t>Furthermore, the study establishes robust protocols for "Computational SLA." This includes the automated coding of interactional moves, the systematic extraction of CAF markers from high-fidelity AI transcripts, and the longitudinal tracking of "Can-Do" competencies through automated achievement logs. These protocols provide a blueprint for future researchers to bridge the gap between small-scale qualitative discourse analysis and quantitative big-data approaches, enabling large-scale linguistic investigations that were previously logistically impossible.</w:t>
      </w:r>
    </w:p>
    <w:p>
      <w:pPr>
        <w:pStyle w:val="Heading3"/>
      </w:pPr>
      <w:r>
        <w:t>1.6.3. Pedagogical Contribution: Establishing a Framework for Critical Geragogy</w:t>
      </w:r>
    </w:p>
    <w:p>
      <w:r>
        <w:t>Practically, the thesis provides evidence-based recommendations for the design of age-inclusive educational technology, contributing to the burgeoning field of "Critical Geragogy" (Findsen &amp; Formosa, 2011). We move beyond "senior-friendly" UI design (larger buttons, higher contrast) to address "Senior-Optimized Pedagogical Design." This includes establishing specific "Adaptive Pacing Protocols" that identify the optimal wait-times and turn-lengths required for older users to process and produce complex language.</w:t>
      </w:r>
    </w:p>
    <w:p>
      <w:r>
        <w:t>The study also introduces the "Crystallized Feedback Taxonomy," determining how to balance affective encouragement with the explicit, metalinguistic correction that senior learners often find most satisfying. Unlike younger learners who may benefit from implicit recasts, seniors often require a higher level of "noticing" support to overcome L1 entrenchment. By identifying the feedback styles that lead to the highest uptake in this demographic, this research informs the development of more effective pedagogical agents.</w:t>
      </w:r>
    </w:p>
    <w:p>
      <w:r>
        <w:t>Finally, we propose a "Thematic Resonance Framework" for senior-centric ELT content. By establishing how to leverage the vast world-knowledge and prior experiences of seniors, we can facilitate "Deep Processing" of new linguistic forms. This contribution addresses the motivation gap in ELT, showing that when content is cognitively and personally relevant, seniors demonstrate levels of engagement and persistence that far exceed the youth-normative expectations of the field.</w:t>
      </w:r>
    </w:p>
    <w:p>
      <w:pPr>
        <w:pStyle w:val="Heading3"/>
      </w:pPr>
      <w:r>
        <w:t>1.6.4. Socio-Policy Contribution: Digital Inclusion and Global Equity</w:t>
      </w:r>
    </w:p>
    <w:p>
      <w:r>
        <w:t xml:space="preserve">Finally, this research has profound implications for social policy and digital equity. In an era where "Digital-First" services are becoming the norm, seniors are at constant risk of being left behind. By demonstrating that seniors can not only use but </w:t>
      </w:r>
      <w:r>
        <w:rPr>
          <w:i/>
        </w:rPr>
        <w:t>master</w:t>
      </w:r>
      <w:r>
        <w:t xml:space="preserve"> a complex, AI-driven language tool, this study challenges the "Technical Incompetence" stereotype that often informs ageist policy-making. It provides a data-driven argument for the inclusion of language learning in "Active Aging" policies, framing it not just as a hobby, but as a critical tool for cognitive health and global social participation.</w:t>
      </w:r>
    </w:p>
    <w:p>
      <w:r>
        <w:t>The study contributes to the UNESCO "Lifelong Learning for All" agenda by providing a scalable model for inclusive, technology-mediated education. It demonstrates that AI can be a powerful tool for social inclusion, providing seniors with the linguistic keys to participate in global digital communities. This has significant implications for mental health and elderly welfare, as it provides a practical intervention against the epidemic of social isolation.</w:t>
      </w:r>
    </w:p>
    <w:p>
      <w:r>
        <w:t>By providing a rigorous empirical foundation for senior-optimized AI learning, this thesis aims to empower an aging population. It demonstrates that with the right tools, the door to a new language—and thus to a broader world—remains open throughout the entire lifespan, fulfilling the promise of a truly inclusive and equitable global society.</w:t>
      </w:r>
    </w:p>
    <w:p>
      <w:pPr>
        <w:pStyle w:val="Heading2"/>
      </w:pPr>
      <w:r>
        <w:t>1.7. Structure of the Thesis</w:t>
      </w:r>
    </w:p>
    <w:p>
      <w:r>
        <w:t>The remainder of this thesis is organized into four distinct parts, totaling sixteen chapters, designed to provide a comprehensive and logical progression from theoretical inquiry to empirical evidence and final synthesis.</w:t>
      </w:r>
    </w:p>
    <w:p>
      <w:r>
        <w:rPr>
          <w:b/>
        </w:rPr>
        <w:t>Part I: Theoretical Foundations and Context</w:t>
      </w:r>
      <w:r>
        <w:t xml:space="preserve"> (Chapters 2-5) establishes the multidisciplinary framework necessary to understand the senior language learner. Chapter 2 provides a critical review of the core Second Language Acquisition (SLA) theories that underpin the study, focusing specifically on the Input, Output, and Interaction Hypotheses and their historical neglect of the aging brain. Chapter 3 delves into the Cognitive Gerontology and Geragogy literature, analyzing the specific cognitive-affective profile of senior learners and justifying the need for compensatory pedagogical models. Chapter 4 introduces the linguistic focus on Corrective Feedback and Error Treatment, while Chapter 5 discusses Assessment frameworks, specifically the CAF triad and the CEFR "Can-Do" achievement system, establishing the metrics used to judge progress.</w:t>
      </w:r>
    </w:p>
    <w:p>
      <w:r>
        <w:rPr>
          <w:b/>
        </w:rPr>
        <w:t>Part II: Research Design and Methodology</w:t>
      </w:r>
      <w:r>
        <w:t xml:space="preserve"> (Chapters 6-7) details the mixed-methods approach adopted to capture the complexity of the learning process. Chapter 6 describes the Sequential Explanatory design, outlining the participant selection criteria, the recruitment process from adult education centers, and the rigorous ethical protocols implemented to protect senior participants. Chapter 7 provides a technical and pedagogical overview of the AI Teaching Assistant (the research instrument), explaining how the system’s architecture—specifically its use of Large Language Models, Text-to-Speech, and Speech-to-Text—was specifically designed to operationalize the theoretical SLA principles discussed in Part I.</w:t>
      </w:r>
    </w:p>
    <w:p>
      <w:r>
        <w:rPr>
          <w:b/>
        </w:rPr>
        <w:t>Part III: Findings - Linguistic Analysis</w:t>
      </w:r>
      <w:r>
        <w:t xml:space="preserve"> (Chapters 8-14) represents the empirical core of the thesis, where the theoretical hypotheses are tested against the longitudinal corpus data. This section moves from broad participant profiles (Chapter 8) to the quantitative analysis of proficiency gains (Chapter 9) using the CAF framework. Chapters 10 through 12 provide the granular qualitative analysis: Chapter 10 focuses on Discourse Patterns and the Negotiation of Meaning; Chapter 11 analyzes Feedback Uptake and the Noticing mechanism; and Chapter 12 tracks Interlanguage Development and Fossilization sequences. The section concludes by linking these linguistic markers to the "Can-Do" competency achievements (Chapter 13) and the qualitative reality of learner perceptions and affective shifts (Chapter 14), providing a holistic picture of the senior learning journey.</w:t>
      </w:r>
    </w:p>
    <w:p>
      <w:r>
        <w:rPr>
          <w:b/>
        </w:rPr>
        <w:t>Part IV: Discussion and Implications</w:t>
      </w:r>
      <w:r>
        <w:t xml:space="preserve"> (Chapters 15-16) synthesizes the data to answer the central research questions and propose a way forward for the field. Chapter 15 provides a comprehensive theoretical discussion, evaluating the empirical findings against the established SLA models and proposing a new integrated framework for "Gerontolinguistics." Finally, Chapter 16 offers practical recommendations for pedagogical practice, educational technology design, and global social policy regarding digital inclusion. It provides final reflections on the future of lifelong language learning in an AI-mediated world, emphasizing that acquisition remains a viable and rewarding pursuit throughout the entire lifespan.</w:t>
      </w:r>
    </w:p>
    <w:p>
      <w:r>
        <w:t>By integrating these diverse theoretical, methodological, and empirical components, the thesis aims to provide a holistic and rigorous investigation into the transformative potential of AI for the senior language learner, contributing to a more inclusive and technologically-aware Applied Linguistics.</w:t>
      </w:r>
    </w:p>
    <w:p>
      <w:r>
        <w:t>---</w:t>
      </w:r>
    </w:p>
    <w:p>
      <w:r>
        <w:t>## References</w:t>
      </w:r>
    </w:p>
    <w:p>
      <w:r>
        <w:t xml:space="preserve">Antoniou, M., Gunasekera, G. M., &amp; Wong, P. C. (2013). Foreign language training as cognitive therapy for age-related cognitive decline: A hypothesis for future research. </w:t>
      </w:r>
      <w:r>
        <w:rPr>
          <w:i/>
        </w:rPr>
        <w:t>Neuroscience &amp; Biobehavioral Reviews</w:t>
      </w:r>
      <w:r>
        <w:t>, 37(10), 2689-2698. https://doi.org/10.1016/j.neubiorev.2013.09.004</w:t>
      </w:r>
    </w:p>
    <w:p>
      <w:r>
        <w:t xml:space="preserve">Bosisio, N. (2019). Language Learning in the Third Age. </w:t>
      </w:r>
      <w:r>
        <w:rPr>
          <w:i/>
        </w:rPr>
        <w:t>Geopolitical, Social Security and Freedom Journal</w:t>
      </w:r>
      <w:r>
        <w:t>, 2(1), 54-66. https://doi.org/10.2478/gssfj-2019-0005</w:t>
      </w:r>
    </w:p>
    <w:p>
      <w:r>
        <w:t xml:space="preserve">Brouwer, J., van den Berg, F., Knooihuizen, R., Loerts, H., &amp; Keijzer, M. (2025). The effects of language learning on cognitive functioning and psychosocial well-being in cognitively healthy older adults: A semi-blind randomized controlled trial. </w:t>
      </w:r>
      <w:r>
        <w:rPr>
          <w:i/>
        </w:rPr>
        <w:t>Aging, Neuropsychology, and Cognition</w:t>
      </w:r>
      <w:r>
        <w:t>, 32(2), 270-306. https://doi.org/10.1080/13825585.2024.2343270</w:t>
      </w:r>
    </w:p>
    <w:p>
      <w:r>
        <w:t xml:space="preserve">Bruner, J. S. (1960). </w:t>
      </w:r>
      <w:r>
        <w:rPr>
          <w:i/>
        </w:rPr>
        <w:t>The Process of Education</w:t>
      </w:r>
      <w:r>
        <w:t>. Harvard University Press. ISBN: 978-0674710016.</w:t>
      </w:r>
    </w:p>
    <w:p>
      <w:r>
        <w:t xml:space="preserve">Cabeza, R. (2002). Hemispheric asymmetry reduction in older adults: The HAROLD model. </w:t>
      </w:r>
      <w:r>
        <w:rPr>
          <w:i/>
        </w:rPr>
        <w:t>Psychology and Aging</w:t>
      </w:r>
      <w:r>
        <w:t>, 17(1), 85-100. https://doi.org/10.1037/0882-7974.17.1.85</w:t>
      </w:r>
    </w:p>
    <w:p>
      <w:r>
        <w:t xml:space="preserve">Chapelle, C. A. (2009). The relationship between second language acquisition theory and computer‐assisted language learning. </w:t>
      </w:r>
      <w:r>
        <w:rPr>
          <w:i/>
        </w:rPr>
        <w:t>The Modern Language Journal</w:t>
      </w:r>
      <w:r>
        <w:t>, 93, 741-753. https://doi.org/10.1111/j.1540-4781.2009.00970.x</w:t>
      </w:r>
    </w:p>
    <w:p>
      <w:r>
        <w:t xml:space="preserve">Creswell, J. W., &amp; Creswell, J. D. (2018). </w:t>
      </w:r>
      <w:r>
        <w:rPr>
          <w:i/>
        </w:rPr>
        <w:t>Research Design: Qualitative, Quantitative, and Mixed Methods Approaches</w:t>
      </w:r>
      <w:r>
        <w:t xml:space="preserve"> (5th Ed.). SAGE Publications. ISBN: 978-1506386706.</w:t>
      </w:r>
    </w:p>
    <w:p>
      <w:r>
        <w:t xml:space="preserve">Eurostat. (2020). </w:t>
      </w:r>
      <w:r>
        <w:rPr>
          <w:i/>
        </w:rPr>
        <w:t>Ageing Europe: Looking at the lives of older people in the EU</w:t>
      </w:r>
      <w:r>
        <w:t>. Publications Office of the European Union.</w:t>
      </w:r>
    </w:p>
    <w:p>
      <w:r>
        <w:t xml:space="preserve">Findsen, B., &amp; Formosa, M. (2011). </w:t>
      </w:r>
      <w:r>
        <w:rPr>
          <w:i/>
        </w:rPr>
        <w:t>Lifelong Learning in Later Life: A Handbook on Older Adult Education</w:t>
      </w:r>
      <w:r>
        <w:t>. Sense Publishers. ISBN: 978-9460916496.</w:t>
      </w:r>
    </w:p>
    <w:p>
      <w:r>
        <w:t xml:space="preserve">Fong, M. C.-M., Ma, M. K.-H., Chui, J. Y. T., Law, T. S. T., Hui, N.-Y., Au, A., &amp; Wang, W. S. (2022). Foreign Language Learning in Older Adults: Anatomical and Cognitive Markers of Vocabulary Learning Success. </w:t>
      </w:r>
      <w:r>
        <w:rPr>
          <w:i/>
        </w:rPr>
        <w:t>Frontiers in Human Neuroscience</w:t>
      </w:r>
      <w:r>
        <w:t>, 16, 787413. https://doi.org/10.3389/fnhum.2022.787413</w:t>
      </w:r>
    </w:p>
    <w:p>
      <w:r>
        <w:t xml:space="preserve">Gabryś-Barker, D. (Ed.). (2018). </w:t>
      </w:r>
      <w:r>
        <w:rPr>
          <w:i/>
        </w:rPr>
        <w:t>Third Age Learners of Foreign Languages</w:t>
      </w:r>
      <w:r>
        <w:t>. Multilingual Matters. ISBN: 978-1783099405.</w:t>
      </w:r>
    </w:p>
    <w:p>
      <w:r>
        <w:t xml:space="preserve">Godwin-Jones, R. (2019). Riding the digital wilds: Learner autonomy and informal language learning. </w:t>
      </w:r>
      <w:r>
        <w:rPr>
          <w:i/>
        </w:rPr>
        <w:t>Language Learning &amp; Technology</w:t>
      </w:r>
      <w:r>
        <w:t>, 23(1), 1–18. https://scholarspace.manoa.hawaii.edu/handle/10125/44667</w:t>
      </w:r>
    </w:p>
    <w:p>
      <w:r>
        <w:t xml:space="preserve">Horn, J. L., &amp; Cattell, R. B. (1967). Refinement and test of the theory of fluid and crystallized general intelligences. </w:t>
      </w:r>
      <w:r>
        <w:rPr>
          <w:i/>
        </w:rPr>
        <w:t>Journal of Educational Psychology</w:t>
      </w:r>
      <w:r>
        <w:t>, 58(2), 107-129. https://doi.org/10.1037/h0024481</w:t>
      </w:r>
    </w:p>
    <w:p>
      <w:r>
        <w:t xml:space="preserve">Housen, A., &amp; Kuiken, F. (2009). Complexity, Accuracy, and Fluency in Second Language Acquisition. </w:t>
      </w:r>
      <w:r>
        <w:rPr>
          <w:i/>
        </w:rPr>
        <w:t>Applied Linguistics</w:t>
      </w:r>
      <w:r>
        <w:t>, 30(4), 461-473. https://doi.org/10.1093/applin/amp048</w:t>
      </w:r>
    </w:p>
    <w:p>
      <w:r>
        <w:t xml:space="preserve">Hyltenstam, K., &amp; Abrahamsson, N. (2003). Maturational constraints in SLA. In C. J. Doughty &amp; M. H. Long (Eds.), </w:t>
      </w:r>
      <w:r>
        <w:rPr>
          <w:i/>
        </w:rPr>
        <w:t>The Handbook of Second Language Acquisition</w:t>
      </w:r>
      <w:r>
        <w:t xml:space="preserve"> (pp. 539-588). Blackwell.</w:t>
      </w:r>
    </w:p>
    <w:p>
      <w:r>
        <w:t xml:space="preserve">Kacetl, J., &amp; Klimova, B. F. (2021). Third-Age Learners and Approaches to Language Teaching. </w:t>
      </w:r>
      <w:r>
        <w:rPr>
          <w:i/>
        </w:rPr>
        <w:t>Education Sciences</w:t>
      </w:r>
      <w:r>
        <w:t>, 11(7), 310. https://www.mdpi.com/2227-7102/11/7/310</w:t>
      </w:r>
    </w:p>
    <w:p>
      <w:r>
        <w:t xml:space="preserve">Krashen, S. D. (1982). </w:t>
      </w:r>
      <w:r>
        <w:rPr>
          <w:i/>
        </w:rPr>
        <w:t>Principles and Practice in Second Language Acquisition</w:t>
      </w:r>
      <w:r>
        <w:t>. Pergamon Press. ISBN: 978-0080286280.</w:t>
      </w:r>
    </w:p>
    <w:p>
      <w:r>
        <w:t xml:space="preserve">Labov, W. (1972). </w:t>
      </w:r>
      <w:r>
        <w:rPr>
          <w:i/>
        </w:rPr>
        <w:t>Sociolinguistic Patterns</w:t>
      </w:r>
      <w:r>
        <w:t>. University of Pennsylvania Press. ISBN: 978-0812210521.</w:t>
      </w:r>
    </w:p>
    <w:p>
      <w:r>
        <w:t xml:space="preserve">Laslett, P. (1991). </w:t>
      </w:r>
      <w:r>
        <w:rPr>
          <w:i/>
        </w:rPr>
        <w:t>A Fresh Map of Life: The Emergence of the Third Age</w:t>
      </w:r>
      <w:r>
        <w:t>. Harvard University Press. ISBN: 978-0674323155.</w:t>
      </w:r>
    </w:p>
    <w:p>
      <w:r>
        <w:t xml:space="preserve">Lenneberg, E. H. (1967). </w:t>
      </w:r>
      <w:r>
        <w:rPr>
          <w:i/>
        </w:rPr>
        <w:t>Biological Foundations of Language</w:t>
      </w:r>
      <w:r>
        <w:t>. Wiley. ISBN: 978-0471526124.</w:t>
      </w:r>
    </w:p>
    <w:p>
      <w:r>
        <w:t xml:space="preserve">Lombard, M., &amp; Ditton, T. (1997). At the heart of it all: The concept of presence. </w:t>
      </w:r>
      <w:r>
        <w:rPr>
          <w:i/>
        </w:rPr>
        <w:t>Journal of Computer-Mediated Communication</w:t>
      </w:r>
      <w:r>
        <w:t>, 3(2). https://doi.org/10.1111/j.1083-6101.1997.tb00072.x</w:t>
      </w:r>
    </w:p>
    <w:p>
      <w:r>
        <w:t xml:space="preserve">Long, M. H. (1981). Input, interaction, and second-language acquisition. </w:t>
      </w:r>
      <w:r>
        <w:rPr>
          <w:i/>
        </w:rPr>
        <w:t>Annals of the New York Academy of Sciences</w:t>
      </w:r>
      <w:r>
        <w:t>, 379(1), 259-278. https://doi.org/10.1111/j.1749-6632.1981.tb41997.x</w:t>
      </w:r>
    </w:p>
    <w:p>
      <w:r>
        <w:t xml:space="preserve">Lyster, R., &amp; Ranta, L. (1997). Corrective feedback and learner uptake: Negotiation of form in communicative classrooms. </w:t>
      </w:r>
      <w:r>
        <w:rPr>
          <w:i/>
        </w:rPr>
        <w:t>Studies in Second Language Acquisition</w:t>
      </w:r>
      <w:r>
        <w:t>, 19(1), 37-66. https://doi.org/10.1017/S027226319700103X</w:t>
      </w:r>
    </w:p>
    <w:p>
      <w:r>
        <w:t xml:space="preserve">MacIntyre, P. D., Clément, R., Dörnyei, Z., &amp; Noels, K. A. (1998). Conceptualizing Willingness to Communicate in a L2: A Situational Model of L2 Confidence and Affiliation. </w:t>
      </w:r>
      <w:r>
        <w:rPr>
          <w:i/>
        </w:rPr>
        <w:t>The Modern Language Journal</w:t>
      </w:r>
      <w:r>
        <w:t>, 82(4), 545-562. https://doi.org/10.1111/j.1540-4781.1998.tb05243.x</w:t>
      </w:r>
    </w:p>
    <w:p>
      <w:r>
        <w:t xml:space="preserve">Mori, M. (1970). The uncanny valley. </w:t>
      </w:r>
      <w:r>
        <w:rPr>
          <w:i/>
        </w:rPr>
        <w:t>Energy</w:t>
      </w:r>
      <w:r>
        <w:t>, 7(4), 33–35.</w:t>
      </w:r>
    </w:p>
    <w:p>
      <w:r>
        <w:t xml:space="preserve">Pfenninger, S. E., &amp; Kliesch, C. (2023). Variability as a functional marker of second language development in older adult learners. </w:t>
      </w:r>
      <w:r>
        <w:rPr>
          <w:i/>
        </w:rPr>
        <w:t>Studies in Second Language Acquisition</w:t>
      </w:r>
      <w:r>
        <w:t>, 45(4), 1004-1030. https://www.cambridge.org/core/journals/studies-in-second-language-acquisition/article/variability-as-a-functional-marker-of-second-language-development-in-older-adult-learners/EF3296298D384DCE510955772B98BB3C</w:t>
      </w:r>
    </w:p>
    <w:p>
      <w:r>
        <w:t xml:space="preserve">Pfenninger, S. E., &amp; Singleton, D. (2014). </w:t>
      </w:r>
      <w:r>
        <w:rPr>
          <w:i/>
        </w:rPr>
        <w:t>The Effect of Age on Second Language Acquisition in Older Adults</w:t>
      </w:r>
      <w:r>
        <w:t>. BYU ScholarsArchive. https://scholarsarchive.byu.edu/etd/4014/</w:t>
      </w:r>
    </w:p>
    <w:p>
      <w:r>
        <w:t xml:space="preserve">Sayis, B., et al. (2020). Age-related differences in uncanny valley. </w:t>
      </w:r>
      <w:r>
        <w:rPr>
          <w:i/>
        </w:rPr>
        <w:t>International Journal of Social Robotics</w:t>
      </w:r>
      <w:r>
        <w:t>, 12, 1145–1156. https://doi.org/10.1007/s12369-020-00623-4</w:t>
      </w:r>
    </w:p>
    <w:p>
      <w:r>
        <w:t xml:space="preserve">Schmidt, R. (1990). The role of consciousness in second language learning. </w:t>
      </w:r>
      <w:r>
        <w:rPr>
          <w:i/>
        </w:rPr>
        <w:t>Applied Linguistics</w:t>
      </w:r>
      <w:r>
        <w:t>, 11(2), 129-158. https://doi.org/10.1093/applin/11.2.129</w:t>
      </w:r>
    </w:p>
    <w:p>
      <w:r>
        <w:t xml:space="preserve">Selinker, L. (1972). Interlanguage. </w:t>
      </w:r>
      <w:r>
        <w:rPr>
          <w:i/>
        </w:rPr>
        <w:t>International Review of Applied Linguistics in Language Teaching</w:t>
      </w:r>
      <w:r>
        <w:t>, 10(1-4), 209-232. https://doi.org/10.1515/iral.1972.10.1-4.209</w:t>
      </w:r>
    </w:p>
    <w:p>
      <w:r>
        <w:t xml:space="preserve">Short, J., Williams, E., &amp; Christie, B. (1976). </w:t>
      </w:r>
      <w:r>
        <w:rPr>
          <w:i/>
        </w:rPr>
        <w:t>The Social Psychology of Telecommunications</w:t>
      </w:r>
      <w:r>
        <w:t>. Wiley. ISBN: 978-0471015819.</w:t>
      </w:r>
    </w:p>
    <w:p>
      <w:r>
        <w:t xml:space="preserve">Swain, M. (1985). Communicative competence: Some roles of comprehensible input and comprehensible output in its development. In S. Gass &amp; C. Madden (Eds.), </w:t>
      </w:r>
      <w:r>
        <w:rPr>
          <w:i/>
        </w:rPr>
        <w:t>Input in Second Language Acquisition</w:t>
      </w:r>
      <w:r>
        <w:t xml:space="preserve"> (pp. 235-253). Newbury House. ISBN: 978-0883773536.</w:t>
      </w:r>
    </w:p>
    <w:p>
      <w:r>
        <w:t xml:space="preserve">Tu, Y. C., et al. (2019). Older adults’ perception of human-like robots. </w:t>
      </w:r>
      <w:r>
        <w:rPr>
          <w:i/>
        </w:rPr>
        <w:t>International Journal of Social Robotics</w:t>
      </w:r>
      <w:r>
        <w:t>, 11, 211–221. https://doi.org/10.1007/s12369-018-0501-4</w:t>
      </w:r>
    </w:p>
    <w:p>
      <w:r>
        <w:t xml:space="preserve">United Nations. (2019). </w:t>
      </w:r>
      <w:r>
        <w:rPr>
          <w:i/>
        </w:rPr>
        <w:t>World Population Prospects 2019</w:t>
      </w:r>
      <w:r>
        <w:t>. Department of Economic and Social Affairs.</w:t>
      </w:r>
    </w:p>
    <w:p>
      <w:r>
        <w:t xml:space="preserve">van der Ploeg, M., Keijzer, M., &amp; Lowie, W. (2023). The effects of language teaching pedagogy on cognitive functioning in older adults: A pilot study. </w:t>
      </w:r>
      <w:r>
        <w:rPr>
          <w:i/>
        </w:rPr>
        <w:t>Behavioral Sciences</w:t>
      </w:r>
      <w:r>
        <w:t>, 13(3), 199. https://www.mdpi.com/2076-328X/13/3/199</w:t>
      </w:r>
    </w:p>
    <w:p>
      <w:r>
        <w:t xml:space="preserve">Vygotsky, L. S. (1978). </w:t>
      </w:r>
      <w:r>
        <w:rPr>
          <w:i/>
        </w:rPr>
        <w:t>Mind in Society: The Development of Higher Psychological Processes</w:t>
      </w:r>
      <w:r>
        <w:t>. Harvard University Press. ISBN: 978-0674576292.</w:t>
      </w:r>
    </w:p>
    <w:p>
      <w:r>
        <w:t xml:space="preserve">Ware, C., et al. (2017). Maintaining cognitive functioning in healthy seniors with a technology-based foreign language program: A pilot feasibility study. </w:t>
      </w:r>
      <w:r>
        <w:rPr>
          <w:i/>
        </w:rPr>
        <w:t>Frontiers in Aging Neuroscience</w:t>
      </w:r>
      <w:r>
        <w:t>, 9, 42. https://doi.org/10.3389/fnagi.2017.00042</w:t>
      </w:r>
    </w:p>
    <w:p>
      <w:r>
        <w:t xml:space="preserve">World Health Organization. (2002). </w:t>
      </w:r>
      <w:r>
        <w:rPr>
          <w:i/>
        </w:rPr>
        <w:t>Active Ageing: A Policy Framework</w:t>
      </w:r>
      <w:r>
        <w:t>.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