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44"/>
        </w:rPr>
        <w:t>Iris – Literatür Taraması (Kaynak Listesi)</w:t>
      </w:r>
    </w:p>
    <w:p>
      <w:pPr>
        <w:spacing w:after="120"/>
        <w:jc w:val="center"/>
      </w:pPr>
      <w:r>
        <w:rPr>
          <w:rFonts w:ascii="Calibri" w:hAnsi="Calibri"/>
          <w:b w:val="0"/>
          <w:sz w:val="26"/>
        </w:rPr>
        <w:t>Banka Müşteri Kaybı Erken Uyarı Sistemi — TÜBİTAK 2209-A / Bitirme Projesi</w:t>
      </w:r>
    </w:p>
    <w:p>
      <w:pPr>
        <w:spacing w:after="6000"/>
        <w:jc w:val="center"/>
      </w:pPr>
      <w:r>
        <w:rPr>
          <w:rFonts w:ascii="Calibri" w:hAnsi="Calibri"/>
          <w:b w:val="0"/>
          <w:sz w:val="22"/>
        </w:rPr>
        <w:t>2 Ekim 2026</w:t>
      </w:r>
    </w:p>
    <w:p>
      <w:pPr>
        <w:pStyle w:val="Heading1"/>
        <w:spacing w:before="360" w:after="160"/>
      </w:pPr>
      <w:r>
        <w:rPr>
          <w:rFonts w:ascii="Calibri" w:hAnsi="Calibri"/>
        </w:rPr>
        <w:t>1. Kısa Yöntem</w:t>
      </w:r>
    </w:p>
    <w:p>
      <w:pPr>
        <w:spacing w:after="160" w:line="276" w:lineRule="auto"/>
      </w:pPr>
      <w:r>
        <w:rPr>
          <w:rFonts w:ascii="Calibri" w:hAnsi="Calibri"/>
          <w:i w:val="0"/>
          <w:sz w:val="22"/>
        </w:rPr>
        <w:t>Bu tarama, mevcut 21 kaynaklık listeden bağımsız olarak, sıfırdan yürütülmüş bir web taramasıdır; önceki listedeki kaynaklar yalnızca bağımsız biçimde yeniden doğrulanıp eklenmiştir. Tarama Google üzerinden genel web araması ve yayıncı sitelerinin (MDPI, ScienceDirect, Wiley, ACM, IEEE, Taylor &amp; Francis, SSRN, arXiv, ResearchGate, Semantic Scholar, dblp, Crossref) doğrudan taranmasıyla yapılmıştır.</w:t>
      </w:r>
    </w:p>
    <w:p>
      <w:pPr>
        <w:spacing w:after="160" w:line="276" w:lineRule="auto"/>
      </w:pPr>
      <w:r>
        <w:rPr>
          <w:rFonts w:ascii="Calibri" w:hAnsi="Calibri"/>
          <w:i w:val="0"/>
          <w:sz w:val="22"/>
        </w:rPr>
        <w:t>Kullanılan anahtar kelime grupları: “bank customer churn prediction machine learning”, “Churn_Modelling dataset benchmark”, “SMOTE SMOTE-NC class imbalance calibration”, “SHAP TreeExplainer credit churn”, “McNemar test Holm correction multiple comparison”, “cost-sensitive learning threshold F-beta”, “probability calibration Platt isotonic Brier SMOTE”, “churn dashboard decision support early warning”, “fairness confounding credit scoring proxy”.</w:t>
      </w:r>
    </w:p>
    <w:p>
      <w:pPr>
        <w:spacing w:after="160" w:line="276" w:lineRule="auto"/>
      </w:pPr>
      <w:r>
        <w:rPr>
          <w:rFonts w:ascii="Calibri" w:hAnsi="Calibri"/>
          <w:i w:val="0"/>
          <w:sz w:val="22"/>
        </w:rPr>
        <w:t>Dahil etme ölçütleri: (a) hakemli dergi veya önemli bir konferansta yayımlanmış olmak, ya da (b) klasik/çok atıflı bir yöntem makalesi/kitabı olmak, ya da (c) güncel ve doğrudan ilgili bir arXiv ön-baskısı olmak; her durumda başlık, yazar(lar), yıl, venue ve DOI/URL ikinci bir bağımsız aramayla teyit edilmiştir. Yalnızca arama motoru özetine dayanan, birincil kaynaktan teyit edilemeyen hiçbir iddia doğrudan alıntılanmamış; şüpheli noktalar ilgili kaynağın “Not” alanında işaretlenmiştir. Düşük prestijli/yüksek kabul politikalı dergiler (ör. IJRASET) ayrı bir bölümde gerekçesiyle dışlanmıştır.</w:t>
      </w:r>
    </w:p>
    <w:p>
      <w:pPr>
        <w:pStyle w:val="Heading1"/>
        <w:spacing w:before="360" w:after="160"/>
      </w:pPr>
      <w:r>
        <w:rPr>
          <w:rFonts w:ascii="Calibri" w:hAnsi="Calibri"/>
        </w:rPr>
        <w:t>2. Konu Başlıklarına Göre Kaynaklar</w:t>
      </w:r>
    </w:p>
    <w:p>
      <w:pPr>
        <w:pStyle w:val="Heading2"/>
        <w:spacing w:before="280" w:after="120"/>
      </w:pPr>
      <w:r>
        <w:rPr>
          <w:rFonts w:ascii="Calibri" w:hAnsi="Calibri"/>
        </w:rPr>
        <w:t>1. Banka müşteri kaybı tahmini ve makine öğrenmesi (benchmark çalışmalar)</w:t>
      </w:r>
    </w:p>
    <w:p>
      <w:pPr>
        <w:spacing w:after="40"/>
        <w:ind w:left="709" w:hanging="709"/>
      </w:pPr>
      <w:r>
        <w:rPr>
          <w:rFonts w:ascii="Calibri" w:hAnsi="Calibri"/>
          <w:b/>
          <w:sz w:val="22"/>
        </w:rPr>
        <w:t>Tékouabou, S. C. K., Gherghina, Ș. C., Toulni, H., Mata, P. N., &amp; Martins, J. M. (2022). Towards explainable machine learning for bank churn prediction using data balancing and ensemble-based methods. Mathematics, 10(14), 2379. https://doi.org/10.3390/math10142379</w:t>
      </w:r>
    </w:p>
    <w:p>
      <w:pPr>
        <w:spacing w:after="80" w:line="276" w:lineRule="auto"/>
      </w:pPr>
      <w:r>
        <w:rPr>
          <w:rFonts w:ascii="Calibri" w:hAnsi="Calibri"/>
          <w:b/>
          <w:sz w:val="22"/>
        </w:rPr>
        <w:t xml:space="preserve">Metin içi atıf: </w:t>
      </w:r>
      <w:r>
        <w:rPr>
          <w:rFonts w:ascii="Calibri" w:hAnsi="Calibri"/>
          <w:sz w:val="22"/>
        </w:rPr>
        <w:t>(Tékouabou vd., 2022)</w:t>
      </w:r>
    </w:p>
    <w:p>
      <w:pPr>
        <w:spacing w:after="80" w:line="276" w:lineRule="auto"/>
      </w:pPr>
      <w:r>
        <w:rPr>
          <w:rFonts w:ascii="Calibri" w:hAnsi="Calibri"/>
          <w:b/>
          <w:sz w:val="22"/>
        </w:rPr>
        <w:t xml:space="preserve">Özet: </w:t>
      </w:r>
      <w:r>
        <w:rPr>
          <w:rFonts w:ascii="Calibri" w:hAnsi="Calibri"/>
          <w:sz w:val="22"/>
        </w:rPr>
        <w:t>Banka müşteri kaybı tahmininde SMOTE ile veri dengeleme ve ensemble yöntemlerin (özellikle Random Forest) çapraz doğrulamalı birleşimini öneriyor; en iyi model olarak RF, dengelenmiş veri üzerinde 0.86 accuracy ve 0.86 F1-skoru elde ediyor. SHAP ile model yorumlanabilirliği de ekleniyor; yaş en önemli, kredi kartı sahipliği en önemsiz değişken olarak bulunuyor.</w:t>
      </w:r>
    </w:p>
    <w:p>
      <w:pPr>
        <w:spacing w:after="80" w:line="276" w:lineRule="auto"/>
      </w:pPr>
      <w:r>
        <w:rPr>
          <w:rFonts w:ascii="Calibri" w:hAnsi="Calibri"/>
          <w:b/>
          <w:sz w:val="22"/>
        </w:rPr>
        <w:t xml:space="preserve">Projeye katkısı: </w:t>
      </w:r>
      <w:r>
        <w:rPr>
          <w:rFonts w:ascii="Calibri" w:hAnsi="Calibri"/>
          <w:sz w:val="22"/>
        </w:rPr>
        <w:t>Projenin ana kıyas noktası (benchmark): SMOTE + ensemble + SHAP iskeletinin aynısını kullanıyoruz; RF performans aralığı ve özellik önem sıralaması karşılaştırma için referans.</w:t>
      </w:r>
    </w:p>
    <w:p>
      <w:pPr>
        <w:spacing w:after="80" w:line="276" w:lineRule="auto"/>
      </w:pPr>
      <w:r>
        <w:rPr>
          <w:rFonts w:ascii="Calibri" w:hAnsi="Calibri"/>
          <w:b/>
          <w:sz w:val="22"/>
        </w:rPr>
        <w:t xml:space="preserve">Kanıt düzeyi: </w:t>
      </w:r>
      <w:r>
        <w:rPr>
          <w:rFonts w:ascii="Calibri" w:hAnsi="Calibri"/>
          <w:sz w:val="22"/>
        </w:rPr>
        <w:t>Q1/Q2 dergi (MDPI Mathematics, SCIE taranan)</w:t>
      </w:r>
    </w:p>
    <w:p>
      <w:pPr>
        <w:spacing w:after="80" w:line="276" w:lineRule="auto"/>
      </w:pPr>
      <w:r>
        <w:rPr>
          <w:rFonts w:ascii="Calibri" w:hAnsi="Calibri"/>
          <w:b/>
          <w:sz w:val="22"/>
        </w:rPr>
        <w:t xml:space="preserve">DOI/URL: </w:t>
      </w:r>
      <w:r>
        <w:rPr>
          <w:rFonts w:ascii="Calibri" w:hAnsi="Calibri"/>
          <w:sz w:val="22"/>
        </w:rPr>
        <w:t>https://doi.org/10.3390/math10142379</w:t>
      </w:r>
    </w:p>
    <w:p>
      <w:pPr>
        <w:spacing w:after="80" w:line="276" w:lineRule="auto"/>
      </w:pPr>
      <w:r>
        <w:rPr>
          <w:rFonts w:ascii="Calibri" w:hAnsi="Calibri"/>
          <w:b/>
          <w:sz w:val="22"/>
        </w:rPr>
        <w:t xml:space="preserve">Mevcut listede mi: </w:t>
      </w:r>
      <w:r>
        <w:rPr>
          <w:rFonts w:ascii="Calibri" w:hAnsi="Calibri"/>
          <w:sz w:val="22"/>
        </w:rPr>
        <w:t>Evet (mevcut listede #1, ana benchmark)</w:t>
      </w:r>
    </w:p>
    <w:p>
      <w:pPr>
        <w:spacing w:after="120"/>
      </w:pPr>
    </w:p>
    <w:p>
      <w:pPr>
        <w:spacing w:after="40"/>
        <w:ind w:left="709" w:hanging="709"/>
      </w:pPr>
      <w:r>
        <w:rPr>
          <w:rFonts w:ascii="Calibri" w:hAnsi="Calibri"/>
          <w:b/>
          <w:sz w:val="22"/>
        </w:rPr>
        <w:t>Zhu, H. (2024). Bank customer churn prediction with machine learning methods. Advances in Economics, Management and Political Sciences, 69, 23–29. https://doi.org/10.54254/2754-1169/69/20230773</w:t>
      </w:r>
    </w:p>
    <w:p>
      <w:pPr>
        <w:spacing w:after="80" w:line="276" w:lineRule="auto"/>
      </w:pPr>
      <w:r>
        <w:rPr>
          <w:rFonts w:ascii="Calibri" w:hAnsi="Calibri"/>
          <w:b/>
          <w:sz w:val="22"/>
        </w:rPr>
        <w:t xml:space="preserve">Metin içi atıf: </w:t>
      </w:r>
      <w:r>
        <w:rPr>
          <w:rFonts w:ascii="Calibri" w:hAnsi="Calibri"/>
          <w:sz w:val="22"/>
        </w:rPr>
        <w:t>(Zhu, 2024)</w:t>
      </w:r>
    </w:p>
    <w:p>
      <w:pPr>
        <w:spacing w:after="80" w:line="276" w:lineRule="auto"/>
      </w:pPr>
      <w:r>
        <w:rPr>
          <w:rFonts w:ascii="Calibri" w:hAnsi="Calibri"/>
          <w:b/>
          <w:sz w:val="22"/>
        </w:rPr>
        <w:t xml:space="preserve">Özet: </w:t>
      </w:r>
      <w:r>
        <w:rPr>
          <w:rFonts w:ascii="Calibri" w:hAnsi="Calibri"/>
          <w:sz w:val="22"/>
        </w:rPr>
        <w:t>“ABC Bank” verisiyle lojistik regresyon ve random forest karşılaştırılıyor; k-kat çapraz doğrulama ve boosting ile RF'nin daha yüksek accuracy verdiği bulunuyor. Yaşın churn ile en güçlü ilişkiye, kredi kartı sahipliğinin ise en zayıf ilişkiye sahip olduğu raporlanıyor.</w:t>
      </w:r>
    </w:p>
    <w:p>
      <w:pPr>
        <w:spacing w:after="80" w:line="276" w:lineRule="auto"/>
      </w:pPr>
      <w:r>
        <w:rPr>
          <w:rFonts w:ascii="Calibri" w:hAnsi="Calibri"/>
          <w:b/>
          <w:sz w:val="22"/>
        </w:rPr>
        <w:t xml:space="preserve">Projeye katkısı: </w:t>
      </w:r>
      <w:r>
        <w:rPr>
          <w:rFonts w:ascii="Calibri" w:hAnsi="Calibri"/>
          <w:sz w:val="22"/>
        </w:rPr>
        <w:t>Olası doğrudan kıyas kaynağı: “ABC Bank” adı ve bulgular (yaş en güçlü, kredi kartı en zayıf ilişki) bizim Kaggle veri setimizle (ABC Multinational Bank, Gaurav Topre) örtüşüyor, ancak makale veri setinin satır/sütun sayısını veya Kaggle kaynağını açıkça belirtmiyor.</w:t>
      </w:r>
    </w:p>
    <w:p>
      <w:pPr>
        <w:spacing w:after="80" w:line="276" w:lineRule="auto"/>
      </w:pPr>
      <w:r>
        <w:rPr>
          <w:rFonts w:ascii="Calibri" w:hAnsi="Calibri"/>
          <w:b/>
          <w:sz w:val="22"/>
        </w:rPr>
        <w:t xml:space="preserve">Kanıt düzeyi: </w:t>
      </w:r>
      <w:r>
        <w:rPr>
          <w:rFonts w:ascii="Calibri" w:hAnsi="Calibri"/>
          <w:sz w:val="22"/>
        </w:rPr>
        <w:t>Öğrenci/lisans düzeyinde konferans-bildiri tarzı dergi (EWA Publishing, düşük-orta prestij)</w:t>
      </w:r>
    </w:p>
    <w:p>
      <w:pPr>
        <w:spacing w:after="80" w:line="276" w:lineRule="auto"/>
      </w:pPr>
      <w:r>
        <w:rPr>
          <w:rFonts w:ascii="Calibri" w:hAnsi="Calibri"/>
          <w:b/>
          <w:sz w:val="22"/>
        </w:rPr>
        <w:t xml:space="preserve">DOI/URL: </w:t>
      </w:r>
      <w:r>
        <w:rPr>
          <w:rFonts w:ascii="Calibri" w:hAnsi="Calibri"/>
          <w:sz w:val="22"/>
        </w:rPr>
        <w:t>https://doi.org/10.54254/2754-1169/69/20230773</w:t>
      </w:r>
    </w:p>
    <w:p>
      <w:pPr>
        <w:spacing w:after="80" w:line="276" w:lineRule="auto"/>
      </w:pPr>
      <w:r>
        <w:rPr>
          <w:rFonts w:ascii="Calibri" w:hAnsi="Calibri"/>
          <w:b/>
          <w:sz w:val="22"/>
        </w:rPr>
        <w:t xml:space="preserve">Mevcut listede mi: </w:t>
      </w:r>
      <w:r>
        <w:rPr>
          <w:rFonts w:ascii="Calibri" w:hAnsi="Calibri"/>
          <w:sz w:val="22"/>
        </w:rPr>
        <w:t>Evet (mevcut listede #3)</w:t>
      </w:r>
    </w:p>
    <w:p>
      <w:pPr>
        <w:spacing w:after="80" w:line="276" w:lineRule="auto"/>
      </w:pPr>
      <w:r>
        <w:rPr>
          <w:rFonts w:ascii="Calibri" w:hAnsi="Calibri"/>
          <w:b/>
          <w:sz w:val="22"/>
        </w:rPr>
        <w:t xml:space="preserve">Not: </w:t>
      </w:r>
      <w:r>
        <w:rPr>
          <w:rFonts w:ascii="Calibri" w:hAnsi="Calibri"/>
          <w:sz w:val="22"/>
        </w:rPr>
        <w:t>Veri seti eşleşmesi kesin değil: makale “ABC Bank” diyor ama Kaggle/Gaurav Topre bağlantısını teyit eden bir cümle yok. Bulgular (yaş/kredi kartı) örtüşme için dolaylı kanıt sayılabilir, ancak doğrudan alıntı olarak “aynı veri seti” iddia edilmemeli.</w:t>
      </w:r>
    </w:p>
    <w:p>
      <w:pPr>
        <w:spacing w:after="120"/>
      </w:pPr>
    </w:p>
    <w:p>
      <w:pPr>
        <w:spacing w:after="40"/>
        <w:ind w:left="709" w:hanging="709"/>
      </w:pPr>
      <w:r>
        <w:rPr>
          <w:rFonts w:ascii="Calibri" w:hAnsi="Calibri"/>
          <w:b/>
          <w:sz w:val="22"/>
        </w:rPr>
        <w:t>Ashraf, R. (2024). Bank customer churn prediction using machine learning framework. Journal of Applied Finance &amp; Banking, 14(4), 65–109.</w:t>
      </w:r>
    </w:p>
    <w:p>
      <w:pPr>
        <w:spacing w:after="80" w:line="276" w:lineRule="auto"/>
      </w:pPr>
      <w:r>
        <w:rPr>
          <w:rFonts w:ascii="Calibri" w:hAnsi="Calibri"/>
          <w:b/>
          <w:sz w:val="22"/>
        </w:rPr>
        <w:t xml:space="preserve">Metin içi atıf: </w:t>
      </w:r>
      <w:r>
        <w:rPr>
          <w:rFonts w:ascii="Calibri" w:hAnsi="Calibri"/>
          <w:sz w:val="22"/>
        </w:rPr>
        <w:t>(Ashraf, 2024)</w:t>
      </w:r>
    </w:p>
    <w:p>
      <w:pPr>
        <w:spacing w:after="80" w:line="276" w:lineRule="auto"/>
      </w:pPr>
      <w:r>
        <w:rPr>
          <w:rFonts w:ascii="Calibri" w:hAnsi="Calibri"/>
          <w:b/>
          <w:sz w:val="22"/>
        </w:rPr>
        <w:t xml:space="preserve">Özet: </w:t>
      </w:r>
      <w:r>
        <w:rPr>
          <w:rFonts w:ascii="Calibri" w:hAnsi="Calibri"/>
          <w:sz w:val="22"/>
        </w:rPr>
        <w:t>ABD'de gerçek bir toplum bankasının verisiyle 10 model ve 5 örnekleme tekniğinin karşılaştırıldığı geniş kapsamlı bir çalışma. Random Forest, XGBoost, AdaBoost ve Bagging; accuracy, F-skor ve AUC eğrisi bakımından diğer modelleri geride bırakıyor, genel accuracy %87–96 aralığında.</w:t>
      </w:r>
    </w:p>
    <w:p>
      <w:pPr>
        <w:spacing w:after="80" w:line="276" w:lineRule="auto"/>
      </w:pPr>
      <w:r>
        <w:rPr>
          <w:rFonts w:ascii="Calibri" w:hAnsi="Calibri"/>
          <w:b/>
          <w:sz w:val="22"/>
        </w:rPr>
        <w:t xml:space="preserve">Projeye katkısı: </w:t>
      </w:r>
      <w:r>
        <w:rPr>
          <w:rFonts w:ascii="Calibri" w:hAnsi="Calibri"/>
          <w:sz w:val="22"/>
        </w:rPr>
        <w:t>Çoklu örnekleme tekniği × çoklu model karşılaştırması için emsal; RF/XGB üstünlüğü sentezini destekliyor.</w:t>
      </w:r>
    </w:p>
    <w:p>
      <w:pPr>
        <w:spacing w:after="80" w:line="276" w:lineRule="auto"/>
      </w:pPr>
      <w:r>
        <w:rPr>
          <w:rFonts w:ascii="Calibri" w:hAnsi="Calibri"/>
          <w:b/>
          <w:sz w:val="22"/>
        </w:rPr>
        <w:t xml:space="preserve">Kanıt düzeyi: </w:t>
      </w:r>
      <w:r>
        <w:rPr>
          <w:rFonts w:ascii="Calibri" w:hAnsi="Calibri"/>
          <w:sz w:val="22"/>
        </w:rPr>
        <w:t>Bölgesel/düşük-orta prestijli dergi (SCIENPRESS)</w:t>
      </w:r>
    </w:p>
    <w:p>
      <w:pPr>
        <w:spacing w:after="80" w:line="276" w:lineRule="auto"/>
      </w:pPr>
      <w:r>
        <w:rPr>
          <w:rFonts w:ascii="Calibri" w:hAnsi="Calibri"/>
          <w:b/>
          <w:sz w:val="22"/>
        </w:rPr>
        <w:t xml:space="preserve">DOI/URL: </w:t>
      </w:r>
      <w:r>
        <w:rPr>
          <w:rFonts w:ascii="Calibri" w:hAnsi="Calibri"/>
          <w:sz w:val="22"/>
        </w:rPr>
        <w:t>http://www.scienpress.com/download.asp?ID=2999231</w:t>
      </w:r>
    </w:p>
    <w:p>
      <w:pPr>
        <w:spacing w:after="80" w:line="276" w:lineRule="auto"/>
      </w:pPr>
      <w:r>
        <w:rPr>
          <w:rFonts w:ascii="Calibri" w:hAnsi="Calibri"/>
          <w:b/>
          <w:sz w:val="22"/>
        </w:rPr>
        <w:t xml:space="preserve">Mevcut listede mi: </w:t>
      </w:r>
      <w:r>
        <w:rPr>
          <w:rFonts w:ascii="Calibri" w:hAnsi="Calibri"/>
          <w:sz w:val="22"/>
        </w:rPr>
        <w:t>Evet (mevcut listede #4; sayfa aralığı 65–109 olarak düzeltildi, önceki '1–5' şüphesi giderildi)</w:t>
      </w:r>
    </w:p>
    <w:p>
      <w:pPr>
        <w:spacing w:after="120"/>
      </w:pPr>
    </w:p>
    <w:p>
      <w:pPr>
        <w:spacing w:after="40"/>
        <w:ind w:left="709" w:hanging="709"/>
      </w:pPr>
      <w:r>
        <w:rPr>
          <w:rFonts w:ascii="Calibri" w:hAnsi="Calibri"/>
          <w:b/>
          <w:sz w:val="22"/>
        </w:rPr>
        <w:t>Kaynar, O., Tuna, M. F., Görmez, Y., &amp; Deveci, M. A. (2017). Makine öğrenmesi yöntemleriyle müşteri kaybı analizi. Cumhuriyet Üniversitesi İktisadi ve İdari Bilimler Dergisi, 18(1), 1–14.</w:t>
      </w:r>
    </w:p>
    <w:p>
      <w:pPr>
        <w:spacing w:after="80" w:line="276" w:lineRule="auto"/>
      </w:pPr>
      <w:r>
        <w:rPr>
          <w:rFonts w:ascii="Calibri" w:hAnsi="Calibri"/>
          <w:b/>
          <w:sz w:val="22"/>
        </w:rPr>
        <w:t xml:space="preserve">Metin içi atıf: </w:t>
      </w:r>
      <w:r>
        <w:rPr>
          <w:rFonts w:ascii="Calibri" w:hAnsi="Calibri"/>
          <w:sz w:val="22"/>
        </w:rPr>
        <w:t>(Kaynar vd., 2017)</w:t>
      </w:r>
    </w:p>
    <w:p>
      <w:pPr>
        <w:spacing w:after="80" w:line="276" w:lineRule="auto"/>
      </w:pPr>
      <w:r>
        <w:rPr>
          <w:rFonts w:ascii="Calibri" w:hAnsi="Calibri"/>
          <w:b/>
          <w:sz w:val="22"/>
        </w:rPr>
        <w:t xml:space="preserve">Özet: </w:t>
      </w:r>
      <w:r>
        <w:rPr>
          <w:rFonts w:ascii="Calibri" w:hAnsi="Calibri"/>
          <w:sz w:val="22"/>
        </w:rPr>
        <w:t>Telekom verisinde SVM, yapay sinir ağı (YSA) ve Naive Bayes sınıflandırıcıları karşılaştırılıyor; YSA'nın diğer yöntemlere göre daha başarılı sonuç verdiği raporlanıyor.</w:t>
      </w:r>
    </w:p>
    <w:p>
      <w:pPr>
        <w:spacing w:after="80" w:line="276" w:lineRule="auto"/>
      </w:pPr>
      <w:r>
        <w:rPr>
          <w:rFonts w:ascii="Calibri" w:hAnsi="Calibri"/>
          <w:b/>
          <w:sz w:val="22"/>
        </w:rPr>
        <w:t xml:space="preserve">Projeye katkısı: </w:t>
      </w:r>
      <w:r>
        <w:rPr>
          <w:rFonts w:ascii="Calibri" w:hAnsi="Calibri"/>
          <w:sz w:val="22"/>
        </w:rPr>
        <w:t>Türkçe/yerli literatürde churn + ML karşılaştırması örneği; farklı sektör (telekom) ve farklı model ailesi (YSA) ile çeşitlilik katıyor.</w:t>
      </w:r>
    </w:p>
    <w:p>
      <w:pPr>
        <w:spacing w:after="80" w:line="276" w:lineRule="auto"/>
      </w:pPr>
      <w:r>
        <w:rPr>
          <w:rFonts w:ascii="Calibri" w:hAnsi="Calibri"/>
          <w:b/>
          <w:sz w:val="22"/>
        </w:rPr>
        <w:t xml:space="preserve">Kanıt düzeyi: </w:t>
      </w:r>
      <w:r>
        <w:rPr>
          <w:rFonts w:ascii="Calibri" w:hAnsi="Calibri"/>
          <w:sz w:val="22"/>
        </w:rPr>
        <w:t>Ulusal hakemli dergi (Cumhuriyet Üniv. İİBF, TR Dizin taranan, uluslararası indeksli değil)</w:t>
      </w:r>
    </w:p>
    <w:p>
      <w:pPr>
        <w:spacing w:after="80" w:line="276" w:lineRule="auto"/>
      </w:pPr>
      <w:r>
        <w:rPr>
          <w:rFonts w:ascii="Calibri" w:hAnsi="Calibri"/>
          <w:b/>
          <w:sz w:val="22"/>
        </w:rPr>
        <w:t xml:space="preserve">DOI/URL: </w:t>
      </w:r>
      <w:r>
        <w:rPr>
          <w:rFonts w:ascii="Calibri" w:hAnsi="Calibri"/>
          <w:sz w:val="22"/>
        </w:rPr>
        <w:t>http://esjournal.cumhuriyet.edu.tr/tr/pub/article/357723</w:t>
      </w:r>
    </w:p>
    <w:p>
      <w:pPr>
        <w:spacing w:after="80" w:line="276" w:lineRule="auto"/>
      </w:pPr>
      <w:r>
        <w:rPr>
          <w:rFonts w:ascii="Calibri" w:hAnsi="Calibri"/>
          <w:b/>
          <w:sz w:val="22"/>
        </w:rPr>
        <w:t xml:space="preserve">Mevcut listede mi: </w:t>
      </w:r>
      <w:r>
        <w:rPr>
          <w:rFonts w:ascii="Calibri" w:hAnsi="Calibri"/>
          <w:sz w:val="22"/>
        </w:rPr>
        <w:t>Evet (mevcut listede #6, daha önce tam metin okunmuş)</w:t>
      </w:r>
    </w:p>
    <w:p>
      <w:pPr>
        <w:spacing w:after="120"/>
      </w:pPr>
    </w:p>
    <w:p>
      <w:pPr>
        <w:spacing w:after="40"/>
        <w:ind w:left="709" w:hanging="709"/>
      </w:pPr>
      <w:r>
        <w:rPr>
          <w:rFonts w:ascii="Calibri" w:hAnsi="Calibri"/>
          <w:b/>
          <w:sz w:val="22"/>
        </w:rPr>
        <w:t>Karamollaoğlu, K., Yücedağ, İ., &amp; Doğru, İ. A. (2021). Customer churn prediction using machine learning methods: A comparative analysis. 2021 6th International Conference on Computer Science and Engineering (UBMK), 139–144.</w:t>
      </w:r>
    </w:p>
    <w:p>
      <w:pPr>
        <w:spacing w:after="80" w:line="276" w:lineRule="auto"/>
      </w:pPr>
      <w:r>
        <w:rPr>
          <w:rFonts w:ascii="Calibri" w:hAnsi="Calibri"/>
          <w:b/>
          <w:sz w:val="22"/>
        </w:rPr>
        <w:t xml:space="preserve">Metin içi atıf: </w:t>
      </w:r>
      <w:r>
        <w:rPr>
          <w:rFonts w:ascii="Calibri" w:hAnsi="Calibri"/>
          <w:sz w:val="22"/>
        </w:rPr>
        <w:t>(Karamollaoğlu vd., 2021)</w:t>
      </w:r>
    </w:p>
    <w:p>
      <w:pPr>
        <w:spacing w:after="80" w:line="276" w:lineRule="auto"/>
      </w:pPr>
      <w:r>
        <w:rPr>
          <w:rFonts w:ascii="Calibri" w:hAnsi="Calibri"/>
          <w:b/>
          <w:sz w:val="22"/>
        </w:rPr>
        <w:t xml:space="preserve">Özet: </w:t>
      </w:r>
      <w:r>
        <w:rPr>
          <w:rFonts w:ascii="Calibri" w:hAnsi="Calibri"/>
          <w:sz w:val="22"/>
        </w:rPr>
        <w:t>İki ayrı telekom veri seti üzerinde sekiz model (LR, KNN, karar ağacı, RF, SVM, AdaBoost, çok katmanlı algılayıcı, Naive Bayes) karşılaştırılıyor; Random Forest her iki veri setinde de en başarılı model olarak öne çıkıyor.</w:t>
      </w:r>
    </w:p>
    <w:p>
      <w:pPr>
        <w:spacing w:after="80" w:line="276" w:lineRule="auto"/>
      </w:pPr>
      <w:r>
        <w:rPr>
          <w:rFonts w:ascii="Calibri" w:hAnsi="Calibri"/>
          <w:b/>
          <w:sz w:val="22"/>
        </w:rPr>
        <w:t xml:space="preserve">Projeye katkısı: </w:t>
      </w:r>
      <w:r>
        <w:rPr>
          <w:rFonts w:ascii="Calibri" w:hAnsi="Calibri"/>
          <w:sz w:val="22"/>
        </w:rPr>
        <w:t>Çoklu-model karşılaştırma metodolojisi için emsal; RF üstünlüğü sentezini destekliyor.</w:t>
      </w:r>
    </w:p>
    <w:p>
      <w:pPr>
        <w:spacing w:after="80" w:line="276" w:lineRule="auto"/>
      </w:pPr>
      <w:r>
        <w:rPr>
          <w:rFonts w:ascii="Calibri" w:hAnsi="Calibri"/>
          <w:b/>
          <w:sz w:val="22"/>
        </w:rPr>
        <w:t xml:space="preserve">Kanıt düzeyi: </w:t>
      </w:r>
      <w:r>
        <w:rPr>
          <w:rFonts w:ascii="Calibri" w:hAnsi="Calibri"/>
          <w:sz w:val="22"/>
        </w:rPr>
        <w:t>Ulusal/uluslararası IEEE konferansı (orta düzey prestij)</w:t>
      </w:r>
    </w:p>
    <w:p>
      <w:pPr>
        <w:spacing w:after="80" w:line="276" w:lineRule="auto"/>
      </w:pPr>
      <w:r>
        <w:rPr>
          <w:rFonts w:ascii="Calibri" w:hAnsi="Calibri"/>
          <w:b/>
          <w:sz w:val="22"/>
        </w:rPr>
        <w:t xml:space="preserve">DOI/URL: </w:t>
      </w:r>
      <w:r>
        <w:rPr>
          <w:rFonts w:ascii="Calibri" w:hAnsi="Calibri"/>
          <w:sz w:val="22"/>
        </w:rPr>
        <w:t>https://doi.org/10.1109/UBMK52708.2021.9558999 (DOI tahmini; birincil tam metinden teyit edilmedi)</w:t>
      </w:r>
    </w:p>
    <w:p>
      <w:pPr>
        <w:spacing w:after="80" w:line="276" w:lineRule="auto"/>
      </w:pPr>
      <w:r>
        <w:rPr>
          <w:rFonts w:ascii="Calibri" w:hAnsi="Calibri"/>
          <w:b/>
          <w:sz w:val="22"/>
        </w:rPr>
        <w:t xml:space="preserve">Mevcut listede mi: </w:t>
      </w:r>
      <w:r>
        <w:rPr>
          <w:rFonts w:ascii="Calibri" w:hAnsi="Calibri"/>
          <w:sz w:val="22"/>
        </w:rPr>
        <w:t>Evet (mevcut listede #5)</w:t>
      </w:r>
    </w:p>
    <w:p>
      <w:pPr>
        <w:spacing w:after="80" w:line="276" w:lineRule="auto"/>
      </w:pPr>
      <w:r>
        <w:rPr>
          <w:rFonts w:ascii="Calibri" w:hAnsi="Calibri"/>
          <w:b/>
          <w:sz w:val="22"/>
        </w:rPr>
        <w:t xml:space="preserve">Not: </w:t>
      </w:r>
      <w:r>
        <w:rPr>
          <w:rFonts w:ascii="Calibri" w:hAnsi="Calibri"/>
          <w:sz w:val="22"/>
        </w:rPr>
        <w:t>Arama sonuçlarında tekrarlayan biçimde geçen “RF + SMOTE-ENN ile F1 %95” rakamı birincil metinden (tam metin PDF) doğrulanamadı; bu sayı teze aktarılmadan önce makalenin kendisinden teyit edilmeli. Sadece “RF en iyi model” bulgusu güvenle kullanılabilir.</w:t>
      </w:r>
    </w:p>
    <w:p>
      <w:pPr>
        <w:spacing w:after="120"/>
      </w:pPr>
    </w:p>
    <w:p>
      <w:pPr>
        <w:spacing w:after="40"/>
        <w:ind w:left="709" w:hanging="709"/>
      </w:pPr>
      <w:r>
        <w:rPr>
          <w:rFonts w:ascii="Calibri" w:hAnsi="Calibri"/>
          <w:b/>
          <w:sz w:val="22"/>
        </w:rPr>
        <w:t>Zhang, H., Wang, Y., Li, Z., &amp; Wang, X. (2025). Machine learning models for bank customer churn prediction: A comparative study of LightGBM, CatBoost, and XGBoost. Proceedings of the 2025 International Conference on Big Data, Artificial Intelligence and Digital Economy (BDAIE 2025). https://doi.org/10.1145/3767052.3767054</w:t>
      </w:r>
    </w:p>
    <w:p>
      <w:pPr>
        <w:spacing w:after="80" w:line="276" w:lineRule="auto"/>
      </w:pPr>
      <w:r>
        <w:rPr>
          <w:rFonts w:ascii="Calibri" w:hAnsi="Calibri"/>
          <w:b/>
          <w:sz w:val="22"/>
        </w:rPr>
        <w:t xml:space="preserve">Metin içi atıf: </w:t>
      </w:r>
      <w:r>
        <w:rPr>
          <w:rFonts w:ascii="Calibri" w:hAnsi="Calibri"/>
          <w:sz w:val="22"/>
        </w:rPr>
        <w:t>(Zhang vd., 2025)</w:t>
      </w:r>
    </w:p>
    <w:p>
      <w:pPr>
        <w:spacing w:after="80" w:line="276" w:lineRule="auto"/>
      </w:pPr>
      <w:r>
        <w:rPr>
          <w:rFonts w:ascii="Calibri" w:hAnsi="Calibri"/>
          <w:b/>
          <w:sz w:val="22"/>
        </w:rPr>
        <w:t xml:space="preserve">Özet: </w:t>
      </w:r>
      <w:r>
        <w:rPr>
          <w:rFonts w:ascii="Calibri" w:hAnsi="Calibri"/>
          <w:sz w:val="22"/>
        </w:rPr>
        <w:t>Banka müşteri verisinde 11 model karşılaştırılıyor; birincil metrik olarak Recall kullanılıyor ve en iyi sonuçları LightGBM ile Bagging veriyor. İstatistiksel anlamlılık testi (McNemar vb.) uygulanmamış.</w:t>
      </w:r>
    </w:p>
    <w:p>
      <w:pPr>
        <w:spacing w:after="80" w:line="276" w:lineRule="auto"/>
      </w:pPr>
      <w:r>
        <w:rPr>
          <w:rFonts w:ascii="Calibri" w:hAnsi="Calibri"/>
          <w:b/>
          <w:sz w:val="22"/>
        </w:rPr>
        <w:t xml:space="preserve">Projeye katkısı: </w:t>
      </w:r>
      <w:r>
        <w:rPr>
          <w:rFonts w:ascii="Calibri" w:hAnsi="Calibri"/>
          <w:sz w:val="22"/>
        </w:rPr>
        <w:t>Literatür boşluğu argümanına güncel, somut örnek: çoklu model karşılaştırmasında istatistiksel test eksikliği.</w:t>
      </w:r>
    </w:p>
    <w:p>
      <w:pPr>
        <w:spacing w:after="80" w:line="276" w:lineRule="auto"/>
      </w:pPr>
      <w:r>
        <w:rPr>
          <w:rFonts w:ascii="Calibri" w:hAnsi="Calibri"/>
          <w:b/>
          <w:sz w:val="22"/>
        </w:rPr>
        <w:t xml:space="preserve">Kanıt düzeyi: </w:t>
      </w:r>
      <w:r>
        <w:rPr>
          <w:rFonts w:ascii="Calibri" w:hAnsi="Calibri"/>
          <w:sz w:val="22"/>
        </w:rPr>
        <w:t>ACM konferans bildirisi (yeni/küçük konferans, düşük-orta prestij)</w:t>
      </w:r>
    </w:p>
    <w:p>
      <w:pPr>
        <w:spacing w:after="80" w:line="276" w:lineRule="auto"/>
      </w:pPr>
      <w:r>
        <w:rPr>
          <w:rFonts w:ascii="Calibri" w:hAnsi="Calibri"/>
          <w:b/>
          <w:sz w:val="22"/>
        </w:rPr>
        <w:t xml:space="preserve">DOI/URL: </w:t>
      </w:r>
      <w:r>
        <w:rPr>
          <w:rFonts w:ascii="Calibri" w:hAnsi="Calibri"/>
          <w:sz w:val="22"/>
        </w:rPr>
        <w:t>https://doi.org/10.1145/3767052.3767054</w:t>
      </w:r>
    </w:p>
    <w:p>
      <w:pPr>
        <w:spacing w:after="80" w:line="276" w:lineRule="auto"/>
      </w:pPr>
      <w:r>
        <w:rPr>
          <w:rFonts w:ascii="Calibri" w:hAnsi="Calibri"/>
          <w:b/>
          <w:sz w:val="22"/>
        </w:rPr>
        <w:t xml:space="preserve">Mevcut listede mi: </w:t>
      </w:r>
      <w:r>
        <w:rPr>
          <w:rFonts w:ascii="Calibri" w:hAnsi="Calibri"/>
          <w:sz w:val="22"/>
        </w:rPr>
        <w:t>Evet (mevcut listede #2, ama konferans adı düzeltildi)</w:t>
      </w:r>
    </w:p>
    <w:p>
      <w:pPr>
        <w:spacing w:after="80" w:line="276" w:lineRule="auto"/>
      </w:pPr>
      <w:r>
        <w:rPr>
          <w:rFonts w:ascii="Calibri" w:hAnsi="Calibri"/>
          <w:b/>
          <w:sz w:val="22"/>
        </w:rPr>
        <w:t xml:space="preserve">Not: </w:t>
      </w:r>
      <w:r>
        <w:rPr>
          <w:rFonts w:ascii="Calibri" w:hAnsi="Calibri"/>
          <w:sz w:val="22"/>
        </w:rPr>
        <w:t>Mevcut listede “ICBASE 2025” olarak geçiyordu; aynı DOI ile yapılan doğrulamada gerçek konferansın “BDAIE 2025” (Big Data, AI and Digital Economy) olduğu ve yazarların Zhang, Wang, Li, Wang olduğu görüldü. Künye düzeltilmelidir.</w:t>
      </w:r>
    </w:p>
    <w:p>
      <w:pPr>
        <w:spacing w:after="120"/>
      </w:pPr>
    </w:p>
    <w:p>
      <w:pPr>
        <w:pStyle w:val="Heading2"/>
        <w:spacing w:before="280" w:after="120"/>
      </w:pPr>
      <w:r>
        <w:rPr>
          <w:rFonts w:ascii="Calibri" w:hAnsi="Calibri"/>
        </w:rPr>
        <w:t>2. Sınıf dengesizliği: SMOTE, SMOTE-NC ve olasılık kalibrasyonuna etkisi</w:t>
      </w:r>
    </w:p>
    <w:p>
      <w:pPr>
        <w:spacing w:after="40"/>
        <w:ind w:left="709" w:hanging="709"/>
      </w:pPr>
      <w:r>
        <w:rPr>
          <w:rFonts w:ascii="Calibri" w:hAnsi="Calibri"/>
          <w:b/>
          <w:sz w:val="22"/>
        </w:rPr>
        <w:t>Chawla, N. V., Bowyer, K. W., Hall, L. O., &amp; Kegelmeyer, W. P. (2002). SMOTE: Synthetic minority over-sampling technique. Journal of Artificial Intelligence Research, 16, 321–357. https://doi.org/10.1613/jair.953</w:t>
      </w:r>
    </w:p>
    <w:p>
      <w:pPr>
        <w:spacing w:after="80" w:line="276" w:lineRule="auto"/>
      </w:pPr>
      <w:r>
        <w:rPr>
          <w:rFonts w:ascii="Calibri" w:hAnsi="Calibri"/>
          <w:b/>
          <w:sz w:val="22"/>
        </w:rPr>
        <w:t xml:space="preserve">Metin içi atıf: </w:t>
      </w:r>
      <w:r>
        <w:rPr>
          <w:rFonts w:ascii="Calibri" w:hAnsi="Calibri"/>
          <w:sz w:val="22"/>
        </w:rPr>
        <w:t>(Chawla vd., 2002)</w:t>
      </w:r>
    </w:p>
    <w:p>
      <w:pPr>
        <w:spacing w:after="80" w:line="276" w:lineRule="auto"/>
      </w:pPr>
      <w:r>
        <w:rPr>
          <w:rFonts w:ascii="Calibri" w:hAnsi="Calibri"/>
          <w:b/>
          <w:sz w:val="22"/>
        </w:rPr>
        <w:t xml:space="preserve">Özet: </w:t>
      </w:r>
      <w:r>
        <w:rPr>
          <w:rFonts w:ascii="Calibri" w:hAnsi="Calibri"/>
          <w:sz w:val="22"/>
        </w:rPr>
        <w:t>Azınlık sınıfı için sentetik örnekler üreten SMOTE yöntemini tanıtan temel makale; SMOTE ile çoğunluk sınıfının alt örneklemesinin birleşiminin, yalnızca alt örneklemeden ROC uzayında daha iyi sonuç verdiğini gösteriyor. Nominal (kategorik) öznitelikler için SMOTE-NC varyantını da tanımlıyor.</w:t>
      </w:r>
    </w:p>
    <w:p>
      <w:pPr>
        <w:spacing w:after="80" w:line="276" w:lineRule="auto"/>
      </w:pPr>
      <w:r>
        <w:rPr>
          <w:rFonts w:ascii="Calibri" w:hAnsi="Calibri"/>
          <w:b/>
          <w:sz w:val="22"/>
        </w:rPr>
        <w:t xml:space="preserve">Projeye katkısı: </w:t>
      </w:r>
      <w:r>
        <w:rPr>
          <w:rFonts w:ascii="Calibri" w:hAnsi="Calibri"/>
          <w:sz w:val="22"/>
        </w:rPr>
        <w:t>SMOTE-NC kullanımımızın doğrudan metodolojik dayanağı (country, gender gibi kategorik değişkenler için).</w:t>
      </w:r>
    </w:p>
    <w:p>
      <w:pPr>
        <w:spacing w:after="80" w:line="276" w:lineRule="auto"/>
      </w:pPr>
      <w:r>
        <w:rPr>
          <w:rFonts w:ascii="Calibri" w:hAnsi="Calibri"/>
          <w:b/>
          <w:sz w:val="22"/>
        </w:rPr>
        <w:t xml:space="preserve">Kanıt düzeyi: </w:t>
      </w:r>
      <w:r>
        <w:rPr>
          <w:rFonts w:ascii="Calibri" w:hAnsi="Calibri"/>
          <w:sz w:val="22"/>
        </w:rPr>
        <w:t>Üst düzey AI dergisi (JAIR), klasik/çok atıflı</w:t>
      </w:r>
    </w:p>
    <w:p>
      <w:pPr>
        <w:spacing w:after="80" w:line="276" w:lineRule="auto"/>
      </w:pPr>
      <w:r>
        <w:rPr>
          <w:rFonts w:ascii="Calibri" w:hAnsi="Calibri"/>
          <w:b/>
          <w:sz w:val="22"/>
        </w:rPr>
        <w:t xml:space="preserve">DOI/URL: </w:t>
      </w:r>
      <w:r>
        <w:rPr>
          <w:rFonts w:ascii="Calibri" w:hAnsi="Calibri"/>
          <w:sz w:val="22"/>
        </w:rPr>
        <w:t>https://doi.org/10.1613/jair.953</w:t>
      </w:r>
    </w:p>
    <w:p>
      <w:pPr>
        <w:spacing w:after="80" w:line="276" w:lineRule="auto"/>
      </w:pPr>
      <w:r>
        <w:rPr>
          <w:rFonts w:ascii="Calibri" w:hAnsi="Calibri"/>
          <w:b/>
          <w:sz w:val="22"/>
        </w:rPr>
        <w:t xml:space="preserve">Mevcut listede mi: </w:t>
      </w:r>
      <w:r>
        <w:rPr>
          <w:rFonts w:ascii="Calibri" w:hAnsi="Calibri"/>
          <w:sz w:val="22"/>
        </w:rPr>
        <w:t>Evet (mevcut listede #7)</w:t>
      </w:r>
    </w:p>
    <w:p>
      <w:pPr>
        <w:spacing w:after="120"/>
      </w:pPr>
    </w:p>
    <w:p>
      <w:pPr>
        <w:spacing w:after="40"/>
        <w:ind w:left="709" w:hanging="709"/>
      </w:pPr>
      <w:r>
        <w:rPr>
          <w:rFonts w:ascii="Calibri" w:hAnsi="Calibri"/>
          <w:b/>
          <w:sz w:val="22"/>
        </w:rPr>
        <w:t>Amin, A., Anwar, S., Adnan, A., Nawaz, M., Howard, N., Qadir, J., Hawalah, A., &amp; Hussain, A. (2016). Comparing oversampling techniques to handle the class imbalance problem: A customer churn prediction case study. IEEE Access, 4, 7940–7957. https://doi.org/10.1109/ACCESS.2016.2619719</w:t>
      </w:r>
    </w:p>
    <w:p>
      <w:pPr>
        <w:spacing w:after="80" w:line="276" w:lineRule="auto"/>
      </w:pPr>
      <w:r>
        <w:rPr>
          <w:rFonts w:ascii="Calibri" w:hAnsi="Calibri"/>
          <w:b/>
          <w:sz w:val="22"/>
        </w:rPr>
        <w:t xml:space="preserve">Metin içi atıf: </w:t>
      </w:r>
      <w:r>
        <w:rPr>
          <w:rFonts w:ascii="Calibri" w:hAnsi="Calibri"/>
          <w:sz w:val="22"/>
        </w:rPr>
        <w:t>(Amin vd., 2016)</w:t>
      </w:r>
    </w:p>
    <w:p>
      <w:pPr>
        <w:spacing w:after="80" w:line="276" w:lineRule="auto"/>
      </w:pPr>
      <w:r>
        <w:rPr>
          <w:rFonts w:ascii="Calibri" w:hAnsi="Calibri"/>
          <w:b/>
          <w:sz w:val="22"/>
        </w:rPr>
        <w:t xml:space="preserve">Özet: </w:t>
      </w:r>
      <w:r>
        <w:rPr>
          <w:rFonts w:ascii="Calibri" w:hAnsi="Calibri"/>
          <w:sz w:val="22"/>
        </w:rPr>
        <w:t>Dört telekom veri setinde SMOTE, ADASYN, MTDF, ICOTE, MWMOTE gibi altı örnekleme tekniğini kural-tabanlı sınıflandırıcılarla karşılaştırıyor. Oversampling yönteminin seçiminin performansı belirgin biçimde etkilediği, tekniklerin veri setine göre farklı başarı sıralaması verdiği sonucuna varılıyor.</w:t>
      </w:r>
    </w:p>
    <w:p>
      <w:pPr>
        <w:spacing w:after="80" w:line="276" w:lineRule="auto"/>
      </w:pPr>
      <w:r>
        <w:rPr>
          <w:rFonts w:ascii="Calibri" w:hAnsi="Calibri"/>
          <w:b/>
          <w:sz w:val="22"/>
        </w:rPr>
        <w:t xml:space="preserve">Projeye katkısı: </w:t>
      </w:r>
      <w:r>
        <w:rPr>
          <w:rFonts w:ascii="Calibri" w:hAnsi="Calibri"/>
          <w:sz w:val="22"/>
        </w:rPr>
        <w:t>SMOTE'un alternatiflere karşı konumlandırılması; SMOTE'un “tek doğru yöntem” olmadığını, seçimin gerekçelendirilmesi gerektiğini destekliyor.</w:t>
      </w:r>
    </w:p>
    <w:p>
      <w:pPr>
        <w:spacing w:after="80" w:line="276" w:lineRule="auto"/>
      </w:pPr>
      <w:r>
        <w:rPr>
          <w:rFonts w:ascii="Calibri" w:hAnsi="Calibri"/>
          <w:b/>
          <w:sz w:val="22"/>
        </w:rPr>
        <w:t xml:space="preserve">Kanıt düzeyi: </w:t>
      </w:r>
      <w:r>
        <w:rPr>
          <w:rFonts w:ascii="Calibri" w:hAnsi="Calibri"/>
          <w:sz w:val="22"/>
        </w:rPr>
        <w:t>Q1/Q2 dergi (IEEE Access)</w:t>
      </w:r>
    </w:p>
    <w:p>
      <w:pPr>
        <w:spacing w:after="80" w:line="276" w:lineRule="auto"/>
      </w:pPr>
      <w:r>
        <w:rPr>
          <w:rFonts w:ascii="Calibri" w:hAnsi="Calibri"/>
          <w:b/>
          <w:sz w:val="22"/>
        </w:rPr>
        <w:t xml:space="preserve">DOI/URL: </w:t>
      </w:r>
      <w:r>
        <w:rPr>
          <w:rFonts w:ascii="Calibri" w:hAnsi="Calibri"/>
          <w:sz w:val="22"/>
        </w:rPr>
        <w:t>https://doi.org/10.1109/ACCESS.2016.2619719</w:t>
      </w:r>
    </w:p>
    <w:p>
      <w:pPr>
        <w:spacing w:after="80" w:line="276" w:lineRule="auto"/>
      </w:pPr>
      <w:r>
        <w:rPr>
          <w:rFonts w:ascii="Calibri" w:hAnsi="Calibri"/>
          <w:b/>
          <w:sz w:val="22"/>
        </w:rPr>
        <w:t xml:space="preserve">Mevcut listede mi: </w:t>
      </w:r>
      <w:r>
        <w:rPr>
          <w:rFonts w:ascii="Calibri" w:hAnsi="Calibri"/>
          <w:sz w:val="22"/>
        </w:rPr>
        <w:t>Evet (mevcut listede #8; tam yazar listesi netleşti: Amin, Anwar, Adnan, Nawaz, Howard, Qadir, Hawalah, Hussain)</w:t>
      </w:r>
    </w:p>
    <w:p>
      <w:pPr>
        <w:spacing w:after="120"/>
      </w:pPr>
    </w:p>
    <w:p>
      <w:pPr>
        <w:spacing w:after="40"/>
        <w:ind w:left="709" w:hanging="709"/>
      </w:pPr>
      <w:r>
        <w:rPr>
          <w:rFonts w:ascii="Calibri" w:hAnsi="Calibri"/>
          <w:b/>
          <w:sz w:val="22"/>
        </w:rPr>
        <w:t>Burez, J., &amp; Van den Poel, D. (2009). Handling class imbalance in customer churn prediction. Expert Systems with Applications, 36(3), 4626–4636. https://doi.org/10.1016/j.eswa.2008.05.027</w:t>
      </w:r>
    </w:p>
    <w:p>
      <w:pPr>
        <w:spacing w:after="80" w:line="276" w:lineRule="auto"/>
      </w:pPr>
      <w:r>
        <w:rPr>
          <w:rFonts w:ascii="Calibri" w:hAnsi="Calibri"/>
          <w:b/>
          <w:sz w:val="22"/>
        </w:rPr>
        <w:t xml:space="preserve">Metin içi atıf: </w:t>
      </w:r>
      <w:r>
        <w:rPr>
          <w:rFonts w:ascii="Calibri" w:hAnsi="Calibri"/>
          <w:sz w:val="22"/>
        </w:rPr>
        <w:t>(Burez &amp; Van den Poel, 2009)</w:t>
      </w:r>
    </w:p>
    <w:p>
      <w:pPr>
        <w:spacing w:after="80" w:line="276" w:lineRule="auto"/>
      </w:pPr>
      <w:r>
        <w:rPr>
          <w:rFonts w:ascii="Calibri" w:hAnsi="Calibri"/>
          <w:b/>
          <w:sz w:val="22"/>
        </w:rPr>
        <w:t xml:space="preserve">Özet: </w:t>
      </w:r>
      <w:r>
        <w:rPr>
          <w:rFonts w:ascii="Calibri" w:hAnsi="Calibri"/>
          <w:sz w:val="22"/>
        </w:rPr>
        <w:t>Churn tahmininde sınıf dengesizliğiyle başa çıkma tekniklerini (az örnekleme, gamma, ileri örnekleme) karşılaştırıyor ve accuracy yerine AUC ile lift ölçütlerinin kullanılmasını öneriyor, çünkü accuracy dengesiz verilerde yanıltıcı sonuç verebiliyor.</w:t>
      </w:r>
    </w:p>
    <w:p>
      <w:pPr>
        <w:spacing w:after="80" w:line="276" w:lineRule="auto"/>
      </w:pPr>
      <w:r>
        <w:rPr>
          <w:rFonts w:ascii="Calibri" w:hAnsi="Calibri"/>
          <w:b/>
          <w:sz w:val="22"/>
        </w:rPr>
        <w:t xml:space="preserve">Projeye katkısı: </w:t>
      </w:r>
      <w:r>
        <w:rPr>
          <w:rFonts w:ascii="Calibri" w:hAnsi="Calibri"/>
          <w:sz w:val="22"/>
        </w:rPr>
        <w:t>Projemizdeki “accuracy yerine Recall/PR-AUC/ROC-AUC/F2 kullan” kararının temel literatür dayanağı.</w:t>
      </w:r>
    </w:p>
    <w:p>
      <w:pPr>
        <w:spacing w:after="80" w:line="276" w:lineRule="auto"/>
      </w:pPr>
      <w:r>
        <w:rPr>
          <w:rFonts w:ascii="Calibri" w:hAnsi="Calibri"/>
          <w:b/>
          <w:sz w:val="22"/>
        </w:rPr>
        <w:t xml:space="preserve">Kanıt düzeyi: </w:t>
      </w:r>
      <w:r>
        <w:rPr>
          <w:rFonts w:ascii="Calibri" w:hAnsi="Calibri"/>
          <w:sz w:val="22"/>
        </w:rPr>
        <w:t>Q1 dergi (Expert Systems with Applications)</w:t>
      </w:r>
    </w:p>
    <w:p>
      <w:pPr>
        <w:spacing w:after="80" w:line="276" w:lineRule="auto"/>
      </w:pPr>
      <w:r>
        <w:rPr>
          <w:rFonts w:ascii="Calibri" w:hAnsi="Calibri"/>
          <w:b/>
          <w:sz w:val="22"/>
        </w:rPr>
        <w:t xml:space="preserve">DOI/URL: </w:t>
      </w:r>
      <w:r>
        <w:rPr>
          <w:rFonts w:ascii="Calibri" w:hAnsi="Calibri"/>
          <w:sz w:val="22"/>
        </w:rPr>
        <w:t>https://doi.org/10.1016/j.eswa.2008.05.027</w:t>
      </w:r>
    </w:p>
    <w:p>
      <w:pPr>
        <w:spacing w:after="80" w:line="276" w:lineRule="auto"/>
      </w:pPr>
      <w:r>
        <w:rPr>
          <w:rFonts w:ascii="Calibri" w:hAnsi="Calibri"/>
          <w:b/>
          <w:sz w:val="22"/>
        </w:rPr>
        <w:t xml:space="preserve">Mevcut listede mi: </w:t>
      </w:r>
      <w:r>
        <w:rPr>
          <w:rFonts w:ascii="Calibri" w:hAnsi="Calibri"/>
          <w:sz w:val="22"/>
        </w:rPr>
        <w:t>Evet (mevcut listede #9)</w:t>
      </w:r>
    </w:p>
    <w:p>
      <w:pPr>
        <w:spacing w:after="120"/>
      </w:pPr>
    </w:p>
    <w:p>
      <w:pPr>
        <w:spacing w:after="40"/>
        <w:ind w:left="709" w:hanging="709"/>
      </w:pPr>
      <w:r>
        <w:rPr>
          <w:rFonts w:ascii="Calibri" w:hAnsi="Calibri"/>
          <w:b/>
          <w:sz w:val="22"/>
        </w:rPr>
        <w:t>Haddadi, S. J., Farshidvard, A., dos Santos Silva, F., dos Reis, J. C., &amp; da Silva Reis, M. (2024). Customer churn prediction in imbalanced datasets with resampling methods: A comparative study. Expert Systems with Applications, 246, 123086. https://doi.org/10.1016/j.eswa.2023.123086</w:t>
      </w:r>
    </w:p>
    <w:p>
      <w:pPr>
        <w:spacing w:after="80" w:line="276" w:lineRule="auto"/>
      </w:pPr>
      <w:r>
        <w:rPr>
          <w:rFonts w:ascii="Calibri" w:hAnsi="Calibri"/>
          <w:b/>
          <w:sz w:val="22"/>
        </w:rPr>
        <w:t xml:space="preserve">Metin içi atıf: </w:t>
      </w:r>
      <w:r>
        <w:rPr>
          <w:rFonts w:ascii="Calibri" w:hAnsi="Calibri"/>
          <w:sz w:val="22"/>
        </w:rPr>
        <w:t>(Haddadi vd., 2024)</w:t>
      </w:r>
    </w:p>
    <w:p>
      <w:pPr>
        <w:spacing w:after="80" w:line="276" w:lineRule="auto"/>
      </w:pPr>
      <w:r>
        <w:rPr>
          <w:rFonts w:ascii="Calibri" w:hAnsi="Calibri"/>
          <w:b/>
          <w:sz w:val="22"/>
        </w:rPr>
        <w:t xml:space="preserve">Özet: </w:t>
      </w:r>
      <w:r>
        <w:rPr>
          <w:rFonts w:ascii="Calibri" w:hAnsi="Calibri"/>
          <w:sz w:val="22"/>
        </w:rPr>
        <w:t>Telekom, e-ticaret ve bankacılık sektörlerinden üç dengesiz veri setinde 14 sınıflandırma yöntemini ve SMOTE/ADASYN dahil çeşitli örnekleme stratejilerini karşılaştırıyor; kümeleme ve ensemble tabanlı iki aşamalı yeniden örnekleme + LSTM kombinasyonunun rekabetçi sonuç verdiği bulunuyor.</w:t>
      </w:r>
    </w:p>
    <w:p>
      <w:pPr>
        <w:spacing w:after="80" w:line="276" w:lineRule="auto"/>
      </w:pPr>
      <w:r>
        <w:rPr>
          <w:rFonts w:ascii="Calibri" w:hAnsi="Calibri"/>
          <w:b/>
          <w:sz w:val="22"/>
        </w:rPr>
        <w:t xml:space="preserve">Projeye katkısı: </w:t>
      </w:r>
      <w:r>
        <w:rPr>
          <w:rFonts w:ascii="Calibri" w:hAnsi="Calibri"/>
          <w:sz w:val="22"/>
        </w:rPr>
        <w:t>Bankacılık dahil çok sektörlü, güncel bir örnekleme karşılaştırması; SMOTE'un alternatifleri arasındaki konumunu güncelliyor.</w:t>
      </w:r>
    </w:p>
    <w:p>
      <w:pPr>
        <w:spacing w:after="80" w:line="276" w:lineRule="auto"/>
      </w:pPr>
      <w:r>
        <w:rPr>
          <w:rFonts w:ascii="Calibri" w:hAnsi="Calibri"/>
          <w:b/>
          <w:sz w:val="22"/>
        </w:rPr>
        <w:t xml:space="preserve">Kanıt düzeyi: </w:t>
      </w:r>
      <w:r>
        <w:rPr>
          <w:rFonts w:ascii="Calibri" w:hAnsi="Calibri"/>
          <w:sz w:val="22"/>
        </w:rPr>
        <w:t>Q1 dergi (Expert Systems with Applications)</w:t>
      </w:r>
    </w:p>
    <w:p>
      <w:pPr>
        <w:spacing w:after="80" w:line="276" w:lineRule="auto"/>
      </w:pPr>
      <w:r>
        <w:rPr>
          <w:rFonts w:ascii="Calibri" w:hAnsi="Calibri"/>
          <w:b/>
          <w:sz w:val="22"/>
        </w:rPr>
        <w:t xml:space="preserve">DOI/URL: </w:t>
      </w:r>
      <w:r>
        <w:rPr>
          <w:rFonts w:ascii="Calibri" w:hAnsi="Calibri"/>
          <w:sz w:val="22"/>
        </w:rPr>
        <w:t>https://doi.org/10.1016/j.eswa.2023.123086</w:t>
      </w:r>
    </w:p>
    <w:p>
      <w:pPr>
        <w:spacing w:after="80" w:line="276" w:lineRule="auto"/>
      </w:pPr>
      <w:r>
        <w:rPr>
          <w:rFonts w:ascii="Calibri" w:hAnsi="Calibri"/>
          <w:b/>
          <w:sz w:val="22"/>
        </w:rPr>
        <w:t xml:space="preserve">Mevcut listede mi: </w:t>
      </w:r>
      <w:r>
        <w:rPr>
          <w:rFonts w:ascii="Calibri" w:hAnsi="Calibri"/>
          <w:sz w:val="22"/>
        </w:rPr>
        <w:t>Evet (mevcut listede #10)</w:t>
      </w:r>
    </w:p>
    <w:p>
      <w:pPr>
        <w:spacing w:after="120"/>
      </w:pPr>
    </w:p>
    <w:p>
      <w:pPr>
        <w:pStyle w:val="Heading2"/>
        <w:spacing w:before="280" w:after="120"/>
      </w:pPr>
      <w:r>
        <w:rPr>
          <w:rFonts w:ascii="Calibri" w:hAnsi="Calibri"/>
        </w:rPr>
        <w:t>3. Açıklanabilirlik: SHAP ve churn/kredi uygulamaları</w:t>
      </w:r>
    </w:p>
    <w:p>
      <w:pPr>
        <w:spacing w:after="40"/>
        <w:ind w:left="709" w:hanging="709"/>
      </w:pPr>
      <w:r>
        <w:rPr>
          <w:rFonts w:ascii="Calibri" w:hAnsi="Calibri"/>
          <w:b/>
          <w:sz w:val="22"/>
        </w:rPr>
        <w:t>Lundberg, S. M., &amp; Lee, S.-I. (2017). A unified approach to interpreting model predictions. In Advances in Neural Information Processing Systems 30 (NeurIPS 2017) (pp. 4765–4774).</w:t>
      </w:r>
    </w:p>
    <w:p>
      <w:pPr>
        <w:spacing w:after="80" w:line="276" w:lineRule="auto"/>
      </w:pPr>
      <w:r>
        <w:rPr>
          <w:rFonts w:ascii="Calibri" w:hAnsi="Calibri"/>
          <w:b/>
          <w:sz w:val="22"/>
        </w:rPr>
        <w:t xml:space="preserve">Metin içi atıf: </w:t>
      </w:r>
      <w:r>
        <w:rPr>
          <w:rFonts w:ascii="Calibri" w:hAnsi="Calibri"/>
          <w:sz w:val="22"/>
        </w:rPr>
        <w:t>(Lundberg &amp; Lee, 2017)</w:t>
      </w:r>
    </w:p>
    <w:p>
      <w:pPr>
        <w:spacing w:after="80" w:line="276" w:lineRule="auto"/>
      </w:pPr>
      <w:r>
        <w:rPr>
          <w:rFonts w:ascii="Calibri" w:hAnsi="Calibri"/>
          <w:b/>
          <w:sz w:val="22"/>
        </w:rPr>
        <w:t xml:space="preserve">Özet: </w:t>
      </w:r>
      <w:r>
        <w:rPr>
          <w:rFonts w:ascii="Calibri" w:hAnsi="Calibri"/>
          <w:sz w:val="22"/>
        </w:rPr>
        <w:t>SHAP (SHapley Additive exPlanations) çerçevesini tanıtan temel makale; oyun teorisindeki Shapley değerlerini kullanarak altı mevcut özellik-önem yönteminin (LIME dahil) birleştirildiği, istenen özellikleri sağlayan tek çözümün SHAP olduğunu gösteriyor.</w:t>
      </w:r>
    </w:p>
    <w:p>
      <w:pPr>
        <w:spacing w:after="80" w:line="276" w:lineRule="auto"/>
      </w:pPr>
      <w:r>
        <w:rPr>
          <w:rFonts w:ascii="Calibri" w:hAnsi="Calibri"/>
          <w:b/>
          <w:sz w:val="22"/>
        </w:rPr>
        <w:t xml:space="preserve">Projeye katkısı: </w:t>
      </w:r>
      <w:r>
        <w:rPr>
          <w:rFonts w:ascii="Calibri" w:hAnsi="Calibri"/>
          <w:sz w:val="22"/>
        </w:rPr>
        <w:t>Projedeki SHAP kullanımının (hem TreeExplainer hem genel SHAP çerçevesi) kuramsal temeli.</w:t>
      </w:r>
    </w:p>
    <w:p>
      <w:pPr>
        <w:spacing w:after="80" w:line="276" w:lineRule="auto"/>
      </w:pPr>
      <w:r>
        <w:rPr>
          <w:rFonts w:ascii="Calibri" w:hAnsi="Calibri"/>
          <w:b/>
          <w:sz w:val="22"/>
        </w:rPr>
        <w:t xml:space="preserve">Kanıt düzeyi: </w:t>
      </w:r>
      <w:r>
        <w:rPr>
          <w:rFonts w:ascii="Calibri" w:hAnsi="Calibri"/>
          <w:sz w:val="22"/>
        </w:rPr>
        <w:t>Üst düzey AI konferansı (NeurIPS), çok yüksek atıf sayılı</w:t>
      </w:r>
    </w:p>
    <w:p>
      <w:pPr>
        <w:spacing w:after="80" w:line="276" w:lineRule="auto"/>
      </w:pPr>
      <w:r>
        <w:rPr>
          <w:rFonts w:ascii="Calibri" w:hAnsi="Calibri"/>
          <w:b/>
          <w:sz w:val="22"/>
        </w:rPr>
        <w:t xml:space="preserve">DOI/URL: </w:t>
      </w:r>
      <w:r>
        <w:rPr>
          <w:rFonts w:ascii="Calibri" w:hAnsi="Calibri"/>
          <w:sz w:val="22"/>
        </w:rPr>
        <w:t>https://papers.nips.cc/paper/7062-a-unified-approach-to-interpreting-model-predictions</w:t>
      </w:r>
    </w:p>
    <w:p>
      <w:pPr>
        <w:spacing w:after="80" w:line="276" w:lineRule="auto"/>
      </w:pPr>
      <w:r>
        <w:rPr>
          <w:rFonts w:ascii="Calibri" w:hAnsi="Calibri"/>
          <w:b/>
          <w:sz w:val="22"/>
        </w:rPr>
        <w:t xml:space="preserve">Mevcut listede mi: </w:t>
      </w:r>
      <w:r>
        <w:rPr>
          <w:rFonts w:ascii="Calibri" w:hAnsi="Calibri"/>
          <w:sz w:val="22"/>
        </w:rPr>
        <w:t>Evet (mevcut listede #12, daha önce web'de doğrulanmamıştı)</w:t>
      </w:r>
    </w:p>
    <w:p>
      <w:pPr>
        <w:spacing w:after="80" w:line="276" w:lineRule="auto"/>
      </w:pPr>
      <w:r>
        <w:rPr>
          <w:rFonts w:ascii="Calibri" w:hAnsi="Calibri"/>
          <w:b/>
          <w:sz w:val="22"/>
        </w:rPr>
        <w:t xml:space="preserve">Not: </w:t>
      </w:r>
      <w:r>
        <w:rPr>
          <w:rFonts w:ascii="Calibri" w:hAnsi="Calibri"/>
          <w:sz w:val="22"/>
        </w:rPr>
        <w:t>Sayfa aralığı kaynağa göre değişiyor: NeurIPS Proceedings ve çoğu ikincil kaynak 4765–4774 veriyor, ACM Digital Library kaydı ise 4768–4777 gösteriyor. Tezde NeurIPS proceedings sayfası (4765–4774) esas alınmalı; dipnotla farkın belirtilmesi önerilir.</w:t>
      </w:r>
    </w:p>
    <w:p>
      <w:pPr>
        <w:spacing w:after="120"/>
      </w:pPr>
    </w:p>
    <w:p>
      <w:pPr>
        <w:spacing w:after="40"/>
        <w:ind w:left="709" w:hanging="709"/>
      </w:pPr>
      <w:r>
        <w:rPr>
          <w:rFonts w:ascii="Calibri" w:hAnsi="Calibri"/>
          <w:b/>
          <w:sz w:val="22"/>
        </w:rPr>
        <w:t>Lundberg, S. M., Erion, G., Chen, H., DeGrave, A., &amp; Lee, S.-I. (2020). From local explanations to global understanding with explainable AI for trees. Nature Machine Intelligence, 2(1), 56–67. https://doi.org/10.1038/s42256-019-0138-9</w:t>
      </w:r>
    </w:p>
    <w:p>
      <w:pPr>
        <w:spacing w:after="80" w:line="276" w:lineRule="auto"/>
      </w:pPr>
      <w:r>
        <w:rPr>
          <w:rFonts w:ascii="Calibri" w:hAnsi="Calibri"/>
          <w:b/>
          <w:sz w:val="22"/>
        </w:rPr>
        <w:t xml:space="preserve">Metin içi atıf: </w:t>
      </w:r>
      <w:r>
        <w:rPr>
          <w:rFonts w:ascii="Calibri" w:hAnsi="Calibri"/>
          <w:sz w:val="22"/>
        </w:rPr>
        <w:t>(Lundberg vd., 2020)</w:t>
      </w:r>
    </w:p>
    <w:p>
      <w:pPr>
        <w:spacing w:after="80" w:line="276" w:lineRule="auto"/>
      </w:pPr>
      <w:r>
        <w:rPr>
          <w:rFonts w:ascii="Calibri" w:hAnsi="Calibri"/>
          <w:b/>
          <w:sz w:val="22"/>
        </w:rPr>
        <w:t xml:space="preserve">Özet: </w:t>
      </w:r>
      <w:r>
        <w:rPr>
          <w:rFonts w:ascii="Calibri" w:hAnsi="Calibri"/>
          <w:sz w:val="22"/>
        </w:rPr>
        <w:t>Ağaç tabanlı modeller için optimal yerel açıklamaları polinom zamanda hesaplayan TreeExplainer algoritmasını sunuyor; yerel özellik etkileşim etkilerini ölçen yeni bir açıklama türü ve birçok yerel açıklamayı birleştirerek küresel model yapısını anlamaya yönelik araçlar ekliyor.</w:t>
      </w:r>
    </w:p>
    <w:p>
      <w:pPr>
        <w:spacing w:after="80" w:line="276" w:lineRule="auto"/>
      </w:pPr>
      <w:r>
        <w:rPr>
          <w:rFonts w:ascii="Calibri" w:hAnsi="Calibri"/>
          <w:b/>
          <w:sz w:val="22"/>
        </w:rPr>
        <w:t xml:space="preserve">Projeye katkısı: </w:t>
      </w:r>
      <w:r>
        <w:rPr>
          <w:rFonts w:ascii="Calibri" w:hAnsi="Calibri"/>
          <w:sz w:val="22"/>
        </w:rPr>
        <w:t>Projede doğrudan kullanılan SHAP TreeExplainer'ın birincil kaynağı (Random Forest/XGBoost için).</w:t>
      </w:r>
    </w:p>
    <w:p>
      <w:pPr>
        <w:spacing w:after="80" w:line="276" w:lineRule="auto"/>
      </w:pPr>
      <w:r>
        <w:rPr>
          <w:rFonts w:ascii="Calibri" w:hAnsi="Calibri"/>
          <w:b/>
          <w:sz w:val="22"/>
        </w:rPr>
        <w:t xml:space="preserve">Kanıt düzeyi: </w:t>
      </w:r>
      <w:r>
        <w:rPr>
          <w:rFonts w:ascii="Calibri" w:hAnsi="Calibri"/>
          <w:sz w:val="22"/>
        </w:rPr>
        <w:t>Üst düzey dergi (Nature Machine Intelligence, Q1)</w:t>
      </w:r>
    </w:p>
    <w:p>
      <w:pPr>
        <w:spacing w:after="80" w:line="276" w:lineRule="auto"/>
      </w:pPr>
      <w:r>
        <w:rPr>
          <w:rFonts w:ascii="Calibri" w:hAnsi="Calibri"/>
          <w:b/>
          <w:sz w:val="22"/>
        </w:rPr>
        <w:t xml:space="preserve">DOI/URL: </w:t>
      </w:r>
      <w:r>
        <w:rPr>
          <w:rFonts w:ascii="Calibri" w:hAnsi="Calibri"/>
          <w:sz w:val="22"/>
        </w:rPr>
        <w:t>https://doi.org/10.1038/s42256-019-0138-9</w:t>
      </w:r>
    </w:p>
    <w:p>
      <w:pPr>
        <w:spacing w:after="80" w:line="276" w:lineRule="auto"/>
      </w:pPr>
      <w:r>
        <w:rPr>
          <w:rFonts w:ascii="Calibri" w:hAnsi="Calibri"/>
          <w:b/>
          <w:sz w:val="22"/>
        </w:rPr>
        <w:t xml:space="preserve">Mevcut listede mi: </w:t>
      </w:r>
      <w:r>
        <w:rPr>
          <w:rFonts w:ascii="Calibri" w:hAnsi="Calibri"/>
          <w:sz w:val="22"/>
        </w:rPr>
        <w:t>Hayır (yeni eklenen kaynak)</w:t>
      </w:r>
    </w:p>
    <w:p>
      <w:pPr>
        <w:spacing w:after="120"/>
      </w:pPr>
    </w:p>
    <w:p>
      <w:pPr>
        <w:spacing w:after="40"/>
        <w:ind w:left="709" w:hanging="709"/>
      </w:pPr>
      <w:r>
        <w:rPr>
          <w:rFonts w:ascii="Calibri" w:hAnsi="Calibri"/>
          <w:b/>
          <w:sz w:val="22"/>
        </w:rPr>
        <w:t>Guliyev, H., &amp; Yerdelen Tatoğlu, F. (2021). Customer churn analysis in banking sector: Evidence from explainable machine learning models. Journal of Applied Microeconometrics, 1(2), 85–99. https://doi.org/10.53753/jame.1.2.03</w:t>
      </w:r>
    </w:p>
    <w:p>
      <w:pPr>
        <w:spacing w:after="80" w:line="276" w:lineRule="auto"/>
      </w:pPr>
      <w:r>
        <w:rPr>
          <w:rFonts w:ascii="Calibri" w:hAnsi="Calibri"/>
          <w:b/>
          <w:sz w:val="22"/>
        </w:rPr>
        <w:t xml:space="preserve">Metin içi atıf: </w:t>
      </w:r>
      <w:r>
        <w:rPr>
          <w:rFonts w:ascii="Calibri" w:hAnsi="Calibri"/>
          <w:sz w:val="22"/>
        </w:rPr>
        <w:t>(Guliyev &amp; Yerdelen Tatoğlu, 2021)</w:t>
      </w:r>
    </w:p>
    <w:p>
      <w:pPr>
        <w:spacing w:after="80" w:line="276" w:lineRule="auto"/>
      </w:pPr>
      <w:r>
        <w:rPr>
          <w:rFonts w:ascii="Calibri" w:hAnsi="Calibri"/>
          <w:b/>
          <w:sz w:val="22"/>
        </w:rPr>
        <w:t xml:space="preserve">Özet: </w:t>
      </w:r>
      <w:r>
        <w:rPr>
          <w:rFonts w:ascii="Calibri" w:hAnsi="Calibri"/>
          <w:sz w:val="22"/>
        </w:rPr>
        <w:t>Gerçek banka verisiyle açıklanabilir ML modelleri eğitiliyor ve SHAP değerleriyle yorumlanıyor; XGBoost diğer yöntemlere göre churn sınıflandırmasında daha başarılı bulunuyor.</w:t>
      </w:r>
    </w:p>
    <w:p>
      <w:pPr>
        <w:spacing w:after="80" w:line="276" w:lineRule="auto"/>
      </w:pPr>
      <w:r>
        <w:rPr>
          <w:rFonts w:ascii="Calibri" w:hAnsi="Calibri"/>
          <w:b/>
          <w:sz w:val="22"/>
        </w:rPr>
        <w:t xml:space="preserve">Projeye katkısı: </w:t>
      </w:r>
      <w:r>
        <w:rPr>
          <w:rFonts w:ascii="Calibri" w:hAnsi="Calibri"/>
          <w:sz w:val="22"/>
        </w:rPr>
        <w:t>Bankacılık + SHAP ikilisinde pipeline'ımıza en yakın emsal çalışma; XGBoost tercihimizi destekliyor.</w:t>
      </w:r>
    </w:p>
    <w:p>
      <w:pPr>
        <w:spacing w:after="80" w:line="276" w:lineRule="auto"/>
      </w:pPr>
      <w:r>
        <w:rPr>
          <w:rFonts w:ascii="Calibri" w:hAnsi="Calibri"/>
          <w:b/>
          <w:sz w:val="22"/>
        </w:rPr>
        <w:t xml:space="preserve">Kanıt düzeyi: </w:t>
      </w:r>
      <w:r>
        <w:rPr>
          <w:rFonts w:ascii="Calibri" w:hAnsi="Calibri"/>
          <w:sz w:val="22"/>
        </w:rPr>
        <w:t>Niş/yeni ekonometri dergisi (henüz geniş indekslenmemiş, orta düzey)</w:t>
      </w:r>
    </w:p>
    <w:p>
      <w:pPr>
        <w:spacing w:after="80" w:line="276" w:lineRule="auto"/>
      </w:pPr>
      <w:r>
        <w:rPr>
          <w:rFonts w:ascii="Calibri" w:hAnsi="Calibri"/>
          <w:b/>
          <w:sz w:val="22"/>
        </w:rPr>
        <w:t xml:space="preserve">DOI/URL: </w:t>
      </w:r>
      <w:r>
        <w:rPr>
          <w:rFonts w:ascii="Calibri" w:hAnsi="Calibri"/>
          <w:sz w:val="22"/>
        </w:rPr>
        <w:t>https://doi.org/10.53753/jame.1.2.03</w:t>
      </w:r>
    </w:p>
    <w:p>
      <w:pPr>
        <w:spacing w:after="80" w:line="276" w:lineRule="auto"/>
      </w:pPr>
      <w:r>
        <w:rPr>
          <w:rFonts w:ascii="Calibri" w:hAnsi="Calibri"/>
          <w:b/>
          <w:sz w:val="22"/>
        </w:rPr>
        <w:t xml:space="preserve">Mevcut listede mi: </w:t>
      </w:r>
      <w:r>
        <w:rPr>
          <w:rFonts w:ascii="Calibri" w:hAnsi="Calibri"/>
          <w:sz w:val="22"/>
        </w:rPr>
        <w:t>Evet (mevcut listede #13)</w:t>
      </w:r>
    </w:p>
    <w:p>
      <w:pPr>
        <w:spacing w:after="120"/>
      </w:pPr>
    </w:p>
    <w:p>
      <w:pPr>
        <w:spacing w:after="40"/>
        <w:ind w:left="709" w:hanging="709"/>
      </w:pPr>
      <w:r>
        <w:rPr>
          <w:rFonts w:ascii="Calibri" w:hAnsi="Calibri"/>
          <w:b/>
          <w:sz w:val="22"/>
        </w:rPr>
        <w:t>Maan, J., &amp; Maan, H. (2023). Customer churn prediction model using explainable machine learning (arXiv:2303.00960). arXiv. https://arxiv.org/abs/2303.00960</w:t>
      </w:r>
    </w:p>
    <w:p>
      <w:pPr>
        <w:spacing w:after="80" w:line="276" w:lineRule="auto"/>
      </w:pPr>
      <w:r>
        <w:rPr>
          <w:rFonts w:ascii="Calibri" w:hAnsi="Calibri"/>
          <w:b/>
          <w:sz w:val="22"/>
        </w:rPr>
        <w:t xml:space="preserve">Metin içi atıf: </w:t>
      </w:r>
      <w:r>
        <w:rPr>
          <w:rFonts w:ascii="Calibri" w:hAnsi="Calibri"/>
          <w:sz w:val="22"/>
        </w:rPr>
        <w:t>(Maan &amp; Maan, 2023)</w:t>
      </w:r>
    </w:p>
    <w:p>
      <w:pPr>
        <w:spacing w:after="80" w:line="276" w:lineRule="auto"/>
      </w:pPr>
      <w:r>
        <w:rPr>
          <w:rFonts w:ascii="Calibri" w:hAnsi="Calibri"/>
          <w:b/>
          <w:sz w:val="22"/>
        </w:rPr>
        <w:t xml:space="preserve">Özet: </w:t>
      </w:r>
      <w:r>
        <w:rPr>
          <w:rFonts w:ascii="Calibri" w:hAnsi="Calibri"/>
          <w:sz w:val="22"/>
        </w:rPr>
        <w:t>Ağaç tabanlı modeller arasında XGBoost'u en iyi performans gösteren sınıflandırıcı olarak belirliyor ve Shapley değerleriyle öznitelik önemini açıklıyor; Tablo 2'de XGB için 0.836 F1 ve 0.962 accuracy raporlanıyor.</w:t>
      </w:r>
    </w:p>
    <w:p>
      <w:pPr>
        <w:spacing w:after="80" w:line="276" w:lineRule="auto"/>
      </w:pPr>
      <w:r>
        <w:rPr>
          <w:rFonts w:ascii="Calibri" w:hAnsi="Calibri"/>
          <w:b/>
          <w:sz w:val="22"/>
        </w:rPr>
        <w:t xml:space="preserve">Projeye katkısı: </w:t>
      </w:r>
      <w:r>
        <w:rPr>
          <w:rFonts w:ascii="Calibri" w:hAnsi="Calibri"/>
          <w:sz w:val="22"/>
        </w:rPr>
        <w:t>SHAP + XGBoost ikilisi için ek emsal; ayrıca “accuracy yanıltıcıdır” argümanı için ikinci bir sayısal örnek sağlıyor.</w:t>
      </w:r>
    </w:p>
    <w:p>
      <w:pPr>
        <w:spacing w:after="80" w:line="276" w:lineRule="auto"/>
      </w:pPr>
      <w:r>
        <w:rPr>
          <w:rFonts w:ascii="Calibri" w:hAnsi="Calibri"/>
          <w:b/>
          <w:sz w:val="22"/>
        </w:rPr>
        <w:t xml:space="preserve">Kanıt düzeyi: </w:t>
      </w:r>
      <w:r>
        <w:rPr>
          <w:rFonts w:ascii="Calibri" w:hAnsi="Calibri"/>
          <w:sz w:val="22"/>
        </w:rPr>
        <w:t>Hakemsiz ön-baskı (arXiv preprint)</w:t>
      </w:r>
    </w:p>
    <w:p>
      <w:pPr>
        <w:spacing w:after="80" w:line="276" w:lineRule="auto"/>
      </w:pPr>
      <w:r>
        <w:rPr>
          <w:rFonts w:ascii="Calibri" w:hAnsi="Calibri"/>
          <w:b/>
          <w:sz w:val="22"/>
        </w:rPr>
        <w:t xml:space="preserve">DOI/URL: </w:t>
      </w:r>
      <w:r>
        <w:rPr>
          <w:rFonts w:ascii="Calibri" w:hAnsi="Calibri"/>
          <w:sz w:val="22"/>
        </w:rPr>
        <w:t>https://arxiv.org/abs/2303.00960</w:t>
      </w:r>
    </w:p>
    <w:p>
      <w:pPr>
        <w:spacing w:after="80" w:line="276" w:lineRule="auto"/>
      </w:pPr>
      <w:r>
        <w:rPr>
          <w:rFonts w:ascii="Calibri" w:hAnsi="Calibri"/>
          <w:b/>
          <w:sz w:val="22"/>
        </w:rPr>
        <w:t xml:space="preserve">Mevcut listede mi: </w:t>
      </w:r>
      <w:r>
        <w:rPr>
          <w:rFonts w:ascii="Calibri" w:hAnsi="Calibri"/>
          <w:sz w:val="22"/>
        </w:rPr>
        <w:t>Evet (mevcut listede #14)</w:t>
      </w:r>
    </w:p>
    <w:p>
      <w:pPr>
        <w:spacing w:after="80" w:line="276" w:lineRule="auto"/>
      </w:pPr>
      <w:r>
        <w:rPr>
          <w:rFonts w:ascii="Calibri" w:hAnsi="Calibri"/>
          <w:b/>
          <w:sz w:val="22"/>
        </w:rPr>
        <w:t xml:space="preserve">Not: </w:t>
      </w:r>
      <w:r>
        <w:rPr>
          <w:rFonts w:ascii="Calibri" w:hAnsi="Calibri"/>
          <w:sz w:val="22"/>
        </w:rPr>
        <w:t>Makalenin Tablo 1'inde churn sınıfı recall değeri 0.22 olarak geçiyor; bu, Tablo 2'deki yüksek accuracy/F1 ile çelişiyor ve makalenin kendi içinde tutarsız olduğunu gösteriyor. Yalnızca Tablo 2'deki accuracy/F1 sayıları kullanılmalı, recall/AUC rakamları alıntılanmamalı.</w:t>
      </w:r>
    </w:p>
    <w:p>
      <w:pPr>
        <w:spacing w:after="120"/>
      </w:pPr>
    </w:p>
    <w:p>
      <w:pPr>
        <w:spacing w:after="40"/>
        <w:ind w:left="709" w:hanging="709"/>
      </w:pPr>
      <w:r>
        <w:rPr>
          <w:rFonts w:ascii="Calibri" w:hAnsi="Calibri"/>
          <w:b/>
          <w:sz w:val="22"/>
        </w:rPr>
        <w:t>Rasool, H. A., Aljawaheri, K. K., &amp; Karram, A. A. M. (2025). Explainable customer churn prediction in telecom using ensemble learning and SHAP analysis. Mathematical Modelling of Engineering Problems, 12(12), 4373–4386. https://doi.org/10.18280/mmep.121226</w:t>
      </w:r>
    </w:p>
    <w:p>
      <w:pPr>
        <w:spacing w:after="80" w:line="276" w:lineRule="auto"/>
      </w:pPr>
      <w:r>
        <w:rPr>
          <w:rFonts w:ascii="Calibri" w:hAnsi="Calibri"/>
          <w:b/>
          <w:sz w:val="22"/>
        </w:rPr>
        <w:t xml:space="preserve">Metin içi atıf: </w:t>
      </w:r>
      <w:r>
        <w:rPr>
          <w:rFonts w:ascii="Calibri" w:hAnsi="Calibri"/>
          <w:sz w:val="22"/>
        </w:rPr>
        <w:t>(Rasool vd., 2025)</w:t>
      </w:r>
    </w:p>
    <w:p>
      <w:pPr>
        <w:spacing w:after="80" w:line="276" w:lineRule="auto"/>
      </w:pPr>
      <w:r>
        <w:rPr>
          <w:rFonts w:ascii="Calibri" w:hAnsi="Calibri"/>
          <w:b/>
          <w:sz w:val="22"/>
        </w:rPr>
        <w:t xml:space="preserve">Özet: </w:t>
      </w:r>
      <w:r>
        <w:rPr>
          <w:rFonts w:ascii="Calibri" w:hAnsi="Calibri"/>
          <w:sz w:val="22"/>
        </w:rPr>
        <w:t>3.333 kayıtlık telekom verisinde SMOTE + beş temel sınıflandırıcıdan oluşan bir stacking ensemble + SHAP kullanılıyor; %94.75 accuracy elde edilirken churn sınıfı recall değeri yalnızca %73.20 olarak raporlanıyor.</w:t>
      </w:r>
    </w:p>
    <w:p>
      <w:pPr>
        <w:spacing w:after="80" w:line="276" w:lineRule="auto"/>
      </w:pPr>
      <w:r>
        <w:rPr>
          <w:rFonts w:ascii="Calibri" w:hAnsi="Calibri"/>
          <w:b/>
          <w:sz w:val="22"/>
        </w:rPr>
        <w:t xml:space="preserve">Projeye katkısı: </w:t>
      </w:r>
      <w:r>
        <w:rPr>
          <w:rFonts w:ascii="Calibri" w:hAnsi="Calibri"/>
          <w:sz w:val="22"/>
        </w:rPr>
        <w:t>Accuracy'nin yanıltıcı olabileceğine dair somut, güncel sayısal örnek; ayrıca SMOTE + stacking + SHAP üçlüsü projemizin iskeletine çok yakın bir emsal.</w:t>
      </w:r>
    </w:p>
    <w:p>
      <w:pPr>
        <w:spacing w:after="80" w:line="276" w:lineRule="auto"/>
      </w:pPr>
      <w:r>
        <w:rPr>
          <w:rFonts w:ascii="Calibri" w:hAnsi="Calibri"/>
          <w:b/>
          <w:sz w:val="22"/>
        </w:rPr>
        <w:t xml:space="preserve">Kanıt düzeyi: </w:t>
      </w:r>
      <w:r>
        <w:rPr>
          <w:rFonts w:ascii="Calibri" w:hAnsi="Calibri"/>
          <w:sz w:val="22"/>
        </w:rPr>
        <w:t>Düşük-orta prestijli uluslararası dergi (IIETA/MMEP)</w:t>
      </w:r>
    </w:p>
    <w:p>
      <w:pPr>
        <w:spacing w:after="80" w:line="276" w:lineRule="auto"/>
      </w:pPr>
      <w:r>
        <w:rPr>
          <w:rFonts w:ascii="Calibri" w:hAnsi="Calibri"/>
          <w:b/>
          <w:sz w:val="22"/>
        </w:rPr>
        <w:t xml:space="preserve">DOI/URL: </w:t>
      </w:r>
      <w:r>
        <w:rPr>
          <w:rFonts w:ascii="Calibri" w:hAnsi="Calibri"/>
          <w:sz w:val="22"/>
        </w:rPr>
        <w:t>https://doi.org/10.18280/mmep.121226</w:t>
      </w:r>
    </w:p>
    <w:p>
      <w:pPr>
        <w:spacing w:after="80" w:line="276" w:lineRule="auto"/>
      </w:pPr>
      <w:r>
        <w:rPr>
          <w:rFonts w:ascii="Calibri" w:hAnsi="Calibri"/>
          <w:b/>
          <w:sz w:val="22"/>
        </w:rPr>
        <w:t xml:space="preserve">Mevcut listede mi: </w:t>
      </w:r>
      <w:r>
        <w:rPr>
          <w:rFonts w:ascii="Calibri" w:hAnsi="Calibri"/>
          <w:sz w:val="22"/>
        </w:rPr>
        <w:t>Evet (mevcut listede #15, tam metin okunmuş)</w:t>
      </w:r>
    </w:p>
    <w:p>
      <w:pPr>
        <w:spacing w:after="120"/>
      </w:pPr>
    </w:p>
    <w:p>
      <w:pPr>
        <w:spacing w:after="40"/>
        <w:ind w:left="709" w:hanging="709"/>
      </w:pPr>
      <w:r>
        <w:rPr>
          <w:rFonts w:ascii="Calibri" w:hAnsi="Calibri"/>
          <w:b/>
          <w:sz w:val="22"/>
        </w:rPr>
        <w:t>Wang, D. Y. C., Jordanger, L. A., &amp; Lin, J. C.-W. (2025). Explainability of highly associated fuzzy churn patterns in binary classification. Expert Systems, 42(1), e70066. https://doi.org/10.1111/exsy.70066</w:t>
      </w:r>
    </w:p>
    <w:p>
      <w:pPr>
        <w:spacing w:after="80" w:line="276" w:lineRule="auto"/>
      </w:pPr>
      <w:r>
        <w:rPr>
          <w:rFonts w:ascii="Calibri" w:hAnsi="Calibri"/>
          <w:b/>
          <w:sz w:val="22"/>
        </w:rPr>
        <w:t xml:space="preserve">Metin içi atıf: </w:t>
      </w:r>
      <w:r>
        <w:rPr>
          <w:rFonts w:ascii="Calibri" w:hAnsi="Calibri"/>
          <w:sz w:val="22"/>
        </w:rPr>
        <w:t>(Wang vd., 2025)</w:t>
      </w:r>
    </w:p>
    <w:p>
      <w:pPr>
        <w:spacing w:after="80" w:line="276" w:lineRule="auto"/>
      </w:pPr>
      <w:r>
        <w:rPr>
          <w:rFonts w:ascii="Calibri" w:hAnsi="Calibri"/>
          <w:b/>
          <w:sz w:val="22"/>
        </w:rPr>
        <w:t xml:space="preserve">Özet: </w:t>
      </w:r>
      <w:r>
        <w:rPr>
          <w:rFonts w:ascii="Calibri" w:hAnsi="Calibri"/>
          <w:sz w:val="22"/>
        </w:rPr>
        <w:t>Bulanık küme kuramı ve top-k yüksek-faydalı örüntü madenciliğini birleştirerek “Highly Associated Fuzzy Churn Patterns (HAFCP)” adlı yeni bir yaklaşım sunuyor; amaç SHAP gibi yöntemlerin tekil özellik sınırını aşıp özellik kombinasyonlarını açıklamak.</w:t>
      </w:r>
    </w:p>
    <w:p>
      <w:pPr>
        <w:spacing w:after="80" w:line="276" w:lineRule="auto"/>
      </w:pPr>
      <w:r>
        <w:rPr>
          <w:rFonts w:ascii="Calibri" w:hAnsi="Calibri"/>
          <w:b/>
          <w:sz w:val="22"/>
        </w:rPr>
        <w:t xml:space="preserve">Projeye katkısı: </w:t>
      </w:r>
      <w:r>
        <w:rPr>
          <w:rFonts w:ascii="Calibri" w:hAnsi="Calibri"/>
          <w:sz w:val="22"/>
        </w:rPr>
        <w:t>SHAP'ın sınırlılıkları (tekil özellik odaklı olması) tartışmasında kullanılabilir; tezin sınırlılıklar/gelecek çalışma bölümü için referans.</w:t>
      </w:r>
    </w:p>
    <w:p>
      <w:pPr>
        <w:spacing w:after="80" w:line="276" w:lineRule="auto"/>
      </w:pPr>
      <w:r>
        <w:rPr>
          <w:rFonts w:ascii="Calibri" w:hAnsi="Calibri"/>
          <w:b/>
          <w:sz w:val="22"/>
        </w:rPr>
        <w:t xml:space="preserve">Kanıt düzeyi: </w:t>
      </w:r>
      <w:r>
        <w:rPr>
          <w:rFonts w:ascii="Calibri" w:hAnsi="Calibri"/>
          <w:sz w:val="22"/>
        </w:rPr>
        <w:t>Q2 dergi (Expert Systems, Wiley); arXiv ön-baskısı da mevcut (arXiv:2410.15827)</w:t>
      </w:r>
    </w:p>
    <w:p>
      <w:pPr>
        <w:spacing w:after="80" w:line="276" w:lineRule="auto"/>
      </w:pPr>
      <w:r>
        <w:rPr>
          <w:rFonts w:ascii="Calibri" w:hAnsi="Calibri"/>
          <w:b/>
          <w:sz w:val="22"/>
        </w:rPr>
        <w:t xml:space="preserve">DOI/URL: </w:t>
      </w:r>
      <w:r>
        <w:rPr>
          <w:rFonts w:ascii="Calibri" w:hAnsi="Calibri"/>
          <w:sz w:val="22"/>
        </w:rPr>
        <w:t>https://doi.org/10.1111/exsy.70066</w:t>
      </w:r>
    </w:p>
    <w:p>
      <w:pPr>
        <w:spacing w:after="80" w:line="276" w:lineRule="auto"/>
      </w:pPr>
      <w:r>
        <w:rPr>
          <w:rFonts w:ascii="Calibri" w:hAnsi="Calibri"/>
          <w:b/>
          <w:sz w:val="22"/>
        </w:rPr>
        <w:t xml:space="preserve">Mevcut listede mi: </w:t>
      </w:r>
      <w:r>
        <w:rPr>
          <w:rFonts w:ascii="Calibri" w:hAnsi="Calibri"/>
          <w:sz w:val="22"/>
        </w:rPr>
        <w:t>Evet (mevcut listede #16, tam yazar listesi netleşti: Wang, Jordanger, Lin)</w:t>
      </w:r>
    </w:p>
    <w:p>
      <w:pPr>
        <w:spacing w:after="120"/>
      </w:pPr>
    </w:p>
    <w:p>
      <w:pPr>
        <w:pStyle w:val="Heading2"/>
        <w:spacing w:before="280" w:after="120"/>
      </w:pPr>
      <w:r>
        <w:rPr>
          <w:rFonts w:ascii="Calibri" w:hAnsi="Calibri"/>
        </w:rPr>
        <w:t>4. Model karşılaştırma: McNemar testi ve çoklu karşılaştırma düzeltmesi</w:t>
      </w:r>
    </w:p>
    <w:p>
      <w:pPr>
        <w:spacing w:after="40"/>
        <w:ind w:left="709" w:hanging="709"/>
      </w:pPr>
      <w:r>
        <w:rPr>
          <w:rFonts w:ascii="Calibri" w:hAnsi="Calibri"/>
          <w:b/>
          <w:sz w:val="22"/>
        </w:rPr>
        <w:t>McNemar, Q. (1947). Note on the sampling error of the difference between correlated proportions or percentages. Psychometrika, 12(2), 153–157. https://doi.org/10.1007/BF02295996</w:t>
      </w:r>
    </w:p>
    <w:p>
      <w:pPr>
        <w:spacing w:after="80" w:line="276" w:lineRule="auto"/>
      </w:pPr>
      <w:r>
        <w:rPr>
          <w:rFonts w:ascii="Calibri" w:hAnsi="Calibri"/>
          <w:b/>
          <w:sz w:val="22"/>
        </w:rPr>
        <w:t xml:space="preserve">Metin içi atıf: </w:t>
      </w:r>
      <w:r>
        <w:rPr>
          <w:rFonts w:ascii="Calibri" w:hAnsi="Calibri"/>
          <w:sz w:val="22"/>
        </w:rPr>
        <w:t>(McNemar, 1947)</w:t>
      </w:r>
    </w:p>
    <w:p>
      <w:pPr>
        <w:spacing w:after="80" w:line="276" w:lineRule="auto"/>
      </w:pPr>
      <w:r>
        <w:rPr>
          <w:rFonts w:ascii="Calibri" w:hAnsi="Calibri"/>
          <w:b/>
          <w:sz w:val="22"/>
        </w:rPr>
        <w:t xml:space="preserve">Özet: </w:t>
      </w:r>
      <w:r>
        <w:rPr>
          <w:rFonts w:ascii="Calibri" w:hAnsi="Calibri"/>
          <w:sz w:val="22"/>
        </w:rPr>
        <w:t>Eşleştirilmiş (correlated) oranlar arasındaki farkın anlamlılığını test etmek için iki formül sunuyor ve bunlardan birinin ki-kare eşdeğerine işaret ediyor. McNemar testinin orijinal kaynağı.</w:t>
      </w:r>
    </w:p>
    <w:p>
      <w:pPr>
        <w:spacing w:after="80" w:line="276" w:lineRule="auto"/>
      </w:pPr>
      <w:r>
        <w:rPr>
          <w:rFonts w:ascii="Calibri" w:hAnsi="Calibri"/>
          <w:b/>
          <w:sz w:val="22"/>
        </w:rPr>
        <w:t xml:space="preserve">Projeye katkısı: </w:t>
      </w:r>
      <w:r>
        <w:rPr>
          <w:rFonts w:ascii="Calibri" w:hAnsi="Calibri"/>
          <w:sz w:val="22"/>
        </w:rPr>
        <w:t>Model karşılaştırmasında kullandığımız McNemar testinin birincil/tarihsel kaynağı.</w:t>
      </w:r>
    </w:p>
    <w:p>
      <w:pPr>
        <w:spacing w:after="80" w:line="276" w:lineRule="auto"/>
      </w:pPr>
      <w:r>
        <w:rPr>
          <w:rFonts w:ascii="Calibri" w:hAnsi="Calibri"/>
          <w:b/>
          <w:sz w:val="22"/>
        </w:rPr>
        <w:t xml:space="preserve">Kanıt düzeyi: </w:t>
      </w:r>
      <w:r>
        <w:rPr>
          <w:rFonts w:ascii="Calibri" w:hAnsi="Calibri"/>
          <w:sz w:val="22"/>
        </w:rPr>
        <w:t>Klasik istatistik dergisi makalesi (Psychometrika)</w:t>
      </w:r>
    </w:p>
    <w:p>
      <w:pPr>
        <w:spacing w:after="80" w:line="276" w:lineRule="auto"/>
      </w:pPr>
      <w:r>
        <w:rPr>
          <w:rFonts w:ascii="Calibri" w:hAnsi="Calibri"/>
          <w:b/>
          <w:sz w:val="22"/>
        </w:rPr>
        <w:t xml:space="preserve">DOI/URL: </w:t>
      </w:r>
      <w:r>
        <w:rPr>
          <w:rFonts w:ascii="Calibri" w:hAnsi="Calibri"/>
          <w:sz w:val="22"/>
        </w:rPr>
        <w:t>https://doi.org/10.1007/BF02295996</w:t>
      </w:r>
    </w:p>
    <w:p>
      <w:pPr>
        <w:spacing w:after="80" w:line="276" w:lineRule="auto"/>
      </w:pPr>
      <w:r>
        <w:rPr>
          <w:rFonts w:ascii="Calibri" w:hAnsi="Calibri"/>
          <w:b/>
          <w:sz w:val="22"/>
        </w:rPr>
        <w:t xml:space="preserve">Mevcut listede mi: </w:t>
      </w:r>
      <w:r>
        <w:rPr>
          <w:rFonts w:ascii="Calibri" w:hAnsi="Calibri"/>
          <w:sz w:val="22"/>
        </w:rPr>
        <w:t>Evet (mevcut listede #17)</w:t>
      </w:r>
    </w:p>
    <w:p>
      <w:pPr>
        <w:spacing w:after="80" w:line="276" w:lineRule="auto"/>
      </w:pPr>
      <w:r>
        <w:rPr>
          <w:rFonts w:ascii="Calibri" w:hAnsi="Calibri"/>
          <w:b/>
          <w:sz w:val="22"/>
        </w:rPr>
        <w:t xml:space="preserve">Not: </w:t>
      </w:r>
      <w:r>
        <w:rPr>
          <w:rFonts w:ascii="Calibri" w:hAnsi="Calibri"/>
          <w:sz w:val="22"/>
        </w:rPr>
        <w:t>Yalnızca özet cümlesi doğrulandı; testin modern formülasyonu için doğrudan alıntı yapılmayacak, yöntem açıklaması Dietterich (1998) gibi ikincil/pedagojik kaynaklara dayandırılacak.</w:t>
      </w:r>
    </w:p>
    <w:p>
      <w:pPr>
        <w:spacing w:after="120"/>
      </w:pPr>
    </w:p>
    <w:p>
      <w:pPr>
        <w:spacing w:after="40"/>
        <w:ind w:left="709" w:hanging="709"/>
      </w:pPr>
      <w:r>
        <w:rPr>
          <w:rFonts w:ascii="Calibri" w:hAnsi="Calibri"/>
          <w:b/>
          <w:sz w:val="22"/>
        </w:rPr>
        <w:t>Dietterich, T. G. (1998). Approximate statistical tests for comparing supervised classification learning algorithms. Neural Computation, 10(7), 1895–1923. https://doi.org/10.1162/089976698300017197</w:t>
      </w:r>
    </w:p>
    <w:p>
      <w:pPr>
        <w:spacing w:after="80" w:line="276" w:lineRule="auto"/>
      </w:pPr>
      <w:r>
        <w:rPr>
          <w:rFonts w:ascii="Calibri" w:hAnsi="Calibri"/>
          <w:b/>
          <w:sz w:val="22"/>
        </w:rPr>
        <w:t xml:space="preserve">Metin içi atıf: </w:t>
      </w:r>
      <w:r>
        <w:rPr>
          <w:rFonts w:ascii="Calibri" w:hAnsi="Calibri"/>
          <w:sz w:val="22"/>
        </w:rPr>
        <w:t>(Dietterich, 1998)</w:t>
      </w:r>
    </w:p>
    <w:p>
      <w:pPr>
        <w:spacing w:after="80" w:line="276" w:lineRule="auto"/>
      </w:pPr>
      <w:r>
        <w:rPr>
          <w:rFonts w:ascii="Calibri" w:hAnsi="Calibri"/>
          <w:b/>
          <w:sz w:val="22"/>
        </w:rPr>
        <w:t xml:space="preserve">Özet: </w:t>
      </w:r>
      <w:r>
        <w:rPr>
          <w:rFonts w:ascii="Calibri" w:hAnsi="Calibri"/>
          <w:sz w:val="22"/>
        </w:rPr>
        <w:t>Sınıflandırma algoritmalarını karşılaştırmak için beş yaklaşık istatistiksel testi inceliyor; tek bir eğitim/test bölümlemesi senaryosunda McNemar testinin kabul edilebilir Tip I hatasına sahip olduğunu, 5×2cv t testinin ise biraz daha güçlü olduğunu gösteriyor.</w:t>
      </w:r>
    </w:p>
    <w:p>
      <w:pPr>
        <w:spacing w:after="80" w:line="276" w:lineRule="auto"/>
      </w:pPr>
      <w:r>
        <w:rPr>
          <w:rFonts w:ascii="Calibri" w:hAnsi="Calibri"/>
          <w:b/>
          <w:sz w:val="22"/>
        </w:rPr>
        <w:t xml:space="preserve">Projeye katkısı: </w:t>
      </w:r>
      <w:r>
        <w:rPr>
          <w:rFonts w:ascii="Calibri" w:hAnsi="Calibri"/>
          <w:sz w:val="22"/>
        </w:rPr>
        <w:t>Projede McNemar testinin neden seçildiğinin doğrudan metodolojik gerekçesi.</w:t>
      </w:r>
    </w:p>
    <w:p>
      <w:pPr>
        <w:spacing w:after="80" w:line="276" w:lineRule="auto"/>
      </w:pPr>
      <w:r>
        <w:rPr>
          <w:rFonts w:ascii="Calibri" w:hAnsi="Calibri"/>
          <w:b/>
          <w:sz w:val="22"/>
        </w:rPr>
        <w:t xml:space="preserve">Kanıt düzeyi: </w:t>
      </w:r>
      <w:r>
        <w:rPr>
          <w:rFonts w:ascii="Calibri" w:hAnsi="Calibri"/>
          <w:sz w:val="22"/>
        </w:rPr>
        <w:t>Q1 dergi (Neural Computation)</w:t>
      </w:r>
    </w:p>
    <w:p>
      <w:pPr>
        <w:spacing w:after="80" w:line="276" w:lineRule="auto"/>
      </w:pPr>
      <w:r>
        <w:rPr>
          <w:rFonts w:ascii="Calibri" w:hAnsi="Calibri"/>
          <w:b/>
          <w:sz w:val="22"/>
        </w:rPr>
        <w:t xml:space="preserve">DOI/URL: </w:t>
      </w:r>
      <w:r>
        <w:rPr>
          <w:rFonts w:ascii="Calibri" w:hAnsi="Calibri"/>
          <w:sz w:val="22"/>
        </w:rPr>
        <w:t>https://doi.org/10.1162/089976698300017197</w:t>
      </w:r>
    </w:p>
    <w:p>
      <w:pPr>
        <w:spacing w:after="80" w:line="276" w:lineRule="auto"/>
      </w:pPr>
      <w:r>
        <w:rPr>
          <w:rFonts w:ascii="Calibri" w:hAnsi="Calibri"/>
          <w:b/>
          <w:sz w:val="22"/>
        </w:rPr>
        <w:t xml:space="preserve">Mevcut listede mi: </w:t>
      </w:r>
      <w:r>
        <w:rPr>
          <w:rFonts w:ascii="Calibri" w:hAnsi="Calibri"/>
          <w:sz w:val="22"/>
        </w:rPr>
        <w:t>Evet (mevcut listede #18)</w:t>
      </w:r>
    </w:p>
    <w:p>
      <w:pPr>
        <w:spacing w:after="120"/>
      </w:pPr>
    </w:p>
    <w:p>
      <w:pPr>
        <w:spacing w:after="40"/>
        <w:ind w:left="709" w:hanging="709"/>
      </w:pPr>
      <w:r>
        <w:rPr>
          <w:rFonts w:ascii="Calibri" w:hAnsi="Calibri"/>
          <w:b/>
          <w:sz w:val="22"/>
        </w:rPr>
        <w:t>Holm, S. (1979). A simple sequentially rejective multiple test procedure. Scandinavian Journal of Statistics, 6(2), 65–70.</w:t>
      </w:r>
    </w:p>
    <w:p>
      <w:pPr>
        <w:spacing w:after="80" w:line="276" w:lineRule="auto"/>
      </w:pPr>
      <w:r>
        <w:rPr>
          <w:rFonts w:ascii="Calibri" w:hAnsi="Calibri"/>
          <w:b/>
          <w:sz w:val="22"/>
        </w:rPr>
        <w:t xml:space="preserve">Metin içi atıf: </w:t>
      </w:r>
      <w:r>
        <w:rPr>
          <w:rFonts w:ascii="Calibri" w:hAnsi="Calibri"/>
          <w:sz w:val="22"/>
        </w:rPr>
        <w:t>(Holm, 1979)</w:t>
      </w:r>
    </w:p>
    <w:p>
      <w:pPr>
        <w:spacing w:after="80" w:line="276" w:lineRule="auto"/>
      </w:pPr>
      <w:r>
        <w:rPr>
          <w:rFonts w:ascii="Calibri" w:hAnsi="Calibri"/>
          <w:b/>
          <w:sz w:val="22"/>
        </w:rPr>
        <w:t xml:space="preserve">Özet: </w:t>
      </w:r>
      <w:r>
        <w:rPr>
          <w:rFonts w:ascii="Calibri" w:hAnsi="Calibri"/>
          <w:sz w:val="22"/>
        </w:rPr>
        <w:t>Çoklu hipotez testlerinde Tip I hatasını kontrol etmek için basit, sıralı-reddetme tabanlı bir prosedür (Holm düzeltmesi) öneriyor; herhangi bir doğru hipotez kombinasyonu için önceden belirlenmiş anlamlılık düzeyini koruduğunu gösteriyor.</w:t>
      </w:r>
    </w:p>
    <w:p>
      <w:pPr>
        <w:spacing w:after="80" w:line="276" w:lineRule="auto"/>
      </w:pPr>
      <w:r>
        <w:rPr>
          <w:rFonts w:ascii="Calibri" w:hAnsi="Calibri"/>
          <w:b/>
          <w:sz w:val="22"/>
        </w:rPr>
        <w:t xml:space="preserve">Projeye katkısı: </w:t>
      </w:r>
      <w:r>
        <w:rPr>
          <w:rFonts w:ascii="Calibri" w:hAnsi="Calibri"/>
          <w:sz w:val="22"/>
        </w:rPr>
        <w:t>Üç modeli (LR/RF/XGB) ikili karşılaştırmalarla test ederken uyguladığımız Holm düzeltmesinin birincil kaynağı; çoklu karşılaştırma probleminin istatistiksel gerekçesi.</w:t>
      </w:r>
    </w:p>
    <w:p>
      <w:pPr>
        <w:spacing w:after="80" w:line="276" w:lineRule="auto"/>
      </w:pPr>
      <w:r>
        <w:rPr>
          <w:rFonts w:ascii="Calibri" w:hAnsi="Calibri"/>
          <w:b/>
          <w:sz w:val="22"/>
        </w:rPr>
        <w:t xml:space="preserve">Kanıt düzeyi: </w:t>
      </w:r>
      <w:r>
        <w:rPr>
          <w:rFonts w:ascii="Calibri" w:hAnsi="Calibri"/>
          <w:sz w:val="22"/>
        </w:rPr>
        <w:t>Klasik istatistik dergisi makalesi (Scandinavian Journal of Statistics), çok yüksek atıflı</w:t>
      </w:r>
    </w:p>
    <w:p>
      <w:pPr>
        <w:spacing w:after="80" w:line="276" w:lineRule="auto"/>
      </w:pPr>
      <w:r>
        <w:rPr>
          <w:rFonts w:ascii="Calibri" w:hAnsi="Calibri"/>
          <w:b/>
          <w:sz w:val="22"/>
        </w:rPr>
        <w:t xml:space="preserve">DOI/URL: </w:t>
      </w:r>
      <w:r>
        <w:rPr>
          <w:rFonts w:ascii="Calibri" w:hAnsi="Calibri"/>
          <w:sz w:val="22"/>
        </w:rPr>
        <w:t>https://www.jstor.org/stable/4615733</w:t>
      </w:r>
    </w:p>
    <w:p>
      <w:pPr>
        <w:spacing w:after="80" w:line="276" w:lineRule="auto"/>
      </w:pPr>
      <w:r>
        <w:rPr>
          <w:rFonts w:ascii="Calibri" w:hAnsi="Calibri"/>
          <w:b/>
          <w:sz w:val="22"/>
        </w:rPr>
        <w:t xml:space="preserve">Mevcut listede mi: </w:t>
      </w:r>
      <w:r>
        <w:rPr>
          <w:rFonts w:ascii="Calibri" w:hAnsi="Calibri"/>
          <w:sz w:val="22"/>
        </w:rPr>
        <w:t>Hayır (yeni eklenen kaynak — mevcut 21 kaynaklık listede çoklu karşılaştırma düzeltmesi için ayrı bir kaynak yoktu)</w:t>
      </w:r>
    </w:p>
    <w:p>
      <w:pPr>
        <w:spacing w:after="120"/>
      </w:pPr>
    </w:p>
    <w:p>
      <w:pPr>
        <w:spacing w:after="40"/>
        <w:ind w:left="709" w:hanging="709"/>
      </w:pPr>
      <w:r>
        <w:rPr>
          <w:rFonts w:ascii="Calibri" w:hAnsi="Calibri"/>
          <w:b/>
          <w:sz w:val="22"/>
        </w:rPr>
        <w:t>Yang, J., Wang, R., Song, Y., &amp; Li, J. (2023). Block-regularized 5×2 cross-validated McNemar's test for comparing two classification algorithms (arXiv:2304.03990). arXiv. https://arxiv.org/abs/2304.03990</w:t>
      </w:r>
    </w:p>
    <w:p>
      <w:pPr>
        <w:spacing w:after="80" w:line="276" w:lineRule="auto"/>
      </w:pPr>
      <w:r>
        <w:rPr>
          <w:rFonts w:ascii="Calibri" w:hAnsi="Calibri"/>
          <w:b/>
          <w:sz w:val="22"/>
        </w:rPr>
        <w:t xml:space="preserve">Metin içi atıf: </w:t>
      </w:r>
      <w:r>
        <w:rPr>
          <w:rFonts w:ascii="Calibri" w:hAnsi="Calibri"/>
          <w:sz w:val="22"/>
        </w:rPr>
        <w:t>(Yang vd., 2023)</w:t>
      </w:r>
    </w:p>
    <w:p>
      <w:pPr>
        <w:spacing w:after="80" w:line="276" w:lineRule="auto"/>
      </w:pPr>
      <w:r>
        <w:rPr>
          <w:rFonts w:ascii="Calibri" w:hAnsi="Calibri"/>
          <w:b/>
          <w:sz w:val="22"/>
        </w:rPr>
        <w:t xml:space="preserve">Özet: </w:t>
      </w:r>
      <w:r>
        <w:rPr>
          <w:rFonts w:ascii="Calibri" w:hAnsi="Calibri"/>
          <w:sz w:val="22"/>
        </w:rPr>
        <w:t>Standart McNemar testinin gücünün sınırlı olduğunu belirterek, blok-regülerize 5×2 çapraz doğrulama (BCV) temelli bir McNemar testi öneriyor; bu testin kabul edilebilir Tip I hatası ve daha iyi güç sergilediğini simülasyon ve gerçek verilerle gösteriyor.</w:t>
      </w:r>
    </w:p>
    <w:p>
      <w:pPr>
        <w:spacing w:after="80" w:line="276" w:lineRule="auto"/>
      </w:pPr>
      <w:r>
        <w:rPr>
          <w:rFonts w:ascii="Calibri" w:hAnsi="Calibri"/>
          <w:b/>
          <w:sz w:val="22"/>
        </w:rPr>
        <w:t xml:space="preserve">Projeye katkısı: </w:t>
      </w:r>
      <w:r>
        <w:rPr>
          <w:rFonts w:ascii="Calibri" w:hAnsi="Calibri"/>
          <w:sz w:val="22"/>
        </w:rPr>
        <w:t>Tezin sınırlılıklar bölümünde kullanılabilir: tek bölmeli McNemar testinin gücünün düşük olabileceğine dair güncel bir uyarı.</w:t>
      </w:r>
    </w:p>
    <w:p>
      <w:pPr>
        <w:spacing w:after="80" w:line="276" w:lineRule="auto"/>
      </w:pPr>
      <w:r>
        <w:rPr>
          <w:rFonts w:ascii="Calibri" w:hAnsi="Calibri"/>
          <w:b/>
          <w:sz w:val="22"/>
        </w:rPr>
        <w:t xml:space="preserve">Kanıt düzeyi: </w:t>
      </w:r>
      <w:r>
        <w:rPr>
          <w:rFonts w:ascii="Calibri" w:hAnsi="Calibri"/>
          <w:sz w:val="22"/>
        </w:rPr>
        <w:t>Hakemsiz ön-baskı (arXiv preprint)</w:t>
      </w:r>
    </w:p>
    <w:p>
      <w:pPr>
        <w:spacing w:after="80" w:line="276" w:lineRule="auto"/>
      </w:pPr>
      <w:r>
        <w:rPr>
          <w:rFonts w:ascii="Calibri" w:hAnsi="Calibri"/>
          <w:b/>
          <w:sz w:val="22"/>
        </w:rPr>
        <w:t xml:space="preserve">DOI/URL: </w:t>
      </w:r>
      <w:r>
        <w:rPr>
          <w:rFonts w:ascii="Calibri" w:hAnsi="Calibri"/>
          <w:sz w:val="22"/>
        </w:rPr>
        <w:t>https://arxiv.org/abs/2304.03990</w:t>
      </w:r>
    </w:p>
    <w:p>
      <w:pPr>
        <w:spacing w:after="80" w:line="276" w:lineRule="auto"/>
      </w:pPr>
      <w:r>
        <w:rPr>
          <w:rFonts w:ascii="Calibri" w:hAnsi="Calibri"/>
          <w:b/>
          <w:sz w:val="22"/>
        </w:rPr>
        <w:t xml:space="preserve">Mevcut listede mi: </w:t>
      </w:r>
      <w:r>
        <w:rPr>
          <w:rFonts w:ascii="Calibri" w:hAnsi="Calibri"/>
          <w:sz w:val="22"/>
        </w:rPr>
        <w:t>Evet (mevcut listede #19)</w:t>
      </w:r>
    </w:p>
    <w:p>
      <w:pPr>
        <w:spacing w:after="120"/>
      </w:pPr>
    </w:p>
    <w:p>
      <w:pPr>
        <w:spacing w:after="40"/>
        <w:ind w:left="709" w:hanging="709"/>
      </w:pPr>
      <w:r>
        <w:rPr>
          <w:rFonts w:ascii="Calibri" w:hAnsi="Calibri"/>
          <w:b/>
          <w:sz w:val="22"/>
        </w:rPr>
        <w:t>Duchemin, R., &amp; Matheus, R. (2021). Forecasting customer churn: Comparing the performance of statistical methods on more than just accuracy. Journal of Supply Chain Management Science, 2(3–4), 115–137.</w:t>
      </w:r>
    </w:p>
    <w:p>
      <w:pPr>
        <w:spacing w:after="80" w:line="276" w:lineRule="auto"/>
      </w:pPr>
      <w:r>
        <w:rPr>
          <w:rFonts w:ascii="Calibri" w:hAnsi="Calibri"/>
          <w:b/>
          <w:sz w:val="22"/>
        </w:rPr>
        <w:t xml:space="preserve">Metin içi atıf: </w:t>
      </w:r>
      <w:r>
        <w:rPr>
          <w:rFonts w:ascii="Calibri" w:hAnsi="Calibri"/>
          <w:sz w:val="22"/>
        </w:rPr>
        <w:t>(Duchemin &amp; Matheus, 2021)</w:t>
      </w:r>
    </w:p>
    <w:p>
      <w:pPr>
        <w:spacing w:after="80" w:line="276" w:lineRule="auto"/>
      </w:pPr>
      <w:r>
        <w:rPr>
          <w:rFonts w:ascii="Calibri" w:hAnsi="Calibri"/>
          <w:b/>
          <w:sz w:val="22"/>
        </w:rPr>
        <w:t xml:space="preserve">Özet: </w:t>
      </w:r>
      <w:r>
        <w:rPr>
          <w:rFonts w:ascii="Calibri" w:hAnsi="Calibri"/>
          <w:sz w:val="22"/>
        </w:rPr>
        <w:t>Churn tahmin yöntemlerini yalnızca accuracy ile değil, En-İyi-En-Kötü Yöntemi (BWM) ile ağırlıklandırılmış çoklu metrikle karşılaştıran bir çerçeve sunuyor; metriklerin göreli önemine göre yöntemleri sıralıyor.</w:t>
      </w:r>
    </w:p>
    <w:p>
      <w:pPr>
        <w:spacing w:after="80" w:line="276" w:lineRule="auto"/>
      </w:pPr>
      <w:r>
        <w:rPr>
          <w:rFonts w:ascii="Calibri" w:hAnsi="Calibri"/>
          <w:b/>
          <w:sz w:val="22"/>
        </w:rPr>
        <w:t xml:space="preserve">Projeye katkısı: </w:t>
      </w:r>
      <w:r>
        <w:rPr>
          <w:rFonts w:ascii="Calibri" w:hAnsi="Calibri"/>
          <w:sz w:val="22"/>
        </w:rPr>
        <w:t>Çok metrikli model değerlendirme (yalnız accuracy değil) için metodolojik emsal; cost-sensitive eşik seçimi tartışmasını destekliyor.</w:t>
      </w:r>
    </w:p>
    <w:p>
      <w:pPr>
        <w:spacing w:after="80" w:line="276" w:lineRule="auto"/>
      </w:pPr>
      <w:r>
        <w:rPr>
          <w:rFonts w:ascii="Calibri" w:hAnsi="Calibri"/>
          <w:b/>
          <w:sz w:val="22"/>
        </w:rPr>
        <w:t xml:space="preserve">Kanıt düzeyi: </w:t>
      </w:r>
      <w:r>
        <w:rPr>
          <w:rFonts w:ascii="Calibri" w:hAnsi="Calibri"/>
          <w:sz w:val="22"/>
        </w:rPr>
        <w:t>Niş açık erişimli dergi (TU Delft, düşük-orta prestij)</w:t>
      </w:r>
    </w:p>
    <w:p>
      <w:pPr>
        <w:spacing w:after="80" w:line="276" w:lineRule="auto"/>
      </w:pPr>
      <w:r>
        <w:rPr>
          <w:rFonts w:ascii="Calibri" w:hAnsi="Calibri"/>
          <w:b/>
          <w:sz w:val="22"/>
        </w:rPr>
        <w:t xml:space="preserve">DOI/URL: </w:t>
      </w:r>
      <w:r>
        <w:rPr>
          <w:rFonts w:ascii="Calibri" w:hAnsi="Calibri"/>
          <w:sz w:val="22"/>
        </w:rPr>
        <w:t>https://journals.open.tudelft.nl/jscms/article/view/6125</w:t>
      </w:r>
    </w:p>
    <w:p>
      <w:pPr>
        <w:spacing w:after="80" w:line="276" w:lineRule="auto"/>
      </w:pPr>
      <w:r>
        <w:rPr>
          <w:rFonts w:ascii="Calibri" w:hAnsi="Calibri"/>
          <w:b/>
          <w:sz w:val="22"/>
        </w:rPr>
        <w:t xml:space="preserve">Mevcut listede mi: </w:t>
      </w:r>
      <w:r>
        <w:rPr>
          <w:rFonts w:ascii="Calibri" w:hAnsi="Calibri"/>
          <w:sz w:val="22"/>
        </w:rPr>
        <w:t>Evet (mevcut listede #21; tam başlık ve sayfa aralığı netleşti, önceki notta 'Duchemin 2020 Erasmus tezi' hatası düzeltildi)</w:t>
      </w:r>
    </w:p>
    <w:p>
      <w:pPr>
        <w:spacing w:after="120"/>
      </w:pPr>
    </w:p>
    <w:p>
      <w:pPr>
        <w:pStyle w:val="Heading2"/>
        <w:spacing w:before="280" w:after="120"/>
      </w:pPr>
      <w:r>
        <w:rPr>
          <w:rFonts w:ascii="Calibri" w:hAnsi="Calibri"/>
        </w:rPr>
        <w:t>5. Maliyete duyarlı öğrenme ve eşik seçimi</w:t>
      </w:r>
    </w:p>
    <w:p>
      <w:pPr>
        <w:spacing w:after="40"/>
        <w:ind w:left="709" w:hanging="709"/>
      </w:pPr>
      <w:r>
        <w:rPr>
          <w:rFonts w:ascii="Calibri" w:hAnsi="Calibri"/>
          <w:b/>
          <w:sz w:val="22"/>
        </w:rPr>
        <w:t>Elkan, C. (2001). The foundations of cost-sensitive learning. In Proceedings of the 17th International Joint Conference on Artificial Intelligence (IJCAI-01) (pp. 973–978). Morgan Kaufmann.</w:t>
      </w:r>
    </w:p>
    <w:p>
      <w:pPr>
        <w:spacing w:after="80" w:line="276" w:lineRule="auto"/>
      </w:pPr>
      <w:r>
        <w:rPr>
          <w:rFonts w:ascii="Calibri" w:hAnsi="Calibri"/>
          <w:b/>
          <w:sz w:val="22"/>
        </w:rPr>
        <w:t xml:space="preserve">Metin içi atıf: </w:t>
      </w:r>
      <w:r>
        <w:rPr>
          <w:rFonts w:ascii="Calibri" w:hAnsi="Calibri"/>
          <w:sz w:val="22"/>
        </w:rPr>
        <w:t>(Elkan, 2001)</w:t>
      </w:r>
    </w:p>
    <w:p>
      <w:pPr>
        <w:spacing w:after="80" w:line="276" w:lineRule="auto"/>
      </w:pPr>
      <w:r>
        <w:rPr>
          <w:rFonts w:ascii="Calibri" w:hAnsi="Calibri"/>
          <w:b/>
          <w:sz w:val="22"/>
        </w:rPr>
        <w:t xml:space="preserve">Özet: </w:t>
      </w:r>
      <w:r>
        <w:rPr>
          <w:rFonts w:ascii="Calibri" w:hAnsi="Calibri"/>
          <w:sz w:val="22"/>
        </w:rPr>
        <w:t>Farklı yanlış sınıflandırma maliyetleri olduğunda optimal öğrenme ve karar vermeyi ele alıyor; iki sınıflı durumda, standart (maliyete duyarlı olmayan) bir öğrenme yönteminin ürettiği olasılık tahminleri kullanılarak optimal maliyete-duyarlı kararların nasıl hesaplanacağını gösteren bir teorem sunuyor.</w:t>
      </w:r>
    </w:p>
    <w:p>
      <w:pPr>
        <w:spacing w:after="80" w:line="276" w:lineRule="auto"/>
      </w:pPr>
      <w:r>
        <w:rPr>
          <w:rFonts w:ascii="Calibri" w:hAnsi="Calibri"/>
          <w:b/>
          <w:sz w:val="22"/>
        </w:rPr>
        <w:t xml:space="preserve">Projeye katkısı: </w:t>
      </w:r>
      <w:r>
        <w:rPr>
          <w:rFonts w:ascii="Calibri" w:hAnsi="Calibri"/>
          <w:sz w:val="22"/>
        </w:rPr>
        <w:t>Projedeki maliyete duyarlı eşik seçiminin (FN/FP maliyet oranına göre karar eşiği belirleme) doğrudan kuramsal temeli.</w:t>
      </w:r>
    </w:p>
    <w:p>
      <w:pPr>
        <w:spacing w:after="80" w:line="276" w:lineRule="auto"/>
      </w:pPr>
      <w:r>
        <w:rPr>
          <w:rFonts w:ascii="Calibri" w:hAnsi="Calibri"/>
          <w:b/>
          <w:sz w:val="22"/>
        </w:rPr>
        <w:t xml:space="preserve">Kanıt düzeyi: </w:t>
      </w:r>
      <w:r>
        <w:rPr>
          <w:rFonts w:ascii="Calibri" w:hAnsi="Calibri"/>
          <w:sz w:val="22"/>
        </w:rPr>
        <w:t>Üst düzey AI konferansı (IJCAI), klasik/çok atıflı</w:t>
      </w:r>
    </w:p>
    <w:p>
      <w:pPr>
        <w:spacing w:after="80" w:line="276" w:lineRule="auto"/>
      </w:pPr>
      <w:r>
        <w:rPr>
          <w:rFonts w:ascii="Calibri" w:hAnsi="Calibri"/>
          <w:b/>
          <w:sz w:val="22"/>
        </w:rPr>
        <w:t xml:space="preserve">DOI/URL: </w:t>
      </w:r>
      <w:r>
        <w:rPr>
          <w:rFonts w:ascii="Calibri" w:hAnsi="Calibri"/>
          <w:sz w:val="22"/>
        </w:rPr>
        <w:t>https://www.ijcai.org/Proceedings/01/IJCAI-2001-c.pdf</w:t>
      </w:r>
    </w:p>
    <w:p>
      <w:pPr>
        <w:spacing w:after="80" w:line="276" w:lineRule="auto"/>
      </w:pPr>
      <w:r>
        <w:rPr>
          <w:rFonts w:ascii="Calibri" w:hAnsi="Calibri"/>
          <w:b/>
          <w:sz w:val="22"/>
        </w:rPr>
        <w:t xml:space="preserve">Mevcut listede mi: </w:t>
      </w:r>
      <w:r>
        <w:rPr>
          <w:rFonts w:ascii="Calibri" w:hAnsi="Calibri"/>
          <w:sz w:val="22"/>
        </w:rPr>
        <w:t>Hayır (yeni eklenen kaynak)</w:t>
      </w:r>
    </w:p>
    <w:p>
      <w:pPr>
        <w:spacing w:after="120"/>
      </w:pPr>
    </w:p>
    <w:p>
      <w:pPr>
        <w:spacing w:after="40"/>
        <w:ind w:left="709" w:hanging="709"/>
      </w:pPr>
      <w:r>
        <w:rPr>
          <w:rFonts w:ascii="Calibri" w:hAnsi="Calibri"/>
          <w:b/>
          <w:sz w:val="22"/>
        </w:rPr>
        <w:t>Van Rijsbergen, C. J. (1979). Information retrieval (2nd ed.). Butterworths.</w:t>
      </w:r>
    </w:p>
    <w:p>
      <w:pPr>
        <w:spacing w:after="80" w:line="276" w:lineRule="auto"/>
      </w:pPr>
      <w:r>
        <w:rPr>
          <w:rFonts w:ascii="Calibri" w:hAnsi="Calibri"/>
          <w:b/>
          <w:sz w:val="22"/>
        </w:rPr>
        <w:t xml:space="preserve">Metin içi atıf: </w:t>
      </w:r>
      <w:r>
        <w:rPr>
          <w:rFonts w:ascii="Calibri" w:hAnsi="Calibri"/>
          <w:sz w:val="22"/>
        </w:rPr>
        <w:t>(Van Rijsbergen, 1979)</w:t>
      </w:r>
    </w:p>
    <w:p>
      <w:pPr>
        <w:spacing w:after="80" w:line="276" w:lineRule="auto"/>
      </w:pPr>
      <w:r>
        <w:rPr>
          <w:rFonts w:ascii="Calibri" w:hAnsi="Calibri"/>
          <w:b/>
          <w:sz w:val="22"/>
        </w:rPr>
        <w:t xml:space="preserve">Özet: </w:t>
      </w:r>
      <w:r>
        <w:rPr>
          <w:rFonts w:ascii="Calibri" w:hAnsi="Calibri"/>
          <w:sz w:val="22"/>
        </w:rPr>
        <w:t>Bilgi erişimi alanının temel kitaplarından biri; kullanıcının recall'a precision'dan β kat daha fazla önem verdiği durumları ölçmek için “Etkinlik” (E) fonksiyonunu tanımlıyor ve buradan türetilen F-ölçütü (F-beta), günümüzde sınıflandırma değerlendirmesinde standart hale geliyor.</w:t>
      </w:r>
    </w:p>
    <w:p>
      <w:pPr>
        <w:spacing w:after="80" w:line="276" w:lineRule="auto"/>
      </w:pPr>
      <w:r>
        <w:rPr>
          <w:rFonts w:ascii="Calibri" w:hAnsi="Calibri"/>
          <w:b/>
          <w:sz w:val="22"/>
        </w:rPr>
        <w:t xml:space="preserve">Projeye katkısı: </w:t>
      </w:r>
      <w:r>
        <w:rPr>
          <w:rFonts w:ascii="Calibri" w:hAnsi="Calibri"/>
          <w:sz w:val="22"/>
        </w:rPr>
        <w:t>Projede kullanılan F2-skorunun (recall'a precision'dan iki kat ağırlık veren F-beta) kavramsal/tarihsel kaynağı.</w:t>
      </w:r>
    </w:p>
    <w:p>
      <w:pPr>
        <w:spacing w:after="80" w:line="276" w:lineRule="auto"/>
      </w:pPr>
      <w:r>
        <w:rPr>
          <w:rFonts w:ascii="Calibri" w:hAnsi="Calibri"/>
          <w:b/>
          <w:sz w:val="22"/>
        </w:rPr>
        <w:t xml:space="preserve">Kanıt düzeyi: </w:t>
      </w:r>
      <w:r>
        <w:rPr>
          <w:rFonts w:ascii="Calibri" w:hAnsi="Calibri"/>
          <w:sz w:val="22"/>
        </w:rPr>
        <w:t>Klasik, çok atıflı kitap (alan-kurucu kaynak)</w:t>
      </w:r>
    </w:p>
    <w:p>
      <w:pPr>
        <w:spacing w:after="80" w:line="276" w:lineRule="auto"/>
      </w:pPr>
      <w:r>
        <w:rPr>
          <w:rFonts w:ascii="Calibri" w:hAnsi="Calibri"/>
          <w:b/>
          <w:sz w:val="22"/>
        </w:rPr>
        <w:t xml:space="preserve">DOI/URL: </w:t>
      </w:r>
      <w:r>
        <w:rPr>
          <w:rFonts w:ascii="Calibri" w:hAnsi="Calibri"/>
          <w:sz w:val="22"/>
        </w:rPr>
        <w:t>https://archive.org/details/informationretri0000rijs</w:t>
      </w:r>
    </w:p>
    <w:p>
      <w:pPr>
        <w:spacing w:after="80" w:line="276" w:lineRule="auto"/>
      </w:pPr>
      <w:r>
        <w:rPr>
          <w:rFonts w:ascii="Calibri" w:hAnsi="Calibri"/>
          <w:b/>
          <w:sz w:val="22"/>
        </w:rPr>
        <w:t xml:space="preserve">Mevcut listede mi: </w:t>
      </w:r>
      <w:r>
        <w:rPr>
          <w:rFonts w:ascii="Calibri" w:hAnsi="Calibri"/>
          <w:sz w:val="22"/>
        </w:rPr>
        <w:t>Hayır (yeni eklenen kaynak)</w:t>
      </w:r>
    </w:p>
    <w:p>
      <w:pPr>
        <w:spacing w:after="120"/>
      </w:pPr>
    </w:p>
    <w:p>
      <w:pPr>
        <w:pStyle w:val="Heading2"/>
        <w:spacing w:before="280" w:after="120"/>
      </w:pPr>
      <w:r>
        <w:rPr>
          <w:rFonts w:ascii="Calibri" w:hAnsi="Calibri"/>
        </w:rPr>
        <w:t>6. Olasılık kalibrasyonu</w:t>
      </w:r>
    </w:p>
    <w:p>
      <w:pPr>
        <w:spacing w:after="40"/>
        <w:ind w:left="709" w:hanging="709"/>
      </w:pPr>
      <w:r>
        <w:rPr>
          <w:rFonts w:ascii="Calibri" w:hAnsi="Calibri"/>
          <w:b/>
          <w:sz w:val="22"/>
        </w:rPr>
        <w:t>Platt, J. C. (1999). Probabilistic outputs for support vector machines and comparisons to regularized likelihood methods. In A. J. Smola, P. Bartlett, B. Schölkopf, &amp; D. Schuurmans (Eds.), Advances in large margin classifiers (pp. 61–74). MIT Press.</w:t>
      </w:r>
    </w:p>
    <w:p>
      <w:pPr>
        <w:spacing w:after="80" w:line="276" w:lineRule="auto"/>
      </w:pPr>
      <w:r>
        <w:rPr>
          <w:rFonts w:ascii="Calibri" w:hAnsi="Calibri"/>
          <w:b/>
          <w:sz w:val="22"/>
        </w:rPr>
        <w:t xml:space="preserve">Metin içi atıf: </w:t>
      </w:r>
      <w:r>
        <w:rPr>
          <w:rFonts w:ascii="Calibri" w:hAnsi="Calibri"/>
          <w:sz w:val="22"/>
        </w:rPr>
        <w:t>(Platt, 1999)</w:t>
      </w:r>
    </w:p>
    <w:p>
      <w:pPr>
        <w:spacing w:after="80" w:line="276" w:lineRule="auto"/>
      </w:pPr>
      <w:r>
        <w:rPr>
          <w:rFonts w:ascii="Calibri" w:hAnsi="Calibri"/>
          <w:b/>
          <w:sz w:val="22"/>
        </w:rPr>
        <w:t xml:space="preserve">Özet: </w:t>
      </w:r>
      <w:r>
        <w:rPr>
          <w:rFonts w:ascii="Calibri" w:hAnsi="Calibri"/>
          <w:sz w:val="22"/>
        </w:rPr>
        <w:t>Standart SVM çıktıları kalibre edilmiş olasılık olmadığından, SVM skorlarını bir sigmoid (lojit) bağlantı fonksiyonundan geçirerek son-işleme uygun kalibre edilmiş posterior olasılıklara dönüştüren yöntemi (Platt ölçekleme) tanıtıyor.</w:t>
      </w:r>
    </w:p>
    <w:p>
      <w:pPr>
        <w:spacing w:after="80" w:line="276" w:lineRule="auto"/>
      </w:pPr>
      <w:r>
        <w:rPr>
          <w:rFonts w:ascii="Calibri" w:hAnsi="Calibri"/>
          <w:b/>
          <w:sz w:val="22"/>
        </w:rPr>
        <w:t xml:space="preserve">Projeye katkısı: </w:t>
      </w:r>
      <w:r>
        <w:rPr>
          <w:rFonts w:ascii="Calibri" w:hAnsi="Calibri"/>
          <w:sz w:val="22"/>
        </w:rPr>
        <w:t>Projedeki sigmoid/Platt kalibrasyon yönteminin birincil kaynağı; SMOTE sonrası şişen olasılıkları düzeltmek için kullanılan iki yöntemden biri.</w:t>
      </w:r>
    </w:p>
    <w:p>
      <w:pPr>
        <w:spacing w:after="80" w:line="276" w:lineRule="auto"/>
      </w:pPr>
      <w:r>
        <w:rPr>
          <w:rFonts w:ascii="Calibri" w:hAnsi="Calibri"/>
          <w:b/>
          <w:sz w:val="22"/>
        </w:rPr>
        <w:t xml:space="preserve">Kanıt düzeyi: </w:t>
      </w:r>
      <w:r>
        <w:rPr>
          <w:rFonts w:ascii="Calibri" w:hAnsi="Calibri"/>
          <w:sz w:val="22"/>
        </w:rPr>
        <w:t>Çok atıflı kitap bölümü (klasik ML kalibrasyon kaynağı)</w:t>
      </w:r>
    </w:p>
    <w:p>
      <w:pPr>
        <w:spacing w:after="80" w:line="276" w:lineRule="auto"/>
      </w:pPr>
      <w:r>
        <w:rPr>
          <w:rFonts w:ascii="Calibri" w:hAnsi="Calibri"/>
          <w:b/>
          <w:sz w:val="22"/>
        </w:rPr>
        <w:t xml:space="preserve">DOI/URL: </w:t>
      </w:r>
      <w:r>
        <w:rPr>
          <w:rFonts w:ascii="Calibri" w:hAnsi="Calibri"/>
          <w:sz w:val="22"/>
        </w:rPr>
        <w:t>https://www.cs.colorado.edu/~mozer/Teaching/syllabi/6622/papers/Platt1999.pdf</w:t>
      </w:r>
    </w:p>
    <w:p>
      <w:pPr>
        <w:spacing w:after="80" w:line="276" w:lineRule="auto"/>
      </w:pPr>
      <w:r>
        <w:rPr>
          <w:rFonts w:ascii="Calibri" w:hAnsi="Calibri"/>
          <w:b/>
          <w:sz w:val="22"/>
        </w:rPr>
        <w:t xml:space="preserve">Mevcut listede mi: </w:t>
      </w:r>
      <w:r>
        <w:rPr>
          <w:rFonts w:ascii="Calibri" w:hAnsi="Calibri"/>
          <w:sz w:val="22"/>
        </w:rPr>
        <w:t>Hayır (yeni eklenen kaynak)</w:t>
      </w:r>
    </w:p>
    <w:p>
      <w:pPr>
        <w:spacing w:after="120"/>
      </w:pPr>
    </w:p>
    <w:p>
      <w:pPr>
        <w:spacing w:after="40"/>
        <w:ind w:left="709" w:hanging="709"/>
      </w:pPr>
      <w:r>
        <w:rPr>
          <w:rFonts w:ascii="Calibri" w:hAnsi="Calibri"/>
          <w:b/>
          <w:sz w:val="22"/>
        </w:rPr>
        <w:t>Niculescu-Mizil, A., &amp; Caruana, R. (2005). Predicting good probabilities with supervised learning. In Proceedings of the 22nd International Conference on Machine Learning (ICML 2005) (pp. 625–632). https://doi.org/10.1145/1102351.1102430</w:t>
      </w:r>
    </w:p>
    <w:p>
      <w:pPr>
        <w:spacing w:after="80" w:line="276" w:lineRule="auto"/>
      </w:pPr>
      <w:r>
        <w:rPr>
          <w:rFonts w:ascii="Calibri" w:hAnsi="Calibri"/>
          <w:b/>
          <w:sz w:val="22"/>
        </w:rPr>
        <w:t xml:space="preserve">Metin içi atıf: </w:t>
      </w:r>
      <w:r>
        <w:rPr>
          <w:rFonts w:ascii="Calibri" w:hAnsi="Calibri"/>
          <w:sz w:val="22"/>
        </w:rPr>
        <w:t>(Niculescu-Mizil &amp; Caruana, 2005)</w:t>
      </w:r>
    </w:p>
    <w:p>
      <w:pPr>
        <w:spacing w:after="80" w:line="276" w:lineRule="auto"/>
      </w:pPr>
      <w:r>
        <w:rPr>
          <w:rFonts w:ascii="Calibri" w:hAnsi="Calibri"/>
          <w:b/>
          <w:sz w:val="22"/>
        </w:rPr>
        <w:t xml:space="preserve">Özet: </w:t>
      </w:r>
      <w:r>
        <w:rPr>
          <w:rFonts w:ascii="Calibri" w:hAnsi="Calibri"/>
          <w:sz w:val="22"/>
        </w:rPr>
        <w:t>Boosted ağaçlar ve boosted stumps gibi maksimum-marj yöntemlerinin olasılık kütlesini 0 ve 1'den uzaklaştırarak karakteristik bir sigmoid biçimli çarpıklık ürettiğini, buna karşın Naive Bayes'in olasılıkları 0/1'e doğru ittiğini gösteriyor. Platt ölçekleme ve izotonik regresyonun bu çarpıklıkları düzeltmedeki etkisini karşılaştırıyor.</w:t>
      </w:r>
    </w:p>
    <w:p>
      <w:pPr>
        <w:spacing w:after="80" w:line="276" w:lineRule="auto"/>
      </w:pPr>
      <w:r>
        <w:rPr>
          <w:rFonts w:ascii="Calibri" w:hAnsi="Calibri"/>
          <w:b/>
          <w:sz w:val="22"/>
        </w:rPr>
        <w:t xml:space="preserve">Projeye katkısı: </w:t>
      </w:r>
      <w:r>
        <w:rPr>
          <w:rFonts w:ascii="Calibri" w:hAnsi="Calibri"/>
          <w:sz w:val="22"/>
        </w:rPr>
        <w:t>Hangi model ailesinin (RF, XGBoost gibi ağaç tabanlı modeller dahil) hangi kalibrasyon yöntemine daha uygun olduğuna dair doğrudan kanıt; kalibrasyon yöntemi seçimimizin gerekçesi.</w:t>
      </w:r>
    </w:p>
    <w:p>
      <w:pPr>
        <w:spacing w:after="80" w:line="276" w:lineRule="auto"/>
      </w:pPr>
      <w:r>
        <w:rPr>
          <w:rFonts w:ascii="Calibri" w:hAnsi="Calibri"/>
          <w:b/>
          <w:sz w:val="22"/>
        </w:rPr>
        <w:t xml:space="preserve">Kanıt düzeyi: </w:t>
      </w:r>
      <w:r>
        <w:rPr>
          <w:rFonts w:ascii="Calibri" w:hAnsi="Calibri"/>
          <w:sz w:val="22"/>
        </w:rPr>
        <w:t>Üst düzey AI konferansı (ICML), çok yüksek atıflı</w:t>
      </w:r>
    </w:p>
    <w:p>
      <w:pPr>
        <w:spacing w:after="80" w:line="276" w:lineRule="auto"/>
      </w:pPr>
      <w:r>
        <w:rPr>
          <w:rFonts w:ascii="Calibri" w:hAnsi="Calibri"/>
          <w:b/>
          <w:sz w:val="22"/>
        </w:rPr>
        <w:t xml:space="preserve">DOI/URL: </w:t>
      </w:r>
      <w:r>
        <w:rPr>
          <w:rFonts w:ascii="Calibri" w:hAnsi="Calibri"/>
          <w:sz w:val="22"/>
        </w:rPr>
        <w:t>https://doi.org/10.1145/1102351.1102430</w:t>
      </w:r>
    </w:p>
    <w:p>
      <w:pPr>
        <w:spacing w:after="80" w:line="276" w:lineRule="auto"/>
      </w:pPr>
      <w:r>
        <w:rPr>
          <w:rFonts w:ascii="Calibri" w:hAnsi="Calibri"/>
          <w:b/>
          <w:sz w:val="22"/>
        </w:rPr>
        <w:t xml:space="preserve">Mevcut listede mi: </w:t>
      </w:r>
      <w:r>
        <w:rPr>
          <w:rFonts w:ascii="Calibri" w:hAnsi="Calibri"/>
          <w:sz w:val="22"/>
        </w:rPr>
        <w:t>Hayır (yeni eklenen kaynak)</w:t>
      </w:r>
    </w:p>
    <w:p>
      <w:pPr>
        <w:spacing w:after="120"/>
      </w:pPr>
    </w:p>
    <w:p>
      <w:pPr>
        <w:spacing w:after="40"/>
        <w:ind w:left="709" w:hanging="709"/>
      </w:pPr>
      <w:r>
        <w:rPr>
          <w:rFonts w:ascii="Calibri" w:hAnsi="Calibri"/>
          <w:b/>
          <w:sz w:val="22"/>
        </w:rPr>
        <w:t>Zadrozny, B., &amp; Elkan, C. (2002). Transforming classifier scores into accurate multiclass probability estimates. In Proceedings of the 8th ACM SIGKDD International Conference on Knowledge Discovery and Data Mining (KDD 2002) (pp. 694–699). https://doi.org/10.1145/775047.775151</w:t>
      </w:r>
    </w:p>
    <w:p>
      <w:pPr>
        <w:spacing w:after="80" w:line="276" w:lineRule="auto"/>
      </w:pPr>
      <w:r>
        <w:rPr>
          <w:rFonts w:ascii="Calibri" w:hAnsi="Calibri"/>
          <w:b/>
          <w:sz w:val="22"/>
        </w:rPr>
        <w:t xml:space="preserve">Metin içi atıf: </w:t>
      </w:r>
      <w:r>
        <w:rPr>
          <w:rFonts w:ascii="Calibri" w:hAnsi="Calibri"/>
          <w:sz w:val="22"/>
        </w:rPr>
        <w:t>(Zadrozny &amp; Elkan, 2002)</w:t>
      </w:r>
    </w:p>
    <w:p>
      <w:pPr>
        <w:spacing w:after="80" w:line="276" w:lineRule="auto"/>
      </w:pPr>
      <w:r>
        <w:rPr>
          <w:rFonts w:ascii="Calibri" w:hAnsi="Calibri"/>
          <w:b/>
          <w:sz w:val="22"/>
        </w:rPr>
        <w:t xml:space="preserve">Özet: </w:t>
      </w:r>
      <w:r>
        <w:rPr>
          <w:rFonts w:ascii="Calibri" w:hAnsi="Calibri"/>
          <w:sz w:val="22"/>
        </w:rPr>
        <w:t>Herhangi bir sıralama üreten sınıflandırıcıya uygulanabilecek, izotonik regresyona dayalı iki-sınıflı kalibre olasılık tahmini yöntemini sunuyor ve bunu çok sınıflı probleme genişletiyor; SVM, Naive Bayes, boosted Naive Bayes ve karar ağaçları üzerinde test ediyor.</w:t>
      </w:r>
    </w:p>
    <w:p>
      <w:pPr>
        <w:spacing w:after="80" w:line="276" w:lineRule="auto"/>
      </w:pPr>
      <w:r>
        <w:rPr>
          <w:rFonts w:ascii="Calibri" w:hAnsi="Calibri"/>
          <w:b/>
          <w:sz w:val="22"/>
        </w:rPr>
        <w:t xml:space="preserve">Projeye katkısı: </w:t>
      </w:r>
      <w:r>
        <w:rPr>
          <w:rFonts w:ascii="Calibri" w:hAnsi="Calibri"/>
          <w:sz w:val="22"/>
        </w:rPr>
        <w:t>Projedeki izotonik kalibrasyon yönteminin birincil kaynaklarından biri.</w:t>
      </w:r>
    </w:p>
    <w:p>
      <w:pPr>
        <w:spacing w:after="80" w:line="276" w:lineRule="auto"/>
      </w:pPr>
      <w:r>
        <w:rPr>
          <w:rFonts w:ascii="Calibri" w:hAnsi="Calibri"/>
          <w:b/>
          <w:sz w:val="22"/>
        </w:rPr>
        <w:t xml:space="preserve">Kanıt düzeyi: </w:t>
      </w:r>
      <w:r>
        <w:rPr>
          <w:rFonts w:ascii="Calibri" w:hAnsi="Calibri"/>
          <w:sz w:val="22"/>
        </w:rPr>
        <w:t>Üst düzey veri madenciliği konferansı (KDD), çok atıflı</w:t>
      </w:r>
    </w:p>
    <w:p>
      <w:pPr>
        <w:spacing w:after="80" w:line="276" w:lineRule="auto"/>
      </w:pPr>
      <w:r>
        <w:rPr>
          <w:rFonts w:ascii="Calibri" w:hAnsi="Calibri"/>
          <w:b/>
          <w:sz w:val="22"/>
        </w:rPr>
        <w:t xml:space="preserve">DOI/URL: </w:t>
      </w:r>
      <w:r>
        <w:rPr>
          <w:rFonts w:ascii="Calibri" w:hAnsi="Calibri"/>
          <w:sz w:val="22"/>
        </w:rPr>
        <w:t>https://doi.org/10.1145/775047.775151</w:t>
      </w:r>
    </w:p>
    <w:p>
      <w:pPr>
        <w:spacing w:after="80" w:line="276" w:lineRule="auto"/>
      </w:pPr>
      <w:r>
        <w:rPr>
          <w:rFonts w:ascii="Calibri" w:hAnsi="Calibri"/>
          <w:b/>
          <w:sz w:val="22"/>
        </w:rPr>
        <w:t xml:space="preserve">Mevcut listede mi: </w:t>
      </w:r>
      <w:r>
        <w:rPr>
          <w:rFonts w:ascii="Calibri" w:hAnsi="Calibri"/>
          <w:sz w:val="22"/>
        </w:rPr>
        <w:t>Hayır (yeni eklenen kaynak)</w:t>
      </w:r>
    </w:p>
    <w:p>
      <w:pPr>
        <w:spacing w:after="120"/>
      </w:pPr>
    </w:p>
    <w:p>
      <w:pPr>
        <w:spacing w:after="40"/>
        <w:ind w:left="709" w:hanging="709"/>
      </w:pPr>
      <w:r>
        <w:rPr>
          <w:rFonts w:ascii="Calibri" w:hAnsi="Calibri"/>
          <w:b/>
          <w:sz w:val="22"/>
        </w:rPr>
        <w:t>Brier, G. W. (1950). Verification of forecasts expressed in terms of probability. Monthly Weather Review, 78(1), 1–3. https://doi.org/10.1175/1520-0493(1950)078&lt;0001:VOFEIT&gt;2.0.CO;2</w:t>
      </w:r>
    </w:p>
    <w:p>
      <w:pPr>
        <w:spacing w:after="80" w:line="276" w:lineRule="auto"/>
      </w:pPr>
      <w:r>
        <w:rPr>
          <w:rFonts w:ascii="Calibri" w:hAnsi="Calibri"/>
          <w:b/>
          <w:sz w:val="22"/>
        </w:rPr>
        <w:t xml:space="preserve">Metin içi atıf: </w:t>
      </w:r>
      <w:r>
        <w:rPr>
          <w:rFonts w:ascii="Calibri" w:hAnsi="Calibri"/>
          <w:sz w:val="22"/>
        </w:rPr>
        <w:t>(Brier, 1950)</w:t>
      </w:r>
    </w:p>
    <w:p>
      <w:pPr>
        <w:spacing w:after="80" w:line="276" w:lineRule="auto"/>
      </w:pPr>
      <w:r>
        <w:rPr>
          <w:rFonts w:ascii="Calibri" w:hAnsi="Calibri"/>
          <w:b/>
          <w:sz w:val="22"/>
        </w:rPr>
        <w:t xml:space="preserve">Özet: </w:t>
      </w:r>
      <w:r>
        <w:rPr>
          <w:rFonts w:ascii="Calibri" w:hAnsi="Calibri"/>
          <w:sz w:val="22"/>
        </w:rPr>
        <w:t>Olasılıksal hava tahminlerinin doğruluğunu ölçmek için, tahmin edilen olasılık ile gerçekleşen sonuç arasındaki kare farkların ortalamasına dayanan bir puanlama kuralı (Brier skoru) öneriyor.</w:t>
      </w:r>
    </w:p>
    <w:p>
      <w:pPr>
        <w:spacing w:after="80" w:line="276" w:lineRule="auto"/>
      </w:pPr>
      <w:r>
        <w:rPr>
          <w:rFonts w:ascii="Calibri" w:hAnsi="Calibri"/>
          <w:b/>
          <w:sz w:val="22"/>
        </w:rPr>
        <w:t xml:space="preserve">Projeye katkısı: </w:t>
      </w:r>
      <w:r>
        <w:rPr>
          <w:rFonts w:ascii="Calibri" w:hAnsi="Calibri"/>
          <w:sz w:val="22"/>
        </w:rPr>
        <w:t>Projede kalibrasyon kalitesini ölçmek için kullanılan Brier skorunun orijinal/tarihsel kaynağı.</w:t>
      </w:r>
    </w:p>
    <w:p>
      <w:pPr>
        <w:spacing w:after="80" w:line="276" w:lineRule="auto"/>
      </w:pPr>
      <w:r>
        <w:rPr>
          <w:rFonts w:ascii="Calibri" w:hAnsi="Calibri"/>
          <w:b/>
          <w:sz w:val="22"/>
        </w:rPr>
        <w:t xml:space="preserve">Kanıt düzeyi: </w:t>
      </w:r>
      <w:r>
        <w:rPr>
          <w:rFonts w:ascii="Calibri" w:hAnsi="Calibri"/>
          <w:sz w:val="22"/>
        </w:rPr>
        <w:t>Klasik, alan-kurucu dergi makalesi (Monthly Weather Review)</w:t>
      </w:r>
    </w:p>
    <w:p>
      <w:pPr>
        <w:spacing w:after="80" w:line="276" w:lineRule="auto"/>
      </w:pPr>
      <w:r>
        <w:rPr>
          <w:rFonts w:ascii="Calibri" w:hAnsi="Calibri"/>
          <w:b/>
          <w:sz w:val="22"/>
        </w:rPr>
        <w:t xml:space="preserve">DOI/URL: </w:t>
      </w:r>
      <w:r>
        <w:rPr>
          <w:rFonts w:ascii="Calibri" w:hAnsi="Calibri"/>
          <w:sz w:val="22"/>
        </w:rPr>
        <w:t>https://doi.org/10.1175/1520-0493(1950)078&lt;0001:VOFEIT&gt;2.0.CO;2</w:t>
      </w:r>
    </w:p>
    <w:p>
      <w:pPr>
        <w:spacing w:after="80" w:line="276" w:lineRule="auto"/>
      </w:pPr>
      <w:r>
        <w:rPr>
          <w:rFonts w:ascii="Calibri" w:hAnsi="Calibri"/>
          <w:b/>
          <w:sz w:val="22"/>
        </w:rPr>
        <w:t xml:space="preserve">Mevcut listede mi: </w:t>
      </w:r>
      <w:r>
        <w:rPr>
          <w:rFonts w:ascii="Calibri" w:hAnsi="Calibri"/>
          <w:sz w:val="22"/>
        </w:rPr>
        <w:t>Hayır (yeni eklenen kaynak — önceki listede önerilmiş ama doğrulanmamış durumdaydı, şimdi doğrulandı)</w:t>
      </w:r>
    </w:p>
    <w:p>
      <w:pPr>
        <w:spacing w:after="120"/>
      </w:pPr>
    </w:p>
    <w:p>
      <w:pPr>
        <w:spacing w:after="40"/>
        <w:ind w:left="709" w:hanging="709"/>
      </w:pPr>
      <w:r>
        <w:rPr>
          <w:rFonts w:ascii="Calibri" w:hAnsi="Calibri"/>
          <w:b/>
          <w:sz w:val="22"/>
        </w:rPr>
        <w:t>Dal Pozzolo, A., Caelen, O., Johnson, R. A., &amp; Bontempi, G. (2015). Calibrating probability with undersampling for unbalanced classification. In 2015 IEEE Symposium Series on Computational Intelligence (SSCI) (pp. 159–166). https://doi.org/10.1109/SSCI.2015.33</w:t>
      </w:r>
    </w:p>
    <w:p>
      <w:pPr>
        <w:spacing w:after="80" w:line="276" w:lineRule="auto"/>
      </w:pPr>
      <w:r>
        <w:rPr>
          <w:rFonts w:ascii="Calibri" w:hAnsi="Calibri"/>
          <w:b/>
          <w:sz w:val="22"/>
        </w:rPr>
        <w:t xml:space="preserve">Metin içi atıf: </w:t>
      </w:r>
      <w:r>
        <w:rPr>
          <w:rFonts w:ascii="Calibri" w:hAnsi="Calibri"/>
          <w:sz w:val="22"/>
        </w:rPr>
        <w:t>(Dal Pozzolo vd., 2015)</w:t>
      </w:r>
    </w:p>
    <w:p>
      <w:pPr>
        <w:spacing w:after="80" w:line="276" w:lineRule="auto"/>
      </w:pPr>
      <w:r>
        <w:rPr>
          <w:rFonts w:ascii="Calibri" w:hAnsi="Calibri"/>
          <w:b/>
          <w:sz w:val="22"/>
        </w:rPr>
        <w:t xml:space="preserve">Özet: </w:t>
      </w:r>
      <w:r>
        <w:rPr>
          <w:rFonts w:ascii="Calibri" w:hAnsi="Calibri"/>
          <w:sz w:val="22"/>
        </w:rPr>
        <w:t>Az örneklemenin (undersampling) sınıflandırıcının posterior olasılığını nasıl etkilediğini analitik ve deneysel olarak inceliyor; az örnekleme sıralama performansını etkilemese de sınıflandırma doğruluğunu ve olasılık kalibrasyonunu önemli ölçüde bozduğunu, Bayes Minimum Risk kuramıyla eşiğin nasıl düzeltileceğini gösteriyor.</w:t>
      </w:r>
    </w:p>
    <w:p>
      <w:pPr>
        <w:spacing w:after="80" w:line="276" w:lineRule="auto"/>
      </w:pPr>
      <w:r>
        <w:rPr>
          <w:rFonts w:ascii="Calibri" w:hAnsi="Calibri"/>
          <w:b/>
          <w:sz w:val="22"/>
        </w:rPr>
        <w:t xml:space="preserve">Projeye katkısı: </w:t>
      </w:r>
      <w:r>
        <w:rPr>
          <w:rFonts w:ascii="Calibri" w:hAnsi="Calibri"/>
          <w:sz w:val="22"/>
        </w:rPr>
        <w:t>Yeniden örneklemenin olasılık kalibrasyonunu bozduğu argümanına erken ve doğrudan destek; projedeki kalibrasyon adımının neden gerekli olduğunun kanıtı.</w:t>
      </w:r>
    </w:p>
    <w:p>
      <w:pPr>
        <w:spacing w:after="80" w:line="276" w:lineRule="auto"/>
      </w:pPr>
      <w:r>
        <w:rPr>
          <w:rFonts w:ascii="Calibri" w:hAnsi="Calibri"/>
          <w:b/>
          <w:sz w:val="22"/>
        </w:rPr>
        <w:t xml:space="preserve">Kanıt düzeyi: </w:t>
      </w:r>
      <w:r>
        <w:rPr>
          <w:rFonts w:ascii="Calibri" w:hAnsi="Calibri"/>
          <w:sz w:val="22"/>
        </w:rPr>
        <w:t>Orta düzey IEEE konferansı (SSCI)</w:t>
      </w:r>
    </w:p>
    <w:p>
      <w:pPr>
        <w:spacing w:after="80" w:line="276" w:lineRule="auto"/>
      </w:pPr>
      <w:r>
        <w:rPr>
          <w:rFonts w:ascii="Calibri" w:hAnsi="Calibri"/>
          <w:b/>
          <w:sz w:val="22"/>
        </w:rPr>
        <w:t xml:space="preserve">DOI/URL: </w:t>
      </w:r>
      <w:r>
        <w:rPr>
          <w:rFonts w:ascii="Calibri" w:hAnsi="Calibri"/>
          <w:sz w:val="22"/>
        </w:rPr>
        <w:t>https://doi.org/10.1109/SSCI.2015.33</w:t>
      </w:r>
    </w:p>
    <w:p>
      <w:pPr>
        <w:spacing w:after="80" w:line="276" w:lineRule="auto"/>
      </w:pPr>
      <w:r>
        <w:rPr>
          <w:rFonts w:ascii="Calibri" w:hAnsi="Calibri"/>
          <w:b/>
          <w:sz w:val="22"/>
        </w:rPr>
        <w:t xml:space="preserve">Mevcut listede mi: </w:t>
      </w:r>
      <w:r>
        <w:rPr>
          <w:rFonts w:ascii="Calibri" w:hAnsi="Calibri"/>
          <w:sz w:val="22"/>
        </w:rPr>
        <w:t>Hayır (yeni eklenen kaynak — önceki listede önerilmiş ama doğrulanmamıştı)</w:t>
      </w:r>
    </w:p>
    <w:p>
      <w:pPr>
        <w:spacing w:after="120"/>
      </w:pPr>
    </w:p>
    <w:p>
      <w:pPr>
        <w:spacing w:after="40"/>
        <w:ind w:left="709" w:hanging="709"/>
      </w:pPr>
      <w:r>
        <w:rPr>
          <w:rFonts w:ascii="Calibri" w:hAnsi="Calibri"/>
          <w:b/>
          <w:sz w:val="22"/>
        </w:rPr>
        <w:t>van den Goorbergh, R., van Smeden, M., Timmerman, D., &amp; Van Calster, B. (2022). The harm of class imbalance corrections for risk prediction models: Illustration and simulation using logistic regression. Journal of the American Medical Informatics Association, 29(9), 1525–1534. https://doi.org/10.1093/jamia/ocac093</w:t>
      </w:r>
    </w:p>
    <w:p>
      <w:pPr>
        <w:spacing w:after="80" w:line="276" w:lineRule="auto"/>
      </w:pPr>
      <w:r>
        <w:rPr>
          <w:rFonts w:ascii="Calibri" w:hAnsi="Calibri"/>
          <w:b/>
          <w:sz w:val="22"/>
        </w:rPr>
        <w:t xml:space="preserve">Metin içi atıf: </w:t>
      </w:r>
      <w:r>
        <w:rPr>
          <w:rFonts w:ascii="Calibri" w:hAnsi="Calibri"/>
          <w:sz w:val="22"/>
        </w:rPr>
        <w:t>(van den Goorbergh vd., 2022)</w:t>
      </w:r>
    </w:p>
    <w:p>
      <w:pPr>
        <w:spacing w:after="80" w:line="276" w:lineRule="auto"/>
      </w:pPr>
      <w:r>
        <w:rPr>
          <w:rFonts w:ascii="Calibri" w:hAnsi="Calibri"/>
          <w:b/>
          <w:sz w:val="22"/>
        </w:rPr>
        <w:t xml:space="preserve">Özet: </w:t>
      </w:r>
      <w:r>
        <w:rPr>
          <w:rFonts w:ascii="Calibri" w:hAnsi="Calibri"/>
          <w:sz w:val="22"/>
        </w:rPr>
        <w:t>Monte Carlo simülasyonları ve bir yumurtalık kanseri vaka çalışmasıyla, sınıf dengesizliği düzeltmelerinin (SMOTE dahil) lojistik regresyon modellerinde güçlü kalibrasyon bozulmasına yol açtığını, ayrım gücünü (discrimination) ise iyileştirmediğini gösteriyor.</w:t>
      </w:r>
    </w:p>
    <w:p>
      <w:pPr>
        <w:spacing w:after="80" w:line="276" w:lineRule="auto"/>
      </w:pPr>
      <w:r>
        <w:rPr>
          <w:rFonts w:ascii="Calibri" w:hAnsi="Calibri"/>
          <w:b/>
          <w:sz w:val="22"/>
        </w:rPr>
        <w:t xml:space="preserve">Projeye katkısı: </w:t>
      </w:r>
      <w:r>
        <w:rPr>
          <w:rFonts w:ascii="Calibri" w:hAnsi="Calibri"/>
          <w:sz w:val="22"/>
        </w:rPr>
        <w:t>Projenin SMOTE-NC kararına karşı en güçlü karşı-argüman; savunmada bu eleştiriye hazırlıklı olunmalı ve bu yüzden olasılık kalibrasyon adımının eklendiği vurgulanmalı.</w:t>
      </w:r>
    </w:p>
    <w:p>
      <w:pPr>
        <w:spacing w:after="80" w:line="276" w:lineRule="auto"/>
      </w:pPr>
      <w:r>
        <w:rPr>
          <w:rFonts w:ascii="Calibri" w:hAnsi="Calibri"/>
          <w:b/>
          <w:sz w:val="22"/>
        </w:rPr>
        <w:t xml:space="preserve">Kanıt düzeyi: </w:t>
      </w:r>
      <w:r>
        <w:rPr>
          <w:rFonts w:ascii="Calibri" w:hAnsi="Calibri"/>
          <w:sz w:val="22"/>
        </w:rPr>
        <w:t>Q1 dergi (JAMIA, tıbbi enformatik)</w:t>
      </w:r>
    </w:p>
    <w:p>
      <w:pPr>
        <w:spacing w:after="80" w:line="276" w:lineRule="auto"/>
      </w:pPr>
      <w:r>
        <w:rPr>
          <w:rFonts w:ascii="Calibri" w:hAnsi="Calibri"/>
          <w:b/>
          <w:sz w:val="22"/>
        </w:rPr>
        <w:t xml:space="preserve">DOI/URL: </w:t>
      </w:r>
      <w:r>
        <w:rPr>
          <w:rFonts w:ascii="Calibri" w:hAnsi="Calibri"/>
          <w:sz w:val="22"/>
        </w:rPr>
        <w:t>https://doi.org/10.1093/jamia/ocac093</w:t>
      </w:r>
    </w:p>
    <w:p>
      <w:pPr>
        <w:spacing w:after="80" w:line="276" w:lineRule="auto"/>
      </w:pPr>
      <w:r>
        <w:rPr>
          <w:rFonts w:ascii="Calibri" w:hAnsi="Calibri"/>
          <w:b/>
          <w:sz w:val="22"/>
        </w:rPr>
        <w:t xml:space="preserve">Mevcut listede mi: </w:t>
      </w:r>
      <w:r>
        <w:rPr>
          <w:rFonts w:ascii="Calibri" w:hAnsi="Calibri"/>
          <w:sz w:val="22"/>
        </w:rPr>
        <w:t>Hayır (yeni eklenen kaynak — önceki listede önerilmiş ama doğrulanmamıştı)</w:t>
      </w:r>
    </w:p>
    <w:p>
      <w:pPr>
        <w:spacing w:after="120"/>
      </w:pPr>
    </w:p>
    <w:p>
      <w:pPr>
        <w:spacing w:after="40"/>
        <w:ind w:left="709" w:hanging="709"/>
      </w:pPr>
      <w:r>
        <w:rPr>
          <w:rFonts w:ascii="Calibri" w:hAnsi="Calibri"/>
          <w:b/>
          <w:sz w:val="22"/>
        </w:rPr>
        <w:t>Liu, Z. (2026). The hidden cost of resampling: How imbalance correction degrades probability calibration in tree ensembles (arXiv:2606.29720). arXiv. https://arxiv.org/abs/2606.29720</w:t>
      </w:r>
    </w:p>
    <w:p>
      <w:pPr>
        <w:spacing w:after="80" w:line="276" w:lineRule="auto"/>
      </w:pPr>
      <w:r>
        <w:rPr>
          <w:rFonts w:ascii="Calibri" w:hAnsi="Calibri"/>
          <w:b/>
          <w:sz w:val="22"/>
        </w:rPr>
        <w:t xml:space="preserve">Metin içi atıf: </w:t>
      </w:r>
      <w:r>
        <w:rPr>
          <w:rFonts w:ascii="Calibri" w:hAnsi="Calibri"/>
          <w:sz w:val="22"/>
        </w:rPr>
        <w:t>(Liu, 2026)</w:t>
      </w:r>
    </w:p>
    <w:p>
      <w:pPr>
        <w:spacing w:after="80" w:line="276" w:lineRule="auto"/>
      </w:pPr>
      <w:r>
        <w:rPr>
          <w:rFonts w:ascii="Calibri" w:hAnsi="Calibri"/>
          <w:b/>
          <w:sz w:val="22"/>
        </w:rPr>
        <w:t xml:space="preserve">Özet: </w:t>
      </w:r>
      <w:r>
        <w:rPr>
          <w:rFonts w:ascii="Calibri" w:hAnsi="Calibri"/>
          <w:sz w:val="22"/>
        </w:rPr>
        <w:t>Beş genel veri setinde (dengesizlik oranı 1.9–70) random forest ve gradient boosting ile SMOTE'un kalibrasyon maliyetinin gerçek ama küçük olduğunu (ECE +0.009), buna karşın az-örneklemenin dengesizlik arttıkça kalibrasyonu çok daha ciddi bozduğunu (ECE 0.008'den 0.395'e) gösteriyor; tek bir son-işleme kalibrasyon adımının (Platt veya izotonik) bu zararı ortadan kaldırdığını buluyor.</w:t>
      </w:r>
    </w:p>
    <w:p>
      <w:pPr>
        <w:spacing w:after="80" w:line="276" w:lineRule="auto"/>
      </w:pPr>
      <w:r>
        <w:rPr>
          <w:rFonts w:ascii="Calibri" w:hAnsi="Calibri"/>
          <w:b/>
          <w:sz w:val="22"/>
        </w:rPr>
        <w:t xml:space="preserve">Projeye katkısı: </w:t>
      </w:r>
      <w:r>
        <w:rPr>
          <w:rFonts w:ascii="Calibri" w:hAnsi="Calibri"/>
          <w:sz w:val="22"/>
        </w:rPr>
        <w:t>van den Goorbergh vd. (2022)'nin eleştirisine karşı dengeleyici, çok güncel bir kanıt: SMOTE + son-işleme kalibrasyon kombinasyonumuzun (tam olarak projedeki yaklaşım) etkili olduğunu destekliyor.</w:t>
      </w:r>
    </w:p>
    <w:p>
      <w:pPr>
        <w:spacing w:after="80" w:line="276" w:lineRule="auto"/>
      </w:pPr>
      <w:r>
        <w:rPr>
          <w:rFonts w:ascii="Calibri" w:hAnsi="Calibri"/>
          <w:b/>
          <w:sz w:val="22"/>
        </w:rPr>
        <w:t xml:space="preserve">Kanıt düzeyi: </w:t>
      </w:r>
      <w:r>
        <w:rPr>
          <w:rFonts w:ascii="Calibri" w:hAnsi="Calibri"/>
          <w:sz w:val="22"/>
        </w:rPr>
        <w:t>Hakemsiz ön-baskı (arXiv preprint, 2026 — çok yeni, henüz hakem değerlendirmesinden geçmemiş)</w:t>
      </w:r>
    </w:p>
    <w:p>
      <w:pPr>
        <w:spacing w:after="80" w:line="276" w:lineRule="auto"/>
      </w:pPr>
      <w:r>
        <w:rPr>
          <w:rFonts w:ascii="Calibri" w:hAnsi="Calibri"/>
          <w:b/>
          <w:sz w:val="22"/>
        </w:rPr>
        <w:t xml:space="preserve">DOI/URL: </w:t>
      </w:r>
      <w:r>
        <w:rPr>
          <w:rFonts w:ascii="Calibri" w:hAnsi="Calibri"/>
          <w:sz w:val="22"/>
        </w:rPr>
        <w:t>https://arxiv.org/abs/2606.29720</w:t>
      </w:r>
    </w:p>
    <w:p>
      <w:pPr>
        <w:spacing w:after="80" w:line="276" w:lineRule="auto"/>
      </w:pPr>
      <w:r>
        <w:rPr>
          <w:rFonts w:ascii="Calibri" w:hAnsi="Calibri"/>
          <w:b/>
          <w:sz w:val="22"/>
        </w:rPr>
        <w:t xml:space="preserve">Mevcut listede mi: </w:t>
      </w:r>
      <w:r>
        <w:rPr>
          <w:rFonts w:ascii="Calibri" w:hAnsi="Calibri"/>
          <w:sz w:val="22"/>
        </w:rPr>
        <w:t>Hayır (yeni eklenen kaynak)</w:t>
      </w:r>
    </w:p>
    <w:p>
      <w:pPr>
        <w:spacing w:after="120"/>
      </w:pPr>
    </w:p>
    <w:p>
      <w:pPr>
        <w:spacing w:after="40"/>
        <w:ind w:left="709" w:hanging="709"/>
      </w:pPr>
      <w:r>
        <w:rPr>
          <w:rFonts w:ascii="Calibri" w:hAnsi="Calibri"/>
          <w:b/>
          <w:sz w:val="22"/>
        </w:rPr>
        <w:t>Văduva, A.-G., Oprea, S.-V., Niculae, A.-M., Bâra, A., &amp; Andreescu, A.-I. (2024). Improving churn detection in the banking sector: A machine learning approach with probability calibration techniques. Electronics, 13(22), 4527. https://doi.org/10.3390/electronics13224527</w:t>
      </w:r>
    </w:p>
    <w:p>
      <w:pPr>
        <w:spacing w:after="80" w:line="276" w:lineRule="auto"/>
      </w:pPr>
      <w:r>
        <w:rPr>
          <w:rFonts w:ascii="Calibri" w:hAnsi="Calibri"/>
          <w:b/>
          <w:sz w:val="22"/>
        </w:rPr>
        <w:t xml:space="preserve">Metin içi atıf: </w:t>
      </w:r>
      <w:r>
        <w:rPr>
          <w:rFonts w:ascii="Calibri" w:hAnsi="Calibri"/>
          <w:sz w:val="22"/>
        </w:rPr>
        <w:t>(Văduva vd., 2024)</w:t>
      </w:r>
    </w:p>
    <w:p>
      <w:pPr>
        <w:spacing w:after="80" w:line="276" w:lineRule="auto"/>
      </w:pPr>
      <w:r>
        <w:rPr>
          <w:rFonts w:ascii="Calibri" w:hAnsi="Calibri"/>
          <w:b/>
          <w:sz w:val="22"/>
        </w:rPr>
        <w:t xml:space="preserve">Özet: </w:t>
      </w:r>
      <w:r>
        <w:rPr>
          <w:rFonts w:ascii="Calibri" w:hAnsi="Calibri"/>
          <w:sz w:val="22"/>
        </w:rPr>
        <w:t>Kaggle kaynaklı sentetik banka churn verisinde, SMOTETomek ile dengeleme sonrası Random Forest ve LightGBM olasılıklarını izotonik regresyonla kalibre ediyor; SHAP ile açıklanabilirlik ekliyor ve Brier skoru dahil metriklerle kalibrasyon kalitesini raporluyor.</w:t>
      </w:r>
    </w:p>
    <w:p>
      <w:pPr>
        <w:spacing w:after="80" w:line="276" w:lineRule="auto"/>
      </w:pPr>
      <w:r>
        <w:rPr>
          <w:rFonts w:ascii="Calibri" w:hAnsi="Calibri"/>
          <w:b/>
          <w:sz w:val="22"/>
        </w:rPr>
        <w:t xml:space="preserve">Projeye katkısı: </w:t>
      </w:r>
      <w:r>
        <w:rPr>
          <w:rFonts w:ascii="Calibri" w:hAnsi="Calibri"/>
          <w:sz w:val="22"/>
        </w:rPr>
        <w:t>Projemizle neredeyse birebir örtüşen bir emsal: aynı veri ailesi (Kaggle banka churn), SMOTE-tabanlı dengeleme + SHAP + olasılık kalibrasyonu + Brier skoru. Hem Konu 1 (churn+ML) hem Konu 6 (kalibrasyon) için güçlü destek.</w:t>
      </w:r>
    </w:p>
    <w:p>
      <w:pPr>
        <w:spacing w:after="80" w:line="276" w:lineRule="auto"/>
      </w:pPr>
      <w:r>
        <w:rPr>
          <w:rFonts w:ascii="Calibri" w:hAnsi="Calibri"/>
          <w:b/>
          <w:sz w:val="22"/>
        </w:rPr>
        <w:t xml:space="preserve">Kanıt düzeyi: </w:t>
      </w:r>
      <w:r>
        <w:rPr>
          <w:rFonts w:ascii="Calibri" w:hAnsi="Calibri"/>
          <w:sz w:val="22"/>
        </w:rPr>
        <w:t>Q2 dergi (MDPI Electronics, SCIE taranan)</w:t>
      </w:r>
    </w:p>
    <w:p>
      <w:pPr>
        <w:spacing w:after="80" w:line="276" w:lineRule="auto"/>
      </w:pPr>
      <w:r>
        <w:rPr>
          <w:rFonts w:ascii="Calibri" w:hAnsi="Calibri"/>
          <w:b/>
          <w:sz w:val="22"/>
        </w:rPr>
        <w:t xml:space="preserve">DOI/URL: </w:t>
      </w:r>
      <w:r>
        <w:rPr>
          <w:rFonts w:ascii="Calibri" w:hAnsi="Calibri"/>
          <w:sz w:val="22"/>
        </w:rPr>
        <w:t>https://doi.org/10.3390/electronics13224527</w:t>
      </w:r>
    </w:p>
    <w:p>
      <w:pPr>
        <w:spacing w:after="80" w:line="276" w:lineRule="auto"/>
      </w:pPr>
      <w:r>
        <w:rPr>
          <w:rFonts w:ascii="Calibri" w:hAnsi="Calibri"/>
          <w:b/>
          <w:sz w:val="22"/>
        </w:rPr>
        <w:t xml:space="preserve">Mevcut listede mi: </w:t>
      </w:r>
      <w:r>
        <w:rPr>
          <w:rFonts w:ascii="Calibri" w:hAnsi="Calibri"/>
          <w:sz w:val="22"/>
        </w:rPr>
        <w:t>Hayır (yeni eklenen kaynak — arama sırasında bulundu, önceki 21 kaynaklık listede yoktu)</w:t>
      </w:r>
    </w:p>
    <w:p>
      <w:pPr>
        <w:spacing w:after="120"/>
      </w:pPr>
    </w:p>
    <w:p>
      <w:pPr>
        <w:pStyle w:val="Heading2"/>
        <w:spacing w:before="280" w:after="120"/>
      </w:pPr>
      <w:r>
        <w:rPr>
          <w:rFonts w:ascii="Calibri" w:hAnsi="Calibri"/>
        </w:rPr>
        <w:t>7. Churn karar destek panelleri / erken uyarı sistemleri</w:t>
      </w:r>
    </w:p>
    <w:p>
      <w:pPr>
        <w:spacing w:after="40"/>
        <w:ind w:left="709" w:hanging="709"/>
      </w:pPr>
      <w:r>
        <w:rPr>
          <w:rFonts w:ascii="Calibri" w:hAnsi="Calibri"/>
          <w:b/>
          <w:sz w:val="22"/>
        </w:rPr>
        <w:t>Singh, P. P., Anik, F. I., Senapati, R., Sinha, A., Sakib, N., &amp; Hossain, E. (2024). Investigating customer churn in banking: A machine learning approach and visualization app for data science and management. Data Science and Management, 7(1), 7–16. https://doi.org/10.1016/j.dsm.2023.09.002</w:t>
      </w:r>
    </w:p>
    <w:p>
      <w:pPr>
        <w:spacing w:after="80" w:line="276" w:lineRule="auto"/>
      </w:pPr>
      <w:r>
        <w:rPr>
          <w:rFonts w:ascii="Calibri" w:hAnsi="Calibri"/>
          <w:b/>
          <w:sz w:val="22"/>
        </w:rPr>
        <w:t xml:space="preserve">Metin içi atıf: </w:t>
      </w:r>
      <w:r>
        <w:rPr>
          <w:rFonts w:ascii="Calibri" w:hAnsi="Calibri"/>
          <w:sz w:val="22"/>
        </w:rPr>
        <w:t>(Singh vd., 2024)</w:t>
      </w:r>
    </w:p>
    <w:p>
      <w:pPr>
        <w:spacing w:after="80" w:line="276" w:lineRule="auto"/>
      </w:pPr>
      <w:r>
        <w:rPr>
          <w:rFonts w:ascii="Calibri" w:hAnsi="Calibri"/>
          <w:b/>
          <w:sz w:val="22"/>
        </w:rPr>
        <w:t xml:space="preserve">Özet: </w:t>
      </w:r>
      <w:r>
        <w:rPr>
          <w:rFonts w:ascii="Calibri" w:hAnsi="Calibri"/>
          <w:sz w:val="22"/>
        </w:rPr>
        <w:t>Banka churn verisini SMOTE ile dengeleyip çeşitli ML algoritmalarıyla karşılaştırmalı analiz yaptıktan sonra, bulguları yönetime sunmak için bir RShiny veri görselleştirme uygulaması geliştiriyor; amaç churn trendini görünür kılıp müşteri kaybı riski taşıyan hesapları erkenden işaretlemek.</w:t>
      </w:r>
    </w:p>
    <w:p>
      <w:pPr>
        <w:spacing w:after="80" w:line="276" w:lineRule="auto"/>
      </w:pPr>
      <w:r>
        <w:rPr>
          <w:rFonts w:ascii="Calibri" w:hAnsi="Calibri"/>
          <w:b/>
          <w:sz w:val="22"/>
        </w:rPr>
        <w:t xml:space="preserve">Projeye katkısı: </w:t>
      </w:r>
      <w:r>
        <w:rPr>
          <w:rFonts w:ascii="Calibri" w:hAnsi="Calibri"/>
          <w:sz w:val="22"/>
        </w:rPr>
        <w:t>Projenin Streamlit dashboard bileşeni için literatürde bulunan nadir doğrudan emsallerden biri; “neden dashboard?” sorusuna somut bir akademik referans sağlıyor.</w:t>
      </w:r>
    </w:p>
    <w:p>
      <w:pPr>
        <w:spacing w:after="80" w:line="276" w:lineRule="auto"/>
      </w:pPr>
      <w:r>
        <w:rPr>
          <w:rFonts w:ascii="Calibri" w:hAnsi="Calibri"/>
          <w:b/>
          <w:sz w:val="22"/>
        </w:rPr>
        <w:t xml:space="preserve">Kanıt düzeyi: </w:t>
      </w:r>
      <w:r>
        <w:rPr>
          <w:rFonts w:ascii="Calibri" w:hAnsi="Calibri"/>
          <w:sz w:val="22"/>
        </w:rPr>
        <w:t>Yeni/orta düzey Elsevier dergisi (Data Science and Management, henüz geniş atıf havuzu oluşmamış)</w:t>
      </w:r>
    </w:p>
    <w:p>
      <w:pPr>
        <w:spacing w:after="80" w:line="276" w:lineRule="auto"/>
      </w:pPr>
      <w:r>
        <w:rPr>
          <w:rFonts w:ascii="Calibri" w:hAnsi="Calibri"/>
          <w:b/>
          <w:sz w:val="22"/>
        </w:rPr>
        <w:t xml:space="preserve">DOI/URL: </w:t>
      </w:r>
      <w:r>
        <w:rPr>
          <w:rFonts w:ascii="Calibri" w:hAnsi="Calibri"/>
          <w:sz w:val="22"/>
        </w:rPr>
        <w:t>https://doi.org/10.1016/j.dsm.2023.09.002</w:t>
      </w:r>
    </w:p>
    <w:p>
      <w:pPr>
        <w:spacing w:after="80" w:line="276" w:lineRule="auto"/>
      </w:pPr>
      <w:r>
        <w:rPr>
          <w:rFonts w:ascii="Calibri" w:hAnsi="Calibri"/>
          <w:b/>
          <w:sz w:val="22"/>
        </w:rPr>
        <w:t xml:space="preserve">Mevcut listede mi: </w:t>
      </w:r>
      <w:r>
        <w:rPr>
          <w:rFonts w:ascii="Calibri" w:hAnsi="Calibri"/>
          <w:sz w:val="22"/>
        </w:rPr>
        <w:t>Hayır (yeni eklenen kaynak — literatür boşluğunu doğrudan dolduran bulgu)</w:t>
      </w:r>
    </w:p>
    <w:p>
      <w:pPr>
        <w:spacing w:after="120"/>
      </w:pPr>
    </w:p>
    <w:p>
      <w:pPr>
        <w:spacing w:after="40"/>
        <w:ind w:left="709" w:hanging="709"/>
      </w:pPr>
      <w:r>
        <w:rPr>
          <w:rFonts w:ascii="Calibri" w:hAnsi="Calibri"/>
          <w:b/>
          <w:sz w:val="22"/>
        </w:rPr>
        <w:t>Labo-Popoola, O. (2026). An end-to-end machine learning framework for customer churn prediction and interactive decision support. Applied Operations and Analytics, 2(1), 1–15. https://doi.org/10.1080/29966892.2026.2701487</w:t>
      </w:r>
    </w:p>
    <w:p>
      <w:pPr>
        <w:spacing w:after="80" w:line="276" w:lineRule="auto"/>
      </w:pPr>
      <w:r>
        <w:rPr>
          <w:rFonts w:ascii="Calibri" w:hAnsi="Calibri"/>
          <w:b/>
          <w:sz w:val="22"/>
        </w:rPr>
        <w:t xml:space="preserve">Metin içi atıf: </w:t>
      </w:r>
      <w:r>
        <w:rPr>
          <w:rFonts w:ascii="Calibri" w:hAnsi="Calibri"/>
          <w:sz w:val="22"/>
        </w:rPr>
        <w:t>(Labo-Popoola, 2026)</w:t>
      </w:r>
    </w:p>
    <w:p>
      <w:pPr>
        <w:spacing w:after="80" w:line="276" w:lineRule="auto"/>
      </w:pPr>
      <w:r>
        <w:rPr>
          <w:rFonts w:ascii="Calibri" w:hAnsi="Calibri"/>
          <w:b/>
          <w:sz w:val="22"/>
        </w:rPr>
        <w:t xml:space="preserve">Özet: </w:t>
      </w:r>
      <w:r>
        <w:rPr>
          <w:rFonts w:ascii="Calibri" w:hAnsi="Calibri"/>
          <w:sz w:val="22"/>
        </w:rPr>
        <w:t>IBM Telco churn verisiyle (7.043 müşteri) veri ön işleme, öznitelik mühendisliği, SHAP tabanlı yorumlanabilirlik ve etkileşimli bir Streamlit panelini tek bir uçtan uca pipeline'da birleştiriyor; SHAP analizine göre en önemli churn belirleyicileri tenure, sözleşme tipi, bakmakla yükümlü kişi sayısı, aylık ve toplam ücretler.</w:t>
      </w:r>
    </w:p>
    <w:p>
      <w:pPr>
        <w:spacing w:after="80" w:line="276" w:lineRule="auto"/>
      </w:pPr>
      <w:r>
        <w:rPr>
          <w:rFonts w:ascii="Calibri" w:hAnsi="Calibri"/>
          <w:b/>
          <w:sz w:val="22"/>
        </w:rPr>
        <w:t xml:space="preserve">Projeye katkısı: </w:t>
      </w:r>
      <w:r>
        <w:rPr>
          <w:rFonts w:ascii="Calibri" w:hAnsi="Calibri"/>
          <w:sz w:val="22"/>
        </w:rPr>
        <w:t>Projenin “Streamlit tabanlı karar destek paneli” tasarımı için doğrudan, çok yakın tarihli bir emsal; dashboard bileşeninin literatürde yeni yeni ortaya çıkan bir alan olduğunu da gösteriyor.</w:t>
      </w:r>
    </w:p>
    <w:p>
      <w:pPr>
        <w:spacing w:after="80" w:line="276" w:lineRule="auto"/>
      </w:pPr>
      <w:r>
        <w:rPr>
          <w:rFonts w:ascii="Calibri" w:hAnsi="Calibri"/>
          <w:b/>
          <w:sz w:val="22"/>
        </w:rPr>
        <w:t xml:space="preserve">Kanıt düzeyi: </w:t>
      </w:r>
      <w:r>
        <w:rPr>
          <w:rFonts w:ascii="Calibri" w:hAnsi="Calibri"/>
          <w:sz w:val="22"/>
        </w:rPr>
        <w:t>Çok yeni dergi (Taylor &amp; Francis, 2026'da yayın hayatına başlamış; henüz Scopus/WoS'ta indekslenmemiş olabilir — dikkatli kullanılmalı)</w:t>
      </w:r>
    </w:p>
    <w:p>
      <w:pPr>
        <w:spacing w:after="80" w:line="276" w:lineRule="auto"/>
      </w:pPr>
      <w:r>
        <w:rPr>
          <w:rFonts w:ascii="Calibri" w:hAnsi="Calibri"/>
          <w:b/>
          <w:sz w:val="22"/>
        </w:rPr>
        <w:t xml:space="preserve">DOI/URL: </w:t>
      </w:r>
      <w:r>
        <w:rPr>
          <w:rFonts w:ascii="Calibri" w:hAnsi="Calibri"/>
          <w:sz w:val="22"/>
        </w:rPr>
        <w:t>https://doi.org/10.1080/29966892.2026.2701487</w:t>
      </w:r>
    </w:p>
    <w:p>
      <w:pPr>
        <w:spacing w:after="80" w:line="276" w:lineRule="auto"/>
      </w:pPr>
      <w:r>
        <w:rPr>
          <w:rFonts w:ascii="Calibri" w:hAnsi="Calibri"/>
          <w:b/>
          <w:sz w:val="22"/>
        </w:rPr>
        <w:t xml:space="preserve">Mevcut listede mi: </w:t>
      </w:r>
      <w:r>
        <w:rPr>
          <w:rFonts w:ascii="Calibri" w:hAnsi="Calibri"/>
          <w:sz w:val="22"/>
        </w:rPr>
        <w:t>Hayır (yeni eklenen kaynak)</w:t>
      </w:r>
    </w:p>
    <w:p>
      <w:pPr>
        <w:spacing w:after="80" w:line="276" w:lineRule="auto"/>
      </w:pPr>
      <w:r>
        <w:rPr>
          <w:rFonts w:ascii="Calibri" w:hAnsi="Calibri"/>
          <w:b/>
          <w:sz w:val="22"/>
        </w:rPr>
        <w:t xml:space="preserve">Not: </w:t>
      </w:r>
      <w:r>
        <w:rPr>
          <w:rFonts w:ascii="Calibri" w:hAnsi="Calibri"/>
          <w:sz w:val="22"/>
        </w:rPr>
        <w:t>Bu dergi çok yeni olduğundan (Applied Operations and Analytics, Cilt 2, 2026), prestij/indeksleme durumu henüz netleşmemiş. Tek yazarlı (Olasomi Labo-Popoola, Greater Manchester Üniversitesi) bir çalışma. Teze dahil edilirken bu sınırlama belirtilmeli.</w:t>
      </w:r>
    </w:p>
    <w:p>
      <w:pPr>
        <w:spacing w:after="120"/>
      </w:pPr>
    </w:p>
    <w:p>
      <w:pPr>
        <w:pStyle w:val="Heading2"/>
        <w:spacing w:before="280" w:after="120"/>
      </w:pPr>
      <w:r>
        <w:rPr>
          <w:rFonts w:ascii="Calibri" w:hAnsi="Calibri"/>
        </w:rPr>
        <w:t>8. Confounding ve adalet (fairness) değerlendirmeleri</w:t>
      </w:r>
    </w:p>
    <w:p>
      <w:pPr>
        <w:spacing w:after="40"/>
        <w:ind w:left="709" w:hanging="709"/>
      </w:pPr>
      <w:r>
        <w:rPr>
          <w:rFonts w:ascii="Calibri" w:hAnsi="Calibri"/>
          <w:b/>
          <w:sz w:val="22"/>
        </w:rPr>
        <w:t>Hurlin, C., Pérignon, C., &amp; Saurin, S. (2024). The fairness of credit scoring models. Management Science, 72(1). https://doi.org/10.1287/mnsc.2022.03888</w:t>
      </w:r>
    </w:p>
    <w:p>
      <w:pPr>
        <w:spacing w:after="80" w:line="276" w:lineRule="auto"/>
      </w:pPr>
      <w:r>
        <w:rPr>
          <w:rFonts w:ascii="Calibri" w:hAnsi="Calibri"/>
          <w:b/>
          <w:sz w:val="22"/>
        </w:rPr>
        <w:t xml:space="preserve">Metin içi atıf: </w:t>
      </w:r>
      <w:r>
        <w:rPr>
          <w:rFonts w:ascii="Calibri" w:hAnsi="Calibri"/>
          <w:sz w:val="22"/>
        </w:rPr>
        <w:t>(Hurlin vd., 2024)</w:t>
      </w:r>
    </w:p>
    <w:p>
      <w:pPr>
        <w:spacing w:after="80" w:line="276" w:lineRule="auto"/>
      </w:pPr>
      <w:r>
        <w:rPr>
          <w:rFonts w:ascii="Calibri" w:hAnsi="Calibri"/>
          <w:b/>
          <w:sz w:val="22"/>
        </w:rPr>
        <w:t xml:space="preserve">Özet: </w:t>
      </w:r>
      <w:r>
        <w:rPr>
          <w:rFonts w:ascii="Calibri" w:hAnsi="Calibri"/>
          <w:sz w:val="22"/>
        </w:rPr>
        <w:t>Kredi skorlama modellerinin korunan özniteliklere (cinsiyet, yaş, köken vb.) göre ayrımcılık yapıp yapmadığını biçimsel olarak test etmeye yönelik bir çerçeve sunuyor; adil olmamaya hangi değişkenlerin yol açtığını belirleyip adalet-performans ödünleşimini optimize etme yöntemleri öneriyor.</w:t>
      </w:r>
    </w:p>
    <w:p>
      <w:pPr>
        <w:spacing w:after="80" w:line="276" w:lineRule="auto"/>
      </w:pPr>
      <w:r>
        <w:rPr>
          <w:rFonts w:ascii="Calibri" w:hAnsi="Calibri"/>
          <w:b/>
          <w:sz w:val="22"/>
        </w:rPr>
        <w:t xml:space="preserve">Projeye katkısı: </w:t>
      </w:r>
      <w:r>
        <w:rPr>
          <w:rFonts w:ascii="Calibri" w:hAnsi="Calibri"/>
          <w:sz w:val="22"/>
        </w:rPr>
        <w:t>Projedeki Almanya/sıfır-bakiye confounding kontrolünün daha geniş çerçevesi: ülke gibi değişkenlerin dolaylı olarak hassas/yapısal bir etkiyi taşıyıp taşımadığının sorgulanması için kavramsal zemin.</w:t>
      </w:r>
    </w:p>
    <w:p>
      <w:pPr>
        <w:spacing w:after="80" w:line="276" w:lineRule="auto"/>
      </w:pPr>
      <w:r>
        <w:rPr>
          <w:rFonts w:ascii="Calibri" w:hAnsi="Calibri"/>
          <w:b/>
          <w:sz w:val="22"/>
        </w:rPr>
        <w:t xml:space="preserve">Kanıt düzeyi: </w:t>
      </w:r>
      <w:r>
        <w:rPr>
          <w:rFonts w:ascii="Calibri" w:hAnsi="Calibri"/>
          <w:sz w:val="22"/>
        </w:rPr>
        <w:t>Üst düzey Q1 işletme dergisi (Management Science, FT50)</w:t>
      </w:r>
    </w:p>
    <w:p>
      <w:pPr>
        <w:spacing w:after="80" w:line="276" w:lineRule="auto"/>
      </w:pPr>
      <w:r>
        <w:rPr>
          <w:rFonts w:ascii="Calibri" w:hAnsi="Calibri"/>
          <w:b/>
          <w:sz w:val="22"/>
        </w:rPr>
        <w:t xml:space="preserve">DOI/URL: </w:t>
      </w:r>
      <w:r>
        <w:rPr>
          <w:rFonts w:ascii="Calibri" w:hAnsi="Calibri"/>
          <w:sz w:val="22"/>
        </w:rPr>
        <w:t>https://doi.org/10.1287/mnsc.2022.03888</w:t>
      </w:r>
    </w:p>
    <w:p>
      <w:pPr>
        <w:spacing w:after="80" w:line="276" w:lineRule="auto"/>
      </w:pPr>
      <w:r>
        <w:rPr>
          <w:rFonts w:ascii="Calibri" w:hAnsi="Calibri"/>
          <w:b/>
          <w:sz w:val="22"/>
        </w:rPr>
        <w:t xml:space="preserve">Mevcut listede mi: </w:t>
      </w:r>
      <w:r>
        <w:rPr>
          <w:rFonts w:ascii="Calibri" w:hAnsi="Calibri"/>
          <w:sz w:val="22"/>
        </w:rPr>
        <w:t>Hayır (yeni eklenen kaynak)</w:t>
      </w:r>
    </w:p>
    <w:p>
      <w:pPr>
        <w:spacing w:after="80" w:line="276" w:lineRule="auto"/>
      </w:pPr>
      <w:r>
        <w:rPr>
          <w:rFonts w:ascii="Calibri" w:hAnsi="Calibri"/>
          <w:b/>
          <w:sz w:val="22"/>
        </w:rPr>
        <w:t xml:space="preserve">Not: </w:t>
      </w:r>
      <w:r>
        <w:rPr>
          <w:rFonts w:ascii="Calibri" w:hAnsi="Calibri"/>
          <w:sz w:val="22"/>
        </w:rPr>
        <w:t>Churn'e özgü değil, genel kredi skorlama adaleti üzerine; projeye yalnızca kavramsal çerçeve olarak bağlanıyor, doğrudan ampirik churn bulgusu sağlamıyor. Veri setimizdeki “Almanya churn oranı ~%32, Fransa/İspanya ~%16-17 ve Almanya'da sıfır-bakiyeli müşteri yok” gözlemi literatürde doğrudan işlenen bir bulgu değil; bu, kendi keşifsel veri analizimizin (EDA) sonucu olarak sunulmalı, bir kaynağa atfedilmemelidir.</w:t>
      </w:r>
    </w:p>
    <w:p>
      <w:pPr>
        <w:spacing w:after="120"/>
      </w:pPr>
    </w:p>
    <w:p>
      <w:pPr>
        <w:pStyle w:val="Heading1"/>
        <w:spacing w:before="360" w:after="160"/>
      </w:pPr>
      <w:r>
        <w:rPr>
          <w:rFonts w:ascii="Calibri" w:hAnsi="Calibri"/>
        </w:rPr>
        <w:t>3. Özet Tablo</w:t>
      </w:r>
    </w:p>
    <w:p>
      <w:pPr>
        <w:spacing w:after="160" w:line="276" w:lineRule="auto"/>
      </w:pPr>
      <w:r>
        <w:rPr>
          <w:rFonts w:ascii="Calibri" w:hAnsi="Calibri"/>
          <w:i w:val="0"/>
          <w:sz w:val="22"/>
        </w:rPr>
        <w:t>Aşağıdaki tablo taranan tüm kaynakları konu, kanıt düzeyi ve mevcut 21 kaynaklık listede olup olmadığına göre özetler.</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1814"/>
          </w:tcPr>
          <w:p>
            <w:r/>
            <w:r>
              <w:rPr>
                <w:rFonts w:ascii="Calibri" w:hAnsi="Calibri"/>
                <w:b/>
                <w:sz w:val="20"/>
              </w:rPr>
              <w:t>Yazar–Yıl</w:t>
            </w:r>
          </w:p>
        </w:tc>
        <w:tc>
          <w:tcPr>
            <w:tcW w:type="dxa" w:w="3118"/>
          </w:tcPr>
          <w:p>
            <w:r/>
            <w:r>
              <w:rPr>
                <w:rFonts w:ascii="Calibri" w:hAnsi="Calibri"/>
                <w:b/>
                <w:sz w:val="20"/>
              </w:rPr>
              <w:t>Konu</w:t>
            </w:r>
          </w:p>
        </w:tc>
        <w:tc>
          <w:tcPr>
            <w:tcW w:type="dxa" w:w="3118"/>
          </w:tcPr>
          <w:p>
            <w:r/>
            <w:r>
              <w:rPr>
                <w:rFonts w:ascii="Calibri" w:hAnsi="Calibri"/>
                <w:b/>
                <w:sz w:val="20"/>
              </w:rPr>
              <w:t>Kanıt düzeyi</w:t>
            </w:r>
          </w:p>
        </w:tc>
        <w:tc>
          <w:tcPr>
            <w:tcW w:type="dxa" w:w="1304"/>
          </w:tcPr>
          <w:p>
            <w:r/>
            <w:r>
              <w:rPr>
                <w:rFonts w:ascii="Calibri" w:hAnsi="Calibri"/>
                <w:b/>
                <w:sz w:val="20"/>
              </w:rPr>
              <w:t>Mevcut listede mi</w:t>
            </w:r>
          </w:p>
        </w:tc>
      </w:tr>
      <w:tr>
        <w:tc>
          <w:tcPr>
            <w:tcW w:type="dxa" w:w="1814"/>
          </w:tcPr>
          <w:p>
            <w:r/>
            <w:r>
              <w:rPr>
                <w:rFonts w:ascii="Calibri" w:hAnsi="Calibri"/>
                <w:sz w:val="20"/>
              </w:rPr>
              <w:t>Tékouabou vd., 2022</w:t>
            </w:r>
          </w:p>
        </w:tc>
        <w:tc>
          <w:tcPr>
            <w:tcW w:type="dxa" w:w="3118"/>
          </w:tcPr>
          <w:p>
            <w:r/>
            <w:r>
              <w:rPr>
                <w:rFonts w:ascii="Calibri" w:hAnsi="Calibri"/>
                <w:sz w:val="20"/>
              </w:rPr>
              <w:t>Banka müşteri kaybı tahmini ve makine öğrenmesi (benchmark çalışmalar)</w:t>
            </w:r>
          </w:p>
        </w:tc>
        <w:tc>
          <w:tcPr>
            <w:tcW w:type="dxa" w:w="3118"/>
          </w:tcPr>
          <w:p>
            <w:r/>
            <w:r>
              <w:rPr>
                <w:rFonts w:ascii="Calibri" w:hAnsi="Calibri"/>
                <w:sz w:val="20"/>
              </w:rPr>
              <w:t>Q1/Q2 dergi (MDPI Mathematics, SCIE taranan)</w:t>
            </w:r>
          </w:p>
        </w:tc>
        <w:tc>
          <w:tcPr>
            <w:tcW w:type="dxa" w:w="1304"/>
          </w:tcPr>
          <w:p>
            <w:r/>
            <w:r>
              <w:rPr>
                <w:rFonts w:ascii="Calibri" w:hAnsi="Calibri"/>
                <w:sz w:val="20"/>
              </w:rPr>
              <w:t>Evet</w:t>
            </w:r>
          </w:p>
        </w:tc>
      </w:tr>
      <w:tr>
        <w:tc>
          <w:tcPr>
            <w:tcW w:type="dxa" w:w="1814"/>
          </w:tcPr>
          <w:p>
            <w:r/>
            <w:r>
              <w:rPr>
                <w:rFonts w:ascii="Calibri" w:hAnsi="Calibri"/>
                <w:sz w:val="20"/>
              </w:rPr>
              <w:t>Zhu, 2024</w:t>
            </w:r>
          </w:p>
        </w:tc>
        <w:tc>
          <w:tcPr>
            <w:tcW w:type="dxa" w:w="3118"/>
          </w:tcPr>
          <w:p>
            <w:r/>
            <w:r>
              <w:rPr>
                <w:rFonts w:ascii="Calibri" w:hAnsi="Calibri"/>
                <w:sz w:val="20"/>
              </w:rPr>
              <w:t>Banka müşteri kaybı tahmini ve makine öğrenmesi (benchmark çalışmalar)</w:t>
            </w:r>
          </w:p>
        </w:tc>
        <w:tc>
          <w:tcPr>
            <w:tcW w:type="dxa" w:w="3118"/>
          </w:tcPr>
          <w:p>
            <w:r/>
            <w:r>
              <w:rPr>
                <w:rFonts w:ascii="Calibri" w:hAnsi="Calibri"/>
                <w:sz w:val="20"/>
              </w:rPr>
              <w:t>Öğrenci/lisans düzeyinde konferans-bildiri tarzı dergi (EWA Publishing, düşük-orta prestij)</w:t>
            </w:r>
          </w:p>
        </w:tc>
        <w:tc>
          <w:tcPr>
            <w:tcW w:type="dxa" w:w="1304"/>
          </w:tcPr>
          <w:p>
            <w:r/>
            <w:r>
              <w:rPr>
                <w:rFonts w:ascii="Calibri" w:hAnsi="Calibri"/>
                <w:sz w:val="20"/>
              </w:rPr>
              <w:t>Evet</w:t>
            </w:r>
          </w:p>
        </w:tc>
      </w:tr>
      <w:tr>
        <w:tc>
          <w:tcPr>
            <w:tcW w:type="dxa" w:w="1814"/>
          </w:tcPr>
          <w:p>
            <w:r/>
            <w:r>
              <w:rPr>
                <w:rFonts w:ascii="Calibri" w:hAnsi="Calibri"/>
                <w:sz w:val="20"/>
              </w:rPr>
              <w:t>Ashraf, 2024</w:t>
            </w:r>
          </w:p>
        </w:tc>
        <w:tc>
          <w:tcPr>
            <w:tcW w:type="dxa" w:w="3118"/>
          </w:tcPr>
          <w:p>
            <w:r/>
            <w:r>
              <w:rPr>
                <w:rFonts w:ascii="Calibri" w:hAnsi="Calibri"/>
                <w:sz w:val="20"/>
              </w:rPr>
              <w:t>Banka müşteri kaybı tahmini ve makine öğrenmesi (benchmark çalışmalar)</w:t>
            </w:r>
          </w:p>
        </w:tc>
        <w:tc>
          <w:tcPr>
            <w:tcW w:type="dxa" w:w="3118"/>
          </w:tcPr>
          <w:p>
            <w:r/>
            <w:r>
              <w:rPr>
                <w:rFonts w:ascii="Calibri" w:hAnsi="Calibri"/>
                <w:sz w:val="20"/>
              </w:rPr>
              <w:t>Bölgesel/düşük-orta prestijli dergi (SCIENPRESS)</w:t>
            </w:r>
          </w:p>
        </w:tc>
        <w:tc>
          <w:tcPr>
            <w:tcW w:type="dxa" w:w="1304"/>
          </w:tcPr>
          <w:p>
            <w:r/>
            <w:r>
              <w:rPr>
                <w:rFonts w:ascii="Calibri" w:hAnsi="Calibri"/>
                <w:sz w:val="20"/>
              </w:rPr>
              <w:t>Evet</w:t>
            </w:r>
          </w:p>
        </w:tc>
      </w:tr>
      <w:tr>
        <w:tc>
          <w:tcPr>
            <w:tcW w:type="dxa" w:w="1814"/>
          </w:tcPr>
          <w:p>
            <w:r/>
            <w:r>
              <w:rPr>
                <w:rFonts w:ascii="Calibri" w:hAnsi="Calibri"/>
                <w:sz w:val="20"/>
              </w:rPr>
              <w:t>Kaynar vd., 2017</w:t>
            </w:r>
          </w:p>
        </w:tc>
        <w:tc>
          <w:tcPr>
            <w:tcW w:type="dxa" w:w="3118"/>
          </w:tcPr>
          <w:p>
            <w:r/>
            <w:r>
              <w:rPr>
                <w:rFonts w:ascii="Calibri" w:hAnsi="Calibri"/>
                <w:sz w:val="20"/>
              </w:rPr>
              <w:t>Banka müşteri kaybı tahmini ve makine öğrenmesi (benchmark çalışmalar)</w:t>
            </w:r>
          </w:p>
        </w:tc>
        <w:tc>
          <w:tcPr>
            <w:tcW w:type="dxa" w:w="3118"/>
          </w:tcPr>
          <w:p>
            <w:r/>
            <w:r>
              <w:rPr>
                <w:rFonts w:ascii="Calibri" w:hAnsi="Calibri"/>
                <w:sz w:val="20"/>
              </w:rPr>
              <w:t>Ulusal hakemli dergi (Cumhuriyet Üniv. İİBF, TR Dizin taranan, uluslararası indeksli değil)</w:t>
            </w:r>
          </w:p>
        </w:tc>
        <w:tc>
          <w:tcPr>
            <w:tcW w:type="dxa" w:w="1304"/>
          </w:tcPr>
          <w:p>
            <w:r/>
            <w:r>
              <w:rPr>
                <w:rFonts w:ascii="Calibri" w:hAnsi="Calibri"/>
                <w:sz w:val="20"/>
              </w:rPr>
              <w:t>Evet</w:t>
            </w:r>
          </w:p>
        </w:tc>
      </w:tr>
      <w:tr>
        <w:tc>
          <w:tcPr>
            <w:tcW w:type="dxa" w:w="1814"/>
          </w:tcPr>
          <w:p>
            <w:r/>
            <w:r>
              <w:rPr>
                <w:rFonts w:ascii="Calibri" w:hAnsi="Calibri"/>
                <w:sz w:val="20"/>
              </w:rPr>
              <w:t>Karamollaoğlu vd., 2021</w:t>
            </w:r>
          </w:p>
        </w:tc>
        <w:tc>
          <w:tcPr>
            <w:tcW w:type="dxa" w:w="3118"/>
          </w:tcPr>
          <w:p>
            <w:r/>
            <w:r>
              <w:rPr>
                <w:rFonts w:ascii="Calibri" w:hAnsi="Calibri"/>
                <w:sz w:val="20"/>
              </w:rPr>
              <w:t>Banka müşteri kaybı tahmini ve makine öğrenmesi (benchmark çalışmalar)</w:t>
            </w:r>
          </w:p>
        </w:tc>
        <w:tc>
          <w:tcPr>
            <w:tcW w:type="dxa" w:w="3118"/>
          </w:tcPr>
          <w:p>
            <w:r/>
            <w:r>
              <w:rPr>
                <w:rFonts w:ascii="Calibri" w:hAnsi="Calibri"/>
                <w:sz w:val="20"/>
              </w:rPr>
              <w:t>Ulusal/uluslararası IEEE konferansı (orta düzey prestij)</w:t>
            </w:r>
          </w:p>
        </w:tc>
        <w:tc>
          <w:tcPr>
            <w:tcW w:type="dxa" w:w="1304"/>
          </w:tcPr>
          <w:p>
            <w:r/>
            <w:r>
              <w:rPr>
                <w:rFonts w:ascii="Calibri" w:hAnsi="Calibri"/>
                <w:sz w:val="20"/>
              </w:rPr>
              <w:t>Evet</w:t>
            </w:r>
          </w:p>
        </w:tc>
      </w:tr>
      <w:tr>
        <w:tc>
          <w:tcPr>
            <w:tcW w:type="dxa" w:w="1814"/>
          </w:tcPr>
          <w:p>
            <w:r/>
            <w:r>
              <w:rPr>
                <w:rFonts w:ascii="Calibri" w:hAnsi="Calibri"/>
                <w:sz w:val="20"/>
              </w:rPr>
              <w:t>Zhang vd., 2025</w:t>
            </w:r>
          </w:p>
        </w:tc>
        <w:tc>
          <w:tcPr>
            <w:tcW w:type="dxa" w:w="3118"/>
          </w:tcPr>
          <w:p>
            <w:r/>
            <w:r>
              <w:rPr>
                <w:rFonts w:ascii="Calibri" w:hAnsi="Calibri"/>
                <w:sz w:val="20"/>
              </w:rPr>
              <w:t>Banka müşteri kaybı tahmini ve makine öğrenmesi (benchmark çalışmalar)</w:t>
            </w:r>
          </w:p>
        </w:tc>
        <w:tc>
          <w:tcPr>
            <w:tcW w:type="dxa" w:w="3118"/>
          </w:tcPr>
          <w:p>
            <w:r/>
            <w:r>
              <w:rPr>
                <w:rFonts w:ascii="Calibri" w:hAnsi="Calibri"/>
                <w:sz w:val="20"/>
              </w:rPr>
              <w:t>ACM konferans bildirisi (yeni/küçük konferans, düşük-orta prestij)</w:t>
            </w:r>
          </w:p>
        </w:tc>
        <w:tc>
          <w:tcPr>
            <w:tcW w:type="dxa" w:w="1304"/>
          </w:tcPr>
          <w:p>
            <w:r/>
            <w:r>
              <w:rPr>
                <w:rFonts w:ascii="Calibri" w:hAnsi="Calibri"/>
                <w:sz w:val="20"/>
              </w:rPr>
              <w:t>Evet</w:t>
            </w:r>
          </w:p>
        </w:tc>
      </w:tr>
      <w:tr>
        <w:tc>
          <w:tcPr>
            <w:tcW w:type="dxa" w:w="1814"/>
          </w:tcPr>
          <w:p>
            <w:r/>
            <w:r>
              <w:rPr>
                <w:rFonts w:ascii="Calibri" w:hAnsi="Calibri"/>
                <w:sz w:val="20"/>
              </w:rPr>
              <w:t>Chawla vd., 2002</w:t>
            </w:r>
          </w:p>
        </w:tc>
        <w:tc>
          <w:tcPr>
            <w:tcW w:type="dxa" w:w="3118"/>
          </w:tcPr>
          <w:p>
            <w:r/>
            <w:r>
              <w:rPr>
                <w:rFonts w:ascii="Calibri" w:hAnsi="Calibri"/>
                <w:sz w:val="20"/>
              </w:rPr>
              <w:t>Sınıf dengesizliği: SMOTE, SMOTE-NC ve olasılık kalibrasyonuna etkisi</w:t>
            </w:r>
          </w:p>
        </w:tc>
        <w:tc>
          <w:tcPr>
            <w:tcW w:type="dxa" w:w="3118"/>
          </w:tcPr>
          <w:p>
            <w:r/>
            <w:r>
              <w:rPr>
                <w:rFonts w:ascii="Calibri" w:hAnsi="Calibri"/>
                <w:sz w:val="20"/>
              </w:rPr>
              <w:t>Üst düzey AI dergisi (JAIR), klasik/çok atıflı</w:t>
            </w:r>
          </w:p>
        </w:tc>
        <w:tc>
          <w:tcPr>
            <w:tcW w:type="dxa" w:w="1304"/>
          </w:tcPr>
          <w:p>
            <w:r/>
            <w:r>
              <w:rPr>
                <w:rFonts w:ascii="Calibri" w:hAnsi="Calibri"/>
                <w:sz w:val="20"/>
              </w:rPr>
              <w:t>Evet</w:t>
            </w:r>
          </w:p>
        </w:tc>
      </w:tr>
      <w:tr>
        <w:tc>
          <w:tcPr>
            <w:tcW w:type="dxa" w:w="1814"/>
          </w:tcPr>
          <w:p>
            <w:r/>
            <w:r>
              <w:rPr>
                <w:rFonts w:ascii="Calibri" w:hAnsi="Calibri"/>
                <w:sz w:val="20"/>
              </w:rPr>
              <w:t>Amin vd., 2016</w:t>
            </w:r>
          </w:p>
        </w:tc>
        <w:tc>
          <w:tcPr>
            <w:tcW w:type="dxa" w:w="3118"/>
          </w:tcPr>
          <w:p>
            <w:r/>
            <w:r>
              <w:rPr>
                <w:rFonts w:ascii="Calibri" w:hAnsi="Calibri"/>
                <w:sz w:val="20"/>
              </w:rPr>
              <w:t>Sınıf dengesizliği: SMOTE, SMOTE-NC ve olasılık kalibrasyonuna etkisi</w:t>
            </w:r>
          </w:p>
        </w:tc>
        <w:tc>
          <w:tcPr>
            <w:tcW w:type="dxa" w:w="3118"/>
          </w:tcPr>
          <w:p>
            <w:r/>
            <w:r>
              <w:rPr>
                <w:rFonts w:ascii="Calibri" w:hAnsi="Calibri"/>
                <w:sz w:val="20"/>
              </w:rPr>
              <w:t>Q1/Q2 dergi (IEEE Access)</w:t>
            </w:r>
          </w:p>
        </w:tc>
        <w:tc>
          <w:tcPr>
            <w:tcW w:type="dxa" w:w="1304"/>
          </w:tcPr>
          <w:p>
            <w:r/>
            <w:r>
              <w:rPr>
                <w:rFonts w:ascii="Calibri" w:hAnsi="Calibri"/>
                <w:sz w:val="20"/>
              </w:rPr>
              <w:t>Evet</w:t>
            </w:r>
          </w:p>
        </w:tc>
      </w:tr>
      <w:tr>
        <w:tc>
          <w:tcPr>
            <w:tcW w:type="dxa" w:w="1814"/>
          </w:tcPr>
          <w:p>
            <w:r/>
            <w:r>
              <w:rPr>
                <w:rFonts w:ascii="Calibri" w:hAnsi="Calibri"/>
                <w:sz w:val="20"/>
              </w:rPr>
              <w:t>Burez &amp; Van den Poel, 2009</w:t>
            </w:r>
          </w:p>
        </w:tc>
        <w:tc>
          <w:tcPr>
            <w:tcW w:type="dxa" w:w="3118"/>
          </w:tcPr>
          <w:p>
            <w:r/>
            <w:r>
              <w:rPr>
                <w:rFonts w:ascii="Calibri" w:hAnsi="Calibri"/>
                <w:sz w:val="20"/>
              </w:rPr>
              <w:t>Sınıf dengesizliği: SMOTE, SMOTE-NC ve olasılık kalibrasyonuna etkisi</w:t>
            </w:r>
          </w:p>
        </w:tc>
        <w:tc>
          <w:tcPr>
            <w:tcW w:type="dxa" w:w="3118"/>
          </w:tcPr>
          <w:p>
            <w:r/>
            <w:r>
              <w:rPr>
                <w:rFonts w:ascii="Calibri" w:hAnsi="Calibri"/>
                <w:sz w:val="20"/>
              </w:rPr>
              <w:t>Q1 dergi (Expert Systems with Applications)</w:t>
            </w:r>
          </w:p>
        </w:tc>
        <w:tc>
          <w:tcPr>
            <w:tcW w:type="dxa" w:w="1304"/>
          </w:tcPr>
          <w:p>
            <w:r/>
            <w:r>
              <w:rPr>
                <w:rFonts w:ascii="Calibri" w:hAnsi="Calibri"/>
                <w:sz w:val="20"/>
              </w:rPr>
              <w:t>Evet</w:t>
            </w:r>
          </w:p>
        </w:tc>
      </w:tr>
      <w:tr>
        <w:tc>
          <w:tcPr>
            <w:tcW w:type="dxa" w:w="1814"/>
          </w:tcPr>
          <w:p>
            <w:r/>
            <w:r>
              <w:rPr>
                <w:rFonts w:ascii="Calibri" w:hAnsi="Calibri"/>
                <w:sz w:val="20"/>
              </w:rPr>
              <w:t>Haddadi vd., 2024</w:t>
            </w:r>
          </w:p>
        </w:tc>
        <w:tc>
          <w:tcPr>
            <w:tcW w:type="dxa" w:w="3118"/>
          </w:tcPr>
          <w:p>
            <w:r/>
            <w:r>
              <w:rPr>
                <w:rFonts w:ascii="Calibri" w:hAnsi="Calibri"/>
                <w:sz w:val="20"/>
              </w:rPr>
              <w:t>Sınıf dengesizliği: SMOTE, SMOTE-NC ve olasılık kalibrasyonuna etkisi</w:t>
            </w:r>
          </w:p>
        </w:tc>
        <w:tc>
          <w:tcPr>
            <w:tcW w:type="dxa" w:w="3118"/>
          </w:tcPr>
          <w:p>
            <w:r/>
            <w:r>
              <w:rPr>
                <w:rFonts w:ascii="Calibri" w:hAnsi="Calibri"/>
                <w:sz w:val="20"/>
              </w:rPr>
              <w:t>Q1 dergi (Expert Systems with Applications)</w:t>
            </w:r>
          </w:p>
        </w:tc>
        <w:tc>
          <w:tcPr>
            <w:tcW w:type="dxa" w:w="1304"/>
          </w:tcPr>
          <w:p>
            <w:r/>
            <w:r>
              <w:rPr>
                <w:rFonts w:ascii="Calibri" w:hAnsi="Calibri"/>
                <w:sz w:val="20"/>
              </w:rPr>
              <w:t>Evet</w:t>
            </w:r>
          </w:p>
        </w:tc>
      </w:tr>
      <w:tr>
        <w:tc>
          <w:tcPr>
            <w:tcW w:type="dxa" w:w="1814"/>
          </w:tcPr>
          <w:p>
            <w:r/>
            <w:r>
              <w:rPr>
                <w:rFonts w:ascii="Calibri" w:hAnsi="Calibri"/>
                <w:sz w:val="20"/>
              </w:rPr>
              <w:t>Lundberg &amp; Lee, 2017</w:t>
            </w:r>
          </w:p>
        </w:tc>
        <w:tc>
          <w:tcPr>
            <w:tcW w:type="dxa" w:w="3118"/>
          </w:tcPr>
          <w:p>
            <w:r/>
            <w:r>
              <w:rPr>
                <w:rFonts w:ascii="Calibri" w:hAnsi="Calibri"/>
                <w:sz w:val="20"/>
              </w:rPr>
              <w:t>Açıklanabilirlik: SHAP ve churn/kredi uygulamaları</w:t>
            </w:r>
          </w:p>
        </w:tc>
        <w:tc>
          <w:tcPr>
            <w:tcW w:type="dxa" w:w="3118"/>
          </w:tcPr>
          <w:p>
            <w:r/>
            <w:r>
              <w:rPr>
                <w:rFonts w:ascii="Calibri" w:hAnsi="Calibri"/>
                <w:sz w:val="20"/>
              </w:rPr>
              <w:t>Üst düzey AI konferansı (NeurIPS), çok yüksek atıf sayılı</w:t>
            </w:r>
          </w:p>
        </w:tc>
        <w:tc>
          <w:tcPr>
            <w:tcW w:type="dxa" w:w="1304"/>
          </w:tcPr>
          <w:p>
            <w:r/>
            <w:r>
              <w:rPr>
                <w:rFonts w:ascii="Calibri" w:hAnsi="Calibri"/>
                <w:sz w:val="20"/>
              </w:rPr>
              <w:t>Evet</w:t>
            </w:r>
          </w:p>
        </w:tc>
      </w:tr>
      <w:tr>
        <w:tc>
          <w:tcPr>
            <w:tcW w:type="dxa" w:w="1814"/>
          </w:tcPr>
          <w:p>
            <w:r/>
            <w:r>
              <w:rPr>
                <w:rFonts w:ascii="Calibri" w:hAnsi="Calibri"/>
                <w:sz w:val="20"/>
              </w:rPr>
              <w:t>Lundberg vd., 2020</w:t>
            </w:r>
          </w:p>
        </w:tc>
        <w:tc>
          <w:tcPr>
            <w:tcW w:type="dxa" w:w="3118"/>
          </w:tcPr>
          <w:p>
            <w:r/>
            <w:r>
              <w:rPr>
                <w:rFonts w:ascii="Calibri" w:hAnsi="Calibri"/>
                <w:sz w:val="20"/>
              </w:rPr>
              <w:t>Açıklanabilirlik: SHAP ve churn/kredi uygulamaları</w:t>
            </w:r>
          </w:p>
        </w:tc>
        <w:tc>
          <w:tcPr>
            <w:tcW w:type="dxa" w:w="3118"/>
          </w:tcPr>
          <w:p>
            <w:r/>
            <w:r>
              <w:rPr>
                <w:rFonts w:ascii="Calibri" w:hAnsi="Calibri"/>
                <w:sz w:val="20"/>
              </w:rPr>
              <w:t>Üst düzey dergi (Nature Machine Intelligence, Q1)</w:t>
            </w:r>
          </w:p>
        </w:tc>
        <w:tc>
          <w:tcPr>
            <w:tcW w:type="dxa" w:w="1304"/>
          </w:tcPr>
          <w:p>
            <w:r/>
            <w:r>
              <w:rPr>
                <w:rFonts w:ascii="Calibri" w:hAnsi="Calibri"/>
                <w:sz w:val="20"/>
              </w:rPr>
              <w:t>Hayır</w:t>
            </w:r>
          </w:p>
        </w:tc>
      </w:tr>
      <w:tr>
        <w:tc>
          <w:tcPr>
            <w:tcW w:type="dxa" w:w="1814"/>
          </w:tcPr>
          <w:p>
            <w:r/>
            <w:r>
              <w:rPr>
                <w:rFonts w:ascii="Calibri" w:hAnsi="Calibri"/>
                <w:sz w:val="20"/>
              </w:rPr>
              <w:t>Guliyev &amp; Yerdelen Tatoğlu, 2021</w:t>
            </w:r>
          </w:p>
        </w:tc>
        <w:tc>
          <w:tcPr>
            <w:tcW w:type="dxa" w:w="3118"/>
          </w:tcPr>
          <w:p>
            <w:r/>
            <w:r>
              <w:rPr>
                <w:rFonts w:ascii="Calibri" w:hAnsi="Calibri"/>
                <w:sz w:val="20"/>
              </w:rPr>
              <w:t>Açıklanabilirlik: SHAP ve churn/kredi uygulamaları</w:t>
            </w:r>
          </w:p>
        </w:tc>
        <w:tc>
          <w:tcPr>
            <w:tcW w:type="dxa" w:w="3118"/>
          </w:tcPr>
          <w:p>
            <w:r/>
            <w:r>
              <w:rPr>
                <w:rFonts w:ascii="Calibri" w:hAnsi="Calibri"/>
                <w:sz w:val="20"/>
              </w:rPr>
              <w:t>Niş/yeni ekonometri dergisi (henüz geniş indekslenmemiş, orta düzey)</w:t>
            </w:r>
          </w:p>
        </w:tc>
        <w:tc>
          <w:tcPr>
            <w:tcW w:type="dxa" w:w="1304"/>
          </w:tcPr>
          <w:p>
            <w:r/>
            <w:r>
              <w:rPr>
                <w:rFonts w:ascii="Calibri" w:hAnsi="Calibri"/>
                <w:sz w:val="20"/>
              </w:rPr>
              <w:t>Evet</w:t>
            </w:r>
          </w:p>
        </w:tc>
      </w:tr>
      <w:tr>
        <w:tc>
          <w:tcPr>
            <w:tcW w:type="dxa" w:w="1814"/>
          </w:tcPr>
          <w:p>
            <w:r/>
            <w:r>
              <w:rPr>
                <w:rFonts w:ascii="Calibri" w:hAnsi="Calibri"/>
                <w:sz w:val="20"/>
              </w:rPr>
              <w:t>Maan &amp; Maan, 2023</w:t>
            </w:r>
          </w:p>
        </w:tc>
        <w:tc>
          <w:tcPr>
            <w:tcW w:type="dxa" w:w="3118"/>
          </w:tcPr>
          <w:p>
            <w:r/>
            <w:r>
              <w:rPr>
                <w:rFonts w:ascii="Calibri" w:hAnsi="Calibri"/>
                <w:sz w:val="20"/>
              </w:rPr>
              <w:t>Açıklanabilirlik: SHAP ve churn/kredi uygulamaları</w:t>
            </w:r>
          </w:p>
        </w:tc>
        <w:tc>
          <w:tcPr>
            <w:tcW w:type="dxa" w:w="3118"/>
          </w:tcPr>
          <w:p>
            <w:r/>
            <w:r>
              <w:rPr>
                <w:rFonts w:ascii="Calibri" w:hAnsi="Calibri"/>
                <w:sz w:val="20"/>
              </w:rPr>
              <w:t>Hakemsiz ön-baskı (arXiv preprint)</w:t>
            </w:r>
          </w:p>
        </w:tc>
        <w:tc>
          <w:tcPr>
            <w:tcW w:type="dxa" w:w="1304"/>
          </w:tcPr>
          <w:p>
            <w:r/>
            <w:r>
              <w:rPr>
                <w:rFonts w:ascii="Calibri" w:hAnsi="Calibri"/>
                <w:sz w:val="20"/>
              </w:rPr>
              <w:t>Evet</w:t>
            </w:r>
          </w:p>
        </w:tc>
      </w:tr>
      <w:tr>
        <w:tc>
          <w:tcPr>
            <w:tcW w:type="dxa" w:w="1814"/>
          </w:tcPr>
          <w:p>
            <w:r/>
            <w:r>
              <w:rPr>
                <w:rFonts w:ascii="Calibri" w:hAnsi="Calibri"/>
                <w:sz w:val="20"/>
              </w:rPr>
              <w:t>Rasool vd., 2025</w:t>
            </w:r>
          </w:p>
        </w:tc>
        <w:tc>
          <w:tcPr>
            <w:tcW w:type="dxa" w:w="3118"/>
          </w:tcPr>
          <w:p>
            <w:r/>
            <w:r>
              <w:rPr>
                <w:rFonts w:ascii="Calibri" w:hAnsi="Calibri"/>
                <w:sz w:val="20"/>
              </w:rPr>
              <w:t>Açıklanabilirlik: SHAP ve churn/kredi uygulamaları</w:t>
            </w:r>
          </w:p>
        </w:tc>
        <w:tc>
          <w:tcPr>
            <w:tcW w:type="dxa" w:w="3118"/>
          </w:tcPr>
          <w:p>
            <w:r/>
            <w:r>
              <w:rPr>
                <w:rFonts w:ascii="Calibri" w:hAnsi="Calibri"/>
                <w:sz w:val="20"/>
              </w:rPr>
              <w:t>Düşük-orta prestijli uluslararası dergi (IIETA/MMEP)</w:t>
            </w:r>
          </w:p>
        </w:tc>
        <w:tc>
          <w:tcPr>
            <w:tcW w:type="dxa" w:w="1304"/>
          </w:tcPr>
          <w:p>
            <w:r/>
            <w:r>
              <w:rPr>
                <w:rFonts w:ascii="Calibri" w:hAnsi="Calibri"/>
                <w:sz w:val="20"/>
              </w:rPr>
              <w:t>Evet</w:t>
            </w:r>
          </w:p>
        </w:tc>
      </w:tr>
      <w:tr>
        <w:tc>
          <w:tcPr>
            <w:tcW w:type="dxa" w:w="1814"/>
          </w:tcPr>
          <w:p>
            <w:r/>
            <w:r>
              <w:rPr>
                <w:rFonts w:ascii="Calibri" w:hAnsi="Calibri"/>
                <w:sz w:val="20"/>
              </w:rPr>
              <w:t>Wang vd., 2025</w:t>
            </w:r>
          </w:p>
        </w:tc>
        <w:tc>
          <w:tcPr>
            <w:tcW w:type="dxa" w:w="3118"/>
          </w:tcPr>
          <w:p>
            <w:r/>
            <w:r>
              <w:rPr>
                <w:rFonts w:ascii="Calibri" w:hAnsi="Calibri"/>
                <w:sz w:val="20"/>
              </w:rPr>
              <w:t>Açıklanabilirlik: SHAP ve churn/kredi uygulamaları</w:t>
            </w:r>
          </w:p>
        </w:tc>
        <w:tc>
          <w:tcPr>
            <w:tcW w:type="dxa" w:w="3118"/>
          </w:tcPr>
          <w:p>
            <w:r/>
            <w:r>
              <w:rPr>
                <w:rFonts w:ascii="Calibri" w:hAnsi="Calibri"/>
                <w:sz w:val="20"/>
              </w:rPr>
              <w:t>Q2 dergi (Expert Systems, Wiley); arXiv ön-baskısı da mevcut (arXiv:2410.15827)</w:t>
            </w:r>
          </w:p>
        </w:tc>
        <w:tc>
          <w:tcPr>
            <w:tcW w:type="dxa" w:w="1304"/>
          </w:tcPr>
          <w:p>
            <w:r/>
            <w:r>
              <w:rPr>
                <w:rFonts w:ascii="Calibri" w:hAnsi="Calibri"/>
                <w:sz w:val="20"/>
              </w:rPr>
              <w:t>Evet</w:t>
            </w:r>
          </w:p>
        </w:tc>
      </w:tr>
      <w:tr>
        <w:tc>
          <w:tcPr>
            <w:tcW w:type="dxa" w:w="1814"/>
          </w:tcPr>
          <w:p>
            <w:r/>
            <w:r>
              <w:rPr>
                <w:rFonts w:ascii="Calibri" w:hAnsi="Calibri"/>
                <w:sz w:val="20"/>
              </w:rPr>
              <w:t>McNemar, 1947</w:t>
            </w:r>
          </w:p>
        </w:tc>
        <w:tc>
          <w:tcPr>
            <w:tcW w:type="dxa" w:w="3118"/>
          </w:tcPr>
          <w:p>
            <w:r/>
            <w:r>
              <w:rPr>
                <w:rFonts w:ascii="Calibri" w:hAnsi="Calibri"/>
                <w:sz w:val="20"/>
              </w:rPr>
              <w:t>Model karşılaştırma: McNemar testi ve çoklu karşılaştırma düzeltmesi</w:t>
            </w:r>
          </w:p>
        </w:tc>
        <w:tc>
          <w:tcPr>
            <w:tcW w:type="dxa" w:w="3118"/>
          </w:tcPr>
          <w:p>
            <w:r/>
            <w:r>
              <w:rPr>
                <w:rFonts w:ascii="Calibri" w:hAnsi="Calibri"/>
                <w:sz w:val="20"/>
              </w:rPr>
              <w:t>Klasik istatistik dergisi makalesi (Psychometrika)</w:t>
            </w:r>
          </w:p>
        </w:tc>
        <w:tc>
          <w:tcPr>
            <w:tcW w:type="dxa" w:w="1304"/>
          </w:tcPr>
          <w:p>
            <w:r/>
            <w:r>
              <w:rPr>
                <w:rFonts w:ascii="Calibri" w:hAnsi="Calibri"/>
                <w:sz w:val="20"/>
              </w:rPr>
              <w:t>Evet</w:t>
            </w:r>
          </w:p>
        </w:tc>
      </w:tr>
      <w:tr>
        <w:tc>
          <w:tcPr>
            <w:tcW w:type="dxa" w:w="1814"/>
          </w:tcPr>
          <w:p>
            <w:r/>
            <w:r>
              <w:rPr>
                <w:rFonts w:ascii="Calibri" w:hAnsi="Calibri"/>
                <w:sz w:val="20"/>
              </w:rPr>
              <w:t>Dietterich, 1998</w:t>
            </w:r>
          </w:p>
        </w:tc>
        <w:tc>
          <w:tcPr>
            <w:tcW w:type="dxa" w:w="3118"/>
          </w:tcPr>
          <w:p>
            <w:r/>
            <w:r>
              <w:rPr>
                <w:rFonts w:ascii="Calibri" w:hAnsi="Calibri"/>
                <w:sz w:val="20"/>
              </w:rPr>
              <w:t>Model karşılaştırma: McNemar testi ve çoklu karşılaştırma düzeltmesi</w:t>
            </w:r>
          </w:p>
        </w:tc>
        <w:tc>
          <w:tcPr>
            <w:tcW w:type="dxa" w:w="3118"/>
          </w:tcPr>
          <w:p>
            <w:r/>
            <w:r>
              <w:rPr>
                <w:rFonts w:ascii="Calibri" w:hAnsi="Calibri"/>
                <w:sz w:val="20"/>
              </w:rPr>
              <w:t>Q1 dergi (Neural Computation)</w:t>
            </w:r>
          </w:p>
        </w:tc>
        <w:tc>
          <w:tcPr>
            <w:tcW w:type="dxa" w:w="1304"/>
          </w:tcPr>
          <w:p>
            <w:r/>
            <w:r>
              <w:rPr>
                <w:rFonts w:ascii="Calibri" w:hAnsi="Calibri"/>
                <w:sz w:val="20"/>
              </w:rPr>
              <w:t>Evet</w:t>
            </w:r>
          </w:p>
        </w:tc>
      </w:tr>
      <w:tr>
        <w:tc>
          <w:tcPr>
            <w:tcW w:type="dxa" w:w="1814"/>
          </w:tcPr>
          <w:p>
            <w:r/>
            <w:r>
              <w:rPr>
                <w:rFonts w:ascii="Calibri" w:hAnsi="Calibri"/>
                <w:sz w:val="20"/>
              </w:rPr>
              <w:t>Holm, 1979</w:t>
            </w:r>
          </w:p>
        </w:tc>
        <w:tc>
          <w:tcPr>
            <w:tcW w:type="dxa" w:w="3118"/>
          </w:tcPr>
          <w:p>
            <w:r/>
            <w:r>
              <w:rPr>
                <w:rFonts w:ascii="Calibri" w:hAnsi="Calibri"/>
                <w:sz w:val="20"/>
              </w:rPr>
              <w:t>Model karşılaştırma: McNemar testi ve çoklu karşılaştırma düzeltmesi</w:t>
            </w:r>
          </w:p>
        </w:tc>
        <w:tc>
          <w:tcPr>
            <w:tcW w:type="dxa" w:w="3118"/>
          </w:tcPr>
          <w:p>
            <w:r/>
            <w:r>
              <w:rPr>
                <w:rFonts w:ascii="Calibri" w:hAnsi="Calibri"/>
                <w:sz w:val="20"/>
              </w:rPr>
              <w:t>Klasik istatistik dergisi makalesi (Scandinavian Journal of Statistics), çok yüksek atıflı</w:t>
            </w:r>
          </w:p>
        </w:tc>
        <w:tc>
          <w:tcPr>
            <w:tcW w:type="dxa" w:w="1304"/>
          </w:tcPr>
          <w:p>
            <w:r/>
            <w:r>
              <w:rPr>
                <w:rFonts w:ascii="Calibri" w:hAnsi="Calibri"/>
                <w:sz w:val="20"/>
              </w:rPr>
              <w:t>Hayır</w:t>
            </w:r>
          </w:p>
        </w:tc>
      </w:tr>
      <w:tr>
        <w:tc>
          <w:tcPr>
            <w:tcW w:type="dxa" w:w="1814"/>
          </w:tcPr>
          <w:p>
            <w:r/>
            <w:r>
              <w:rPr>
                <w:rFonts w:ascii="Calibri" w:hAnsi="Calibri"/>
                <w:sz w:val="20"/>
              </w:rPr>
              <w:t>Yang vd., 2023</w:t>
            </w:r>
          </w:p>
        </w:tc>
        <w:tc>
          <w:tcPr>
            <w:tcW w:type="dxa" w:w="3118"/>
          </w:tcPr>
          <w:p>
            <w:r/>
            <w:r>
              <w:rPr>
                <w:rFonts w:ascii="Calibri" w:hAnsi="Calibri"/>
                <w:sz w:val="20"/>
              </w:rPr>
              <w:t>Model karşılaştırma: McNemar testi ve çoklu karşılaştırma düzeltmesi</w:t>
            </w:r>
          </w:p>
        </w:tc>
        <w:tc>
          <w:tcPr>
            <w:tcW w:type="dxa" w:w="3118"/>
          </w:tcPr>
          <w:p>
            <w:r/>
            <w:r>
              <w:rPr>
                <w:rFonts w:ascii="Calibri" w:hAnsi="Calibri"/>
                <w:sz w:val="20"/>
              </w:rPr>
              <w:t>Hakemsiz ön-baskı (arXiv preprint)</w:t>
            </w:r>
          </w:p>
        </w:tc>
        <w:tc>
          <w:tcPr>
            <w:tcW w:type="dxa" w:w="1304"/>
          </w:tcPr>
          <w:p>
            <w:r/>
            <w:r>
              <w:rPr>
                <w:rFonts w:ascii="Calibri" w:hAnsi="Calibri"/>
                <w:sz w:val="20"/>
              </w:rPr>
              <w:t>Evet</w:t>
            </w:r>
          </w:p>
        </w:tc>
      </w:tr>
      <w:tr>
        <w:tc>
          <w:tcPr>
            <w:tcW w:type="dxa" w:w="1814"/>
          </w:tcPr>
          <w:p>
            <w:r/>
            <w:r>
              <w:rPr>
                <w:rFonts w:ascii="Calibri" w:hAnsi="Calibri"/>
                <w:sz w:val="20"/>
              </w:rPr>
              <w:t>Duchemin &amp; Matheus, 2021</w:t>
            </w:r>
          </w:p>
        </w:tc>
        <w:tc>
          <w:tcPr>
            <w:tcW w:type="dxa" w:w="3118"/>
          </w:tcPr>
          <w:p>
            <w:r/>
            <w:r>
              <w:rPr>
                <w:rFonts w:ascii="Calibri" w:hAnsi="Calibri"/>
                <w:sz w:val="20"/>
              </w:rPr>
              <w:t>Model karşılaştırma: McNemar testi ve çoklu karşılaştırma düzeltmesi</w:t>
            </w:r>
          </w:p>
        </w:tc>
        <w:tc>
          <w:tcPr>
            <w:tcW w:type="dxa" w:w="3118"/>
          </w:tcPr>
          <w:p>
            <w:r/>
            <w:r>
              <w:rPr>
                <w:rFonts w:ascii="Calibri" w:hAnsi="Calibri"/>
                <w:sz w:val="20"/>
              </w:rPr>
              <w:t>Niş açık erişimli dergi (TU Delft, düşük-orta prestij)</w:t>
            </w:r>
          </w:p>
        </w:tc>
        <w:tc>
          <w:tcPr>
            <w:tcW w:type="dxa" w:w="1304"/>
          </w:tcPr>
          <w:p>
            <w:r/>
            <w:r>
              <w:rPr>
                <w:rFonts w:ascii="Calibri" w:hAnsi="Calibri"/>
                <w:sz w:val="20"/>
              </w:rPr>
              <w:t>Evet</w:t>
            </w:r>
          </w:p>
        </w:tc>
      </w:tr>
      <w:tr>
        <w:tc>
          <w:tcPr>
            <w:tcW w:type="dxa" w:w="1814"/>
          </w:tcPr>
          <w:p>
            <w:r/>
            <w:r>
              <w:rPr>
                <w:rFonts w:ascii="Calibri" w:hAnsi="Calibri"/>
                <w:sz w:val="20"/>
              </w:rPr>
              <w:t>Elkan, 2001</w:t>
            </w:r>
          </w:p>
        </w:tc>
        <w:tc>
          <w:tcPr>
            <w:tcW w:type="dxa" w:w="3118"/>
          </w:tcPr>
          <w:p>
            <w:r/>
            <w:r>
              <w:rPr>
                <w:rFonts w:ascii="Calibri" w:hAnsi="Calibri"/>
                <w:sz w:val="20"/>
              </w:rPr>
              <w:t>Maliyete duyarlı öğrenme ve eşik seçimi</w:t>
            </w:r>
          </w:p>
        </w:tc>
        <w:tc>
          <w:tcPr>
            <w:tcW w:type="dxa" w:w="3118"/>
          </w:tcPr>
          <w:p>
            <w:r/>
            <w:r>
              <w:rPr>
                <w:rFonts w:ascii="Calibri" w:hAnsi="Calibri"/>
                <w:sz w:val="20"/>
              </w:rPr>
              <w:t>Üst düzey AI konferansı (IJCAI), klasik/çok atıflı</w:t>
            </w:r>
          </w:p>
        </w:tc>
        <w:tc>
          <w:tcPr>
            <w:tcW w:type="dxa" w:w="1304"/>
          </w:tcPr>
          <w:p>
            <w:r/>
            <w:r>
              <w:rPr>
                <w:rFonts w:ascii="Calibri" w:hAnsi="Calibri"/>
                <w:sz w:val="20"/>
              </w:rPr>
              <w:t>Hayır</w:t>
            </w:r>
          </w:p>
        </w:tc>
      </w:tr>
      <w:tr>
        <w:tc>
          <w:tcPr>
            <w:tcW w:type="dxa" w:w="1814"/>
          </w:tcPr>
          <w:p>
            <w:r/>
            <w:r>
              <w:rPr>
                <w:rFonts w:ascii="Calibri" w:hAnsi="Calibri"/>
                <w:sz w:val="20"/>
              </w:rPr>
              <w:t>Van Rijsbergen, 1979</w:t>
            </w:r>
          </w:p>
        </w:tc>
        <w:tc>
          <w:tcPr>
            <w:tcW w:type="dxa" w:w="3118"/>
          </w:tcPr>
          <w:p>
            <w:r/>
            <w:r>
              <w:rPr>
                <w:rFonts w:ascii="Calibri" w:hAnsi="Calibri"/>
                <w:sz w:val="20"/>
              </w:rPr>
              <w:t>Maliyete duyarlı öğrenme ve eşik seçimi</w:t>
            </w:r>
          </w:p>
        </w:tc>
        <w:tc>
          <w:tcPr>
            <w:tcW w:type="dxa" w:w="3118"/>
          </w:tcPr>
          <w:p>
            <w:r/>
            <w:r>
              <w:rPr>
                <w:rFonts w:ascii="Calibri" w:hAnsi="Calibri"/>
                <w:sz w:val="20"/>
              </w:rPr>
              <w:t>Klasik, çok atıflı kitap (alan-kurucu kaynak)</w:t>
            </w:r>
          </w:p>
        </w:tc>
        <w:tc>
          <w:tcPr>
            <w:tcW w:type="dxa" w:w="1304"/>
          </w:tcPr>
          <w:p>
            <w:r/>
            <w:r>
              <w:rPr>
                <w:rFonts w:ascii="Calibri" w:hAnsi="Calibri"/>
                <w:sz w:val="20"/>
              </w:rPr>
              <w:t>Hayır</w:t>
            </w:r>
          </w:p>
        </w:tc>
      </w:tr>
      <w:tr>
        <w:tc>
          <w:tcPr>
            <w:tcW w:type="dxa" w:w="1814"/>
          </w:tcPr>
          <w:p>
            <w:r/>
            <w:r>
              <w:rPr>
                <w:rFonts w:ascii="Calibri" w:hAnsi="Calibri"/>
                <w:sz w:val="20"/>
              </w:rPr>
              <w:t>Platt, 1999</w:t>
            </w:r>
          </w:p>
        </w:tc>
        <w:tc>
          <w:tcPr>
            <w:tcW w:type="dxa" w:w="3118"/>
          </w:tcPr>
          <w:p>
            <w:r/>
            <w:r>
              <w:rPr>
                <w:rFonts w:ascii="Calibri" w:hAnsi="Calibri"/>
                <w:sz w:val="20"/>
              </w:rPr>
              <w:t>Olasılık kalibrasyonu</w:t>
            </w:r>
          </w:p>
        </w:tc>
        <w:tc>
          <w:tcPr>
            <w:tcW w:type="dxa" w:w="3118"/>
          </w:tcPr>
          <w:p>
            <w:r/>
            <w:r>
              <w:rPr>
                <w:rFonts w:ascii="Calibri" w:hAnsi="Calibri"/>
                <w:sz w:val="20"/>
              </w:rPr>
              <w:t>Çok atıflı kitap bölümü (klasik ML kalibrasyon kaynağı)</w:t>
            </w:r>
          </w:p>
        </w:tc>
        <w:tc>
          <w:tcPr>
            <w:tcW w:type="dxa" w:w="1304"/>
          </w:tcPr>
          <w:p>
            <w:r/>
            <w:r>
              <w:rPr>
                <w:rFonts w:ascii="Calibri" w:hAnsi="Calibri"/>
                <w:sz w:val="20"/>
              </w:rPr>
              <w:t>Hayır</w:t>
            </w:r>
          </w:p>
        </w:tc>
      </w:tr>
      <w:tr>
        <w:tc>
          <w:tcPr>
            <w:tcW w:type="dxa" w:w="1814"/>
          </w:tcPr>
          <w:p>
            <w:r/>
            <w:r>
              <w:rPr>
                <w:rFonts w:ascii="Calibri" w:hAnsi="Calibri"/>
                <w:sz w:val="20"/>
              </w:rPr>
              <w:t>Niculescu-Mizil &amp; Caruana, 2005</w:t>
            </w:r>
          </w:p>
        </w:tc>
        <w:tc>
          <w:tcPr>
            <w:tcW w:type="dxa" w:w="3118"/>
          </w:tcPr>
          <w:p>
            <w:r/>
            <w:r>
              <w:rPr>
                <w:rFonts w:ascii="Calibri" w:hAnsi="Calibri"/>
                <w:sz w:val="20"/>
              </w:rPr>
              <w:t>Olasılık kalibrasyonu</w:t>
            </w:r>
          </w:p>
        </w:tc>
        <w:tc>
          <w:tcPr>
            <w:tcW w:type="dxa" w:w="3118"/>
          </w:tcPr>
          <w:p>
            <w:r/>
            <w:r>
              <w:rPr>
                <w:rFonts w:ascii="Calibri" w:hAnsi="Calibri"/>
                <w:sz w:val="20"/>
              </w:rPr>
              <w:t>Üst düzey AI konferansı (ICML), çok yüksek atıflı</w:t>
            </w:r>
          </w:p>
        </w:tc>
        <w:tc>
          <w:tcPr>
            <w:tcW w:type="dxa" w:w="1304"/>
          </w:tcPr>
          <w:p>
            <w:r/>
            <w:r>
              <w:rPr>
                <w:rFonts w:ascii="Calibri" w:hAnsi="Calibri"/>
                <w:sz w:val="20"/>
              </w:rPr>
              <w:t>Hayır</w:t>
            </w:r>
          </w:p>
        </w:tc>
      </w:tr>
      <w:tr>
        <w:tc>
          <w:tcPr>
            <w:tcW w:type="dxa" w:w="1814"/>
          </w:tcPr>
          <w:p>
            <w:r/>
            <w:r>
              <w:rPr>
                <w:rFonts w:ascii="Calibri" w:hAnsi="Calibri"/>
                <w:sz w:val="20"/>
              </w:rPr>
              <w:t>Zadrozny &amp; Elkan, 2002</w:t>
            </w:r>
          </w:p>
        </w:tc>
        <w:tc>
          <w:tcPr>
            <w:tcW w:type="dxa" w:w="3118"/>
          </w:tcPr>
          <w:p>
            <w:r/>
            <w:r>
              <w:rPr>
                <w:rFonts w:ascii="Calibri" w:hAnsi="Calibri"/>
                <w:sz w:val="20"/>
              </w:rPr>
              <w:t>Olasılık kalibrasyonu</w:t>
            </w:r>
          </w:p>
        </w:tc>
        <w:tc>
          <w:tcPr>
            <w:tcW w:type="dxa" w:w="3118"/>
          </w:tcPr>
          <w:p>
            <w:r/>
            <w:r>
              <w:rPr>
                <w:rFonts w:ascii="Calibri" w:hAnsi="Calibri"/>
                <w:sz w:val="20"/>
              </w:rPr>
              <w:t>Üst düzey veri madenciliği konferansı (KDD), çok atıflı</w:t>
            </w:r>
          </w:p>
        </w:tc>
        <w:tc>
          <w:tcPr>
            <w:tcW w:type="dxa" w:w="1304"/>
          </w:tcPr>
          <w:p>
            <w:r/>
            <w:r>
              <w:rPr>
                <w:rFonts w:ascii="Calibri" w:hAnsi="Calibri"/>
                <w:sz w:val="20"/>
              </w:rPr>
              <w:t>Hayır</w:t>
            </w:r>
          </w:p>
        </w:tc>
      </w:tr>
      <w:tr>
        <w:tc>
          <w:tcPr>
            <w:tcW w:type="dxa" w:w="1814"/>
          </w:tcPr>
          <w:p>
            <w:r/>
            <w:r>
              <w:rPr>
                <w:rFonts w:ascii="Calibri" w:hAnsi="Calibri"/>
                <w:sz w:val="20"/>
              </w:rPr>
              <w:t>Brier, 1950</w:t>
            </w:r>
          </w:p>
        </w:tc>
        <w:tc>
          <w:tcPr>
            <w:tcW w:type="dxa" w:w="3118"/>
          </w:tcPr>
          <w:p>
            <w:r/>
            <w:r>
              <w:rPr>
                <w:rFonts w:ascii="Calibri" w:hAnsi="Calibri"/>
                <w:sz w:val="20"/>
              </w:rPr>
              <w:t>Olasılık kalibrasyonu</w:t>
            </w:r>
          </w:p>
        </w:tc>
        <w:tc>
          <w:tcPr>
            <w:tcW w:type="dxa" w:w="3118"/>
          </w:tcPr>
          <w:p>
            <w:r/>
            <w:r>
              <w:rPr>
                <w:rFonts w:ascii="Calibri" w:hAnsi="Calibri"/>
                <w:sz w:val="20"/>
              </w:rPr>
              <w:t>Klasik, alan-kurucu dergi makalesi (Monthly Weather Review)</w:t>
            </w:r>
          </w:p>
        </w:tc>
        <w:tc>
          <w:tcPr>
            <w:tcW w:type="dxa" w:w="1304"/>
          </w:tcPr>
          <w:p>
            <w:r/>
            <w:r>
              <w:rPr>
                <w:rFonts w:ascii="Calibri" w:hAnsi="Calibri"/>
                <w:sz w:val="20"/>
              </w:rPr>
              <w:t>Hayır</w:t>
            </w:r>
          </w:p>
        </w:tc>
      </w:tr>
      <w:tr>
        <w:tc>
          <w:tcPr>
            <w:tcW w:type="dxa" w:w="1814"/>
          </w:tcPr>
          <w:p>
            <w:r/>
            <w:r>
              <w:rPr>
                <w:rFonts w:ascii="Calibri" w:hAnsi="Calibri"/>
                <w:sz w:val="20"/>
              </w:rPr>
              <w:t>Dal Pozzolo vd., 2015</w:t>
            </w:r>
          </w:p>
        </w:tc>
        <w:tc>
          <w:tcPr>
            <w:tcW w:type="dxa" w:w="3118"/>
          </w:tcPr>
          <w:p>
            <w:r/>
            <w:r>
              <w:rPr>
                <w:rFonts w:ascii="Calibri" w:hAnsi="Calibri"/>
                <w:sz w:val="20"/>
              </w:rPr>
              <w:t>Olasılık kalibrasyonu</w:t>
            </w:r>
          </w:p>
        </w:tc>
        <w:tc>
          <w:tcPr>
            <w:tcW w:type="dxa" w:w="3118"/>
          </w:tcPr>
          <w:p>
            <w:r/>
            <w:r>
              <w:rPr>
                <w:rFonts w:ascii="Calibri" w:hAnsi="Calibri"/>
                <w:sz w:val="20"/>
              </w:rPr>
              <w:t>Orta düzey IEEE konferansı (SSCI)</w:t>
            </w:r>
          </w:p>
        </w:tc>
        <w:tc>
          <w:tcPr>
            <w:tcW w:type="dxa" w:w="1304"/>
          </w:tcPr>
          <w:p>
            <w:r/>
            <w:r>
              <w:rPr>
                <w:rFonts w:ascii="Calibri" w:hAnsi="Calibri"/>
                <w:sz w:val="20"/>
              </w:rPr>
              <w:t>Hayır</w:t>
            </w:r>
          </w:p>
        </w:tc>
      </w:tr>
      <w:tr>
        <w:tc>
          <w:tcPr>
            <w:tcW w:type="dxa" w:w="1814"/>
          </w:tcPr>
          <w:p>
            <w:r/>
            <w:r>
              <w:rPr>
                <w:rFonts w:ascii="Calibri" w:hAnsi="Calibri"/>
                <w:sz w:val="20"/>
              </w:rPr>
              <w:t>van den Goorbergh vd., 2022</w:t>
            </w:r>
          </w:p>
        </w:tc>
        <w:tc>
          <w:tcPr>
            <w:tcW w:type="dxa" w:w="3118"/>
          </w:tcPr>
          <w:p>
            <w:r/>
            <w:r>
              <w:rPr>
                <w:rFonts w:ascii="Calibri" w:hAnsi="Calibri"/>
                <w:sz w:val="20"/>
              </w:rPr>
              <w:t>Olasılık kalibrasyonu</w:t>
            </w:r>
          </w:p>
        </w:tc>
        <w:tc>
          <w:tcPr>
            <w:tcW w:type="dxa" w:w="3118"/>
          </w:tcPr>
          <w:p>
            <w:r/>
            <w:r>
              <w:rPr>
                <w:rFonts w:ascii="Calibri" w:hAnsi="Calibri"/>
                <w:sz w:val="20"/>
              </w:rPr>
              <w:t>Q1 dergi (JAMIA, tıbbi enformatik)</w:t>
            </w:r>
          </w:p>
        </w:tc>
        <w:tc>
          <w:tcPr>
            <w:tcW w:type="dxa" w:w="1304"/>
          </w:tcPr>
          <w:p>
            <w:r/>
            <w:r>
              <w:rPr>
                <w:rFonts w:ascii="Calibri" w:hAnsi="Calibri"/>
                <w:sz w:val="20"/>
              </w:rPr>
              <w:t>Hayır</w:t>
            </w:r>
          </w:p>
        </w:tc>
      </w:tr>
      <w:tr>
        <w:tc>
          <w:tcPr>
            <w:tcW w:type="dxa" w:w="1814"/>
          </w:tcPr>
          <w:p>
            <w:r/>
            <w:r>
              <w:rPr>
                <w:rFonts w:ascii="Calibri" w:hAnsi="Calibri"/>
                <w:sz w:val="20"/>
              </w:rPr>
              <w:t>Liu, 2026</w:t>
            </w:r>
          </w:p>
        </w:tc>
        <w:tc>
          <w:tcPr>
            <w:tcW w:type="dxa" w:w="3118"/>
          </w:tcPr>
          <w:p>
            <w:r/>
            <w:r>
              <w:rPr>
                <w:rFonts w:ascii="Calibri" w:hAnsi="Calibri"/>
                <w:sz w:val="20"/>
              </w:rPr>
              <w:t>Olasılık kalibrasyonu</w:t>
            </w:r>
          </w:p>
        </w:tc>
        <w:tc>
          <w:tcPr>
            <w:tcW w:type="dxa" w:w="3118"/>
          </w:tcPr>
          <w:p>
            <w:r/>
            <w:r>
              <w:rPr>
                <w:rFonts w:ascii="Calibri" w:hAnsi="Calibri"/>
                <w:sz w:val="20"/>
              </w:rPr>
              <w:t>Hakemsiz ön-baskı (arXiv preprint, 2026 — çok yeni, henüz hakem değerlendirmesinden geçmemiş)</w:t>
            </w:r>
          </w:p>
        </w:tc>
        <w:tc>
          <w:tcPr>
            <w:tcW w:type="dxa" w:w="1304"/>
          </w:tcPr>
          <w:p>
            <w:r/>
            <w:r>
              <w:rPr>
                <w:rFonts w:ascii="Calibri" w:hAnsi="Calibri"/>
                <w:sz w:val="20"/>
              </w:rPr>
              <w:t>Hayır</w:t>
            </w:r>
          </w:p>
        </w:tc>
      </w:tr>
      <w:tr>
        <w:tc>
          <w:tcPr>
            <w:tcW w:type="dxa" w:w="1814"/>
          </w:tcPr>
          <w:p>
            <w:r/>
            <w:r>
              <w:rPr>
                <w:rFonts w:ascii="Calibri" w:hAnsi="Calibri"/>
                <w:sz w:val="20"/>
              </w:rPr>
              <w:t>Văduva vd., 2024</w:t>
            </w:r>
          </w:p>
        </w:tc>
        <w:tc>
          <w:tcPr>
            <w:tcW w:type="dxa" w:w="3118"/>
          </w:tcPr>
          <w:p>
            <w:r/>
            <w:r>
              <w:rPr>
                <w:rFonts w:ascii="Calibri" w:hAnsi="Calibri"/>
                <w:sz w:val="20"/>
              </w:rPr>
              <w:t>Olasılık kalibrasyonu</w:t>
            </w:r>
          </w:p>
        </w:tc>
        <w:tc>
          <w:tcPr>
            <w:tcW w:type="dxa" w:w="3118"/>
          </w:tcPr>
          <w:p>
            <w:r/>
            <w:r>
              <w:rPr>
                <w:rFonts w:ascii="Calibri" w:hAnsi="Calibri"/>
                <w:sz w:val="20"/>
              </w:rPr>
              <w:t>Q2 dergi (MDPI Electronics, SCIE taranan)</w:t>
            </w:r>
          </w:p>
        </w:tc>
        <w:tc>
          <w:tcPr>
            <w:tcW w:type="dxa" w:w="1304"/>
          </w:tcPr>
          <w:p>
            <w:r/>
            <w:r>
              <w:rPr>
                <w:rFonts w:ascii="Calibri" w:hAnsi="Calibri"/>
                <w:sz w:val="20"/>
              </w:rPr>
              <w:t>Hayır</w:t>
            </w:r>
          </w:p>
        </w:tc>
      </w:tr>
      <w:tr>
        <w:tc>
          <w:tcPr>
            <w:tcW w:type="dxa" w:w="1814"/>
          </w:tcPr>
          <w:p>
            <w:r/>
            <w:r>
              <w:rPr>
                <w:rFonts w:ascii="Calibri" w:hAnsi="Calibri"/>
                <w:sz w:val="20"/>
              </w:rPr>
              <w:t>Singh vd., 2024</w:t>
            </w:r>
          </w:p>
        </w:tc>
        <w:tc>
          <w:tcPr>
            <w:tcW w:type="dxa" w:w="3118"/>
          </w:tcPr>
          <w:p>
            <w:r/>
            <w:r>
              <w:rPr>
                <w:rFonts w:ascii="Calibri" w:hAnsi="Calibri"/>
                <w:sz w:val="20"/>
              </w:rPr>
              <w:t>Churn karar destek panelleri / erken uyarı sistemleri</w:t>
            </w:r>
          </w:p>
        </w:tc>
        <w:tc>
          <w:tcPr>
            <w:tcW w:type="dxa" w:w="3118"/>
          </w:tcPr>
          <w:p>
            <w:r/>
            <w:r>
              <w:rPr>
                <w:rFonts w:ascii="Calibri" w:hAnsi="Calibri"/>
                <w:sz w:val="20"/>
              </w:rPr>
              <w:t>Yeni/orta düzey Elsevier dergisi (Data Science and Management, henüz geniş atıf havuzu oluşmamış)</w:t>
            </w:r>
          </w:p>
        </w:tc>
        <w:tc>
          <w:tcPr>
            <w:tcW w:type="dxa" w:w="1304"/>
          </w:tcPr>
          <w:p>
            <w:r/>
            <w:r>
              <w:rPr>
                <w:rFonts w:ascii="Calibri" w:hAnsi="Calibri"/>
                <w:sz w:val="20"/>
              </w:rPr>
              <w:t>Hayır</w:t>
            </w:r>
          </w:p>
        </w:tc>
      </w:tr>
      <w:tr>
        <w:tc>
          <w:tcPr>
            <w:tcW w:type="dxa" w:w="1814"/>
          </w:tcPr>
          <w:p>
            <w:r/>
            <w:r>
              <w:rPr>
                <w:rFonts w:ascii="Calibri" w:hAnsi="Calibri"/>
                <w:sz w:val="20"/>
              </w:rPr>
              <w:t>Labo-Popoola, 2026</w:t>
            </w:r>
          </w:p>
        </w:tc>
        <w:tc>
          <w:tcPr>
            <w:tcW w:type="dxa" w:w="3118"/>
          </w:tcPr>
          <w:p>
            <w:r/>
            <w:r>
              <w:rPr>
                <w:rFonts w:ascii="Calibri" w:hAnsi="Calibri"/>
                <w:sz w:val="20"/>
              </w:rPr>
              <w:t>Churn karar destek panelleri / erken uyarı sistemleri</w:t>
            </w:r>
          </w:p>
        </w:tc>
        <w:tc>
          <w:tcPr>
            <w:tcW w:type="dxa" w:w="3118"/>
          </w:tcPr>
          <w:p>
            <w:r/>
            <w:r>
              <w:rPr>
                <w:rFonts w:ascii="Calibri" w:hAnsi="Calibri"/>
                <w:sz w:val="20"/>
              </w:rPr>
              <w:t>Çok yeni dergi (Taylor &amp; Francis, 2026'da yayın hayatına başlamış; henüz Scopus/WoS'ta indekslenmemiş olabilir — dikkatli kullanılmalı)</w:t>
            </w:r>
          </w:p>
        </w:tc>
        <w:tc>
          <w:tcPr>
            <w:tcW w:type="dxa" w:w="1304"/>
          </w:tcPr>
          <w:p>
            <w:r/>
            <w:r>
              <w:rPr>
                <w:rFonts w:ascii="Calibri" w:hAnsi="Calibri"/>
                <w:sz w:val="20"/>
              </w:rPr>
              <w:t>Hayır</w:t>
            </w:r>
          </w:p>
        </w:tc>
      </w:tr>
      <w:tr>
        <w:tc>
          <w:tcPr>
            <w:tcW w:type="dxa" w:w="1814"/>
          </w:tcPr>
          <w:p>
            <w:r/>
            <w:r>
              <w:rPr>
                <w:rFonts w:ascii="Calibri" w:hAnsi="Calibri"/>
                <w:sz w:val="20"/>
              </w:rPr>
              <w:t>Hurlin vd., 2024</w:t>
            </w:r>
          </w:p>
        </w:tc>
        <w:tc>
          <w:tcPr>
            <w:tcW w:type="dxa" w:w="3118"/>
          </w:tcPr>
          <w:p>
            <w:r/>
            <w:r>
              <w:rPr>
                <w:rFonts w:ascii="Calibri" w:hAnsi="Calibri"/>
                <w:sz w:val="20"/>
              </w:rPr>
              <w:t>Confounding ve adalet (fairness) değerlendirmeleri</w:t>
            </w:r>
          </w:p>
        </w:tc>
        <w:tc>
          <w:tcPr>
            <w:tcW w:type="dxa" w:w="3118"/>
          </w:tcPr>
          <w:p>
            <w:r/>
            <w:r>
              <w:rPr>
                <w:rFonts w:ascii="Calibri" w:hAnsi="Calibri"/>
                <w:sz w:val="20"/>
              </w:rPr>
              <w:t>Üst düzey Q1 işletme dergisi (Management Science, FT50)</w:t>
            </w:r>
          </w:p>
        </w:tc>
        <w:tc>
          <w:tcPr>
            <w:tcW w:type="dxa" w:w="1304"/>
          </w:tcPr>
          <w:p>
            <w:r/>
            <w:r>
              <w:rPr>
                <w:rFonts w:ascii="Calibri" w:hAnsi="Calibri"/>
                <w:sz w:val="20"/>
              </w:rPr>
              <w:t>Hayır</w:t>
            </w:r>
          </w:p>
        </w:tc>
      </w:tr>
    </w:tbl>
    <w:p/>
    <w:p>
      <w:pPr>
        <w:pStyle w:val="Heading1"/>
        <w:spacing w:before="360" w:after="160"/>
      </w:pPr>
      <w:r>
        <w:rPr>
          <w:rFonts w:ascii="Calibri" w:hAnsi="Calibri"/>
        </w:rPr>
        <w:t>4. Literatür Boşluğu Notu</w:t>
      </w:r>
    </w:p>
    <w:p>
      <w:pPr>
        <w:spacing w:after="160" w:line="276" w:lineRule="auto"/>
      </w:pPr>
      <w:r>
        <w:rPr>
          <w:rFonts w:ascii="Calibri" w:hAnsi="Calibri"/>
          <w:i w:val="0"/>
          <w:sz w:val="22"/>
        </w:rPr>
        <w:t>Taranan churn + ML literatüründe en belirgin boşluk karar destek/dashboard bileşenidir: incelenen onlarca model-karşılaştırma makalesinin neredeyse hiçbiri churn tahminini bir karar destek arayüzüne bağlamıyor. Bu taramada yalnızca iki doğrudan emsal bulunabildi — Singh vd. (2024), bir RShiny görselleştirme uygulaması; Labo-Popoola (2026), Streamlit tabanlı bir panel — ve ikisi de çok yeni (2024 ve 2026) ve henüz geniş atıf almamış yayınlar. Bu durum hem boşluğun gerçek olduğunu hem de alanın yeni yeni şekillenmeye başladığını gösteriyor; Iris'in Streamlit panelinin literatürdeki konumu bu iki çalışmaya referansla, “erken ama büyüyen bir alana katkı” olarak çerçevelenebilir.</w:t>
      </w:r>
    </w:p>
    <w:p>
      <w:pPr>
        <w:spacing w:after="160" w:line="276" w:lineRule="auto"/>
      </w:pPr>
      <w:r>
        <w:rPr>
          <w:rFonts w:ascii="Calibri" w:hAnsi="Calibri"/>
          <w:i w:val="0"/>
          <w:sz w:val="22"/>
        </w:rPr>
        <w:t>İkinci önemli boşluk: taranan churn çalışmalarının hiçbiri McNemar testi + çoklu karşılaştırma düzeltmesi (Holm) + maliyete duyarlı eşik seçimini + olasılık kalibrasyonunu birlikte uygulamıyor. Zhang vd. (2025) gibi çok modelli karşılaştırmalar bile istatistiksel anlamlılık testi kullanmıyor. Bu, projenin katkı iddiasının mütevazı ama somut biçimde ifade edilebileceği nokta: tek tek bileşenler (SMOTE, SHAP, McNemar, kalibrasyon) literatürde ayrı ayrı var, ama churn bağlamında birlikte ve sistematik biçimde uygulanmaları nadir.</w:t>
      </w:r>
    </w:p>
    <w:p>
      <w:pPr>
        <w:spacing w:after="160" w:line="276" w:lineRule="auto"/>
      </w:pPr>
      <w:r>
        <w:rPr>
          <w:rFonts w:ascii="Calibri" w:hAnsi="Calibri"/>
          <w:i w:val="0"/>
          <w:sz w:val="22"/>
        </w:rPr>
        <w:t>Üçüncü gözlem: SMOTE'un olasılık kalibrasyonunu bozduğu (van den Goorbergh vd., 2022; Dal Pozzolo vd., 2015) ile bu bozulmanın son-işleme kalibrasyonla (Platt/izotonik) düzeltilebilir olduğu (Liu, 2026) arasındaki gerilim, churn literatüründe nadiren birlikte tartışılıyor; Văduva vd. (2024) bu ikisini bir araya getiren nadir istisnalardan biri ve projenin kalibrasyon adımını doğrudan destekliyor.</w:t>
      </w:r>
    </w:p>
    <w:p>
      <w:pPr>
        <w:pStyle w:val="Heading1"/>
        <w:spacing w:before="360" w:after="160"/>
      </w:pPr>
      <w:r>
        <w:rPr>
          <w:rFonts w:ascii="Calibri" w:hAnsi="Calibri"/>
        </w:rPr>
        <w:t>5. Doğrulanamayanlar / Çıkarılması Önerilenler</w:t>
      </w:r>
    </w:p>
    <w:p>
      <w:pPr>
        <w:pStyle w:val="Heading3"/>
        <w:spacing w:before="200" w:after="80"/>
      </w:pPr>
      <w:r>
        <w:rPr>
          <w:rFonts w:ascii="Calibri" w:hAnsi="Calibri"/>
        </w:rPr>
        <w:t>5.1 Mandava, Gupta ve Srikar (2022) — IJRASET</w:t>
      </w:r>
    </w:p>
    <w:p>
      <w:pPr>
        <w:spacing w:after="160" w:line="276" w:lineRule="auto"/>
      </w:pPr>
      <w:r>
        <w:rPr>
          <w:rFonts w:ascii="Calibri" w:hAnsi="Calibri"/>
          <w:i w:val="0"/>
          <w:sz w:val="22"/>
        </w:rPr>
        <w:t>Künye doğrulandı: Mandava, S., Gupta, A., &amp; Srikar, K. (2022). Customer Churn Prediction in Banking Sector - A Hybrid Approach. International Journal for Research in Applied Science and Engineering Technology (IJRASET), 10(11). https://doi.org/10.22214/ijraset.2022.47541 (Lojistik Regresyon, KNN, Karar Ağacı, SVM ve Random Forest karşılaştırılıyor; RF %85, Voting Classifier %84 accuracy).</w:t>
      </w:r>
    </w:p>
    <w:p>
      <w:pPr>
        <w:spacing w:after="160" w:line="276" w:lineRule="auto"/>
      </w:pPr>
      <w:r>
        <w:rPr>
          <w:rFonts w:ascii="Calibri" w:hAnsi="Calibri"/>
          <w:i w:val="0"/>
          <w:sz w:val="22"/>
        </w:rPr>
        <w:t>Çıkarılma gerekçesi: IJRASET, çok yüksek kabul oranına sahip, Scopus/Web of Science'ta taranmayan, hakemlik süreci şeffaf olmayan bir mega-dergidir. Önceki listede bu kaynağın künyesi bile bulunamamıştı; bu turda künye bulunup doğrulanmış olsa da, dergi kalitesi düşük olduğu için tezde birincil kaynak olarak kullanılması önerilmiyor. Dietterich (1998) gibi güçlü kaynaklara “ikincil destek” olarak bile referans verilmemesi, yalnızca “literatürde istatistiksel test eksikliği” örneği olarak (gerekirse) dipnotta anılması önerilir.</w:t>
      </w:r>
    </w:p>
    <w:p>
      <w:pPr>
        <w:pStyle w:val="Heading3"/>
        <w:spacing w:before="200" w:after="80"/>
      </w:pPr>
      <w:r>
        <w:rPr>
          <w:rFonts w:ascii="Calibri" w:hAnsi="Calibri"/>
        </w:rPr>
        <w:t>5.2 Boonmunewai vd. (2024) — KKU Science Journal</w:t>
      </w:r>
    </w:p>
    <w:p>
      <w:pPr>
        <w:spacing w:after="160" w:line="276" w:lineRule="auto"/>
      </w:pPr>
      <w:r>
        <w:rPr>
          <w:rFonts w:ascii="Calibri" w:hAnsi="Calibri"/>
          <w:i w:val="0"/>
          <w:sz w:val="22"/>
        </w:rPr>
        <w:t>Bu turda bağımsız olarak doğrulanamadı: “Boonmunewai” yazar adı, KKU Science Journal 52(3) sayısı ve iddia edilen rakamlar (recall %92.99, F %91.37, AUC %96.4) için yapılan aramalarda eşleşen bir makale bulunamadı. Mevcut listedeki bu kaynak yalnızca ikincil bir notla (proje brief'i) destekleniyordu ve birincil metne hiç ulaşılamamıştı. Birincil kaynağa (KKU Science Journal'ın kendi sitesi, DOI ile) ulaşılıp teyit edilemediği sürece tezde kullanılmaması, kullanılacaksa da rakamların alıntılanmaması önerilir.</w:t>
      </w:r>
    </w:p>
    <w:p>
      <w:pPr>
        <w:pStyle w:val="Heading3"/>
        <w:spacing w:before="200" w:after="80"/>
      </w:pPr>
      <w:r>
        <w:rPr>
          <w:rFonts w:ascii="Calibri" w:hAnsi="Calibri"/>
        </w:rPr>
        <w:t>5.3 Diğer dikkat noktaları</w:t>
      </w:r>
    </w:p>
    <w:p>
      <w:pPr>
        <w:spacing w:after="160" w:line="276" w:lineRule="auto"/>
      </w:pPr>
      <w:r>
        <w:rPr>
          <w:rFonts w:ascii="Calibri" w:hAnsi="Calibri"/>
          <w:i w:val="0"/>
          <w:sz w:val="22"/>
        </w:rPr>
        <w:t>Zhu (2024): “ABC Bank” verisinin bizim Kaggle setimizle (Gaurav Topre, ABC Multinational Bank) birebir aynı olduğu doğrulanamadı; yalnızca dolaylı kanıt (yaş/kredi kartı bulguları) var. Karamollaoğlu vd. (2021): “RF+SMOTE-ENN F1 %95” rakamı birden fazla ikincil kaynakta tekrarlanıyor ama birincil tam metinden doğrudan teyit edilemedi; teze aktarılmadan önce makalenin kendisinden kontrol edilmeli. Maan ve Maan (2023): makalenin kendi içinde Tablo 1 (recall 0.22) ile Tablo 2 (F1 0.836, accuracy 0.962) çelişiyor; yalnızca Tablo 2 kullanılmalı. Lundberg ve Lee (2017): sayfa aralığı kaynağa göre 4765–4774 / 4768–4777 arasında değişiyor.</w:t>
      </w:r>
    </w:p>
    <w:p>
      <w:pPr>
        <w:pStyle w:val="Heading1"/>
        <w:spacing w:before="360" w:after="160"/>
      </w:pPr>
      <w:r>
        <w:rPr>
          <w:rFonts w:ascii="Calibri" w:hAnsi="Calibri"/>
        </w:rPr>
        <w:t>6. Kaynakça</w:t>
      </w:r>
    </w:p>
    <w:p>
      <w:pPr>
        <w:spacing w:after="160" w:line="276" w:lineRule="auto"/>
      </w:pPr>
      <w:r>
        <w:rPr>
          <w:rFonts w:ascii="Calibri" w:hAnsi="Calibri"/>
          <w:i w:val="0"/>
          <w:sz w:val="22"/>
        </w:rPr>
        <w:t>Aşağıdaki liste, 5. bölümde çıkarılması önerilen iki kaynak hariç, bu taramada doğrulanan ve teze önerilen tüm kaynakları alfabetik sırada, APA 7 asılı girinti (hanging indent) biçiminde listeler.</w:t>
      </w:r>
    </w:p>
    <w:p>
      <w:pPr>
        <w:spacing w:after="200" w:line="276" w:lineRule="auto"/>
        <w:ind w:left="709" w:hanging="709"/>
      </w:pPr>
      <w:r>
        <w:rPr>
          <w:rFonts w:ascii="Calibri" w:hAnsi="Calibri"/>
          <w:sz w:val="22"/>
        </w:rPr>
        <w:t>Amin, A., Anwar, S., Adnan, A., Nawaz, M., Howard, N., Qadir, J., Hawalah, A., &amp; Hussain, A. (2016). Comparing oversampling techniques to handle the class imbalance problem: A customer churn prediction case study. IEEE Access, 4, 7940–7957. https://doi.org/10.1109/ACCESS.2016.2619719</w:t>
      </w:r>
    </w:p>
    <w:p>
      <w:pPr>
        <w:spacing w:after="200" w:line="276" w:lineRule="auto"/>
        <w:ind w:left="709" w:hanging="709"/>
      </w:pPr>
      <w:r>
        <w:rPr>
          <w:rFonts w:ascii="Calibri" w:hAnsi="Calibri"/>
          <w:sz w:val="22"/>
        </w:rPr>
        <w:t>Ashraf, R. (2024). Bank customer churn prediction using machine learning framework. Journal of Applied Finance &amp; Banking, 14(4), 65–109.</w:t>
      </w:r>
    </w:p>
    <w:p>
      <w:pPr>
        <w:spacing w:after="200" w:line="276" w:lineRule="auto"/>
        <w:ind w:left="709" w:hanging="709"/>
      </w:pPr>
      <w:r>
        <w:rPr>
          <w:rFonts w:ascii="Calibri" w:hAnsi="Calibri"/>
          <w:sz w:val="22"/>
        </w:rPr>
        <w:t>Brier, G. W. (1950). Verification of forecasts expressed in terms of probability. Monthly Weather Review, 78(1), 1–3. https://doi.org/10.1175/1520-0493(1950)078&lt;0001:VOFEIT&gt;2.0.CO;2</w:t>
      </w:r>
    </w:p>
    <w:p>
      <w:pPr>
        <w:spacing w:after="200" w:line="276" w:lineRule="auto"/>
        <w:ind w:left="709" w:hanging="709"/>
      </w:pPr>
      <w:r>
        <w:rPr>
          <w:rFonts w:ascii="Calibri" w:hAnsi="Calibri"/>
          <w:sz w:val="22"/>
        </w:rPr>
        <w:t>Burez, J., &amp; Van den Poel, D. (2009). Handling class imbalance in customer churn prediction. Expert Systems with Applications, 36(3), 4626–4636. https://doi.org/10.1016/j.eswa.2008.05.027</w:t>
      </w:r>
    </w:p>
    <w:p>
      <w:pPr>
        <w:spacing w:after="200" w:line="276" w:lineRule="auto"/>
        <w:ind w:left="709" w:hanging="709"/>
      </w:pPr>
      <w:r>
        <w:rPr>
          <w:rFonts w:ascii="Calibri" w:hAnsi="Calibri"/>
          <w:sz w:val="22"/>
        </w:rPr>
        <w:t>Chawla, N. V., Bowyer, K. W., Hall, L. O., &amp; Kegelmeyer, W. P. (2002). SMOTE: Synthetic minority over-sampling technique. Journal of Artificial Intelligence Research, 16, 321–357. https://doi.org/10.1613/jair.953</w:t>
      </w:r>
    </w:p>
    <w:p>
      <w:pPr>
        <w:spacing w:after="200" w:line="276" w:lineRule="auto"/>
        <w:ind w:left="709" w:hanging="709"/>
      </w:pPr>
      <w:r>
        <w:rPr>
          <w:rFonts w:ascii="Calibri" w:hAnsi="Calibri"/>
          <w:sz w:val="22"/>
        </w:rPr>
        <w:t>Dal Pozzolo, A., Caelen, O., Johnson, R. A., &amp; Bontempi, G. (2015). Calibrating probability with undersampling for unbalanced classification. In 2015 IEEE Symposium Series on Computational Intelligence (SSCI) (pp. 159–166). https://doi.org/10.1109/SSCI.2015.33</w:t>
      </w:r>
    </w:p>
    <w:p>
      <w:pPr>
        <w:spacing w:after="200" w:line="276" w:lineRule="auto"/>
        <w:ind w:left="709" w:hanging="709"/>
      </w:pPr>
      <w:r>
        <w:rPr>
          <w:rFonts w:ascii="Calibri" w:hAnsi="Calibri"/>
          <w:sz w:val="22"/>
        </w:rPr>
        <w:t>Dietterich, T. G. (1998). Approximate statistical tests for comparing supervised classification learning algorithms. Neural Computation, 10(7), 1895–1923. https://doi.org/10.1162/089976698300017197</w:t>
      </w:r>
    </w:p>
    <w:p>
      <w:pPr>
        <w:spacing w:after="200" w:line="276" w:lineRule="auto"/>
        <w:ind w:left="709" w:hanging="709"/>
      </w:pPr>
      <w:r>
        <w:rPr>
          <w:rFonts w:ascii="Calibri" w:hAnsi="Calibri"/>
          <w:sz w:val="22"/>
        </w:rPr>
        <w:t>Duchemin, R., &amp; Matheus, R. (2021). Forecasting customer churn: Comparing the performance of statistical methods on more than just accuracy. Journal of Supply Chain Management Science, 2(3–4), 115–137.</w:t>
      </w:r>
    </w:p>
    <w:p>
      <w:pPr>
        <w:spacing w:after="200" w:line="276" w:lineRule="auto"/>
        <w:ind w:left="709" w:hanging="709"/>
      </w:pPr>
      <w:r>
        <w:rPr>
          <w:rFonts w:ascii="Calibri" w:hAnsi="Calibri"/>
          <w:sz w:val="22"/>
        </w:rPr>
        <w:t>Elkan, C. (2001). The foundations of cost-sensitive learning. In Proceedings of the 17th International Joint Conference on Artificial Intelligence (IJCAI-01) (pp. 973–978). Morgan Kaufmann.</w:t>
      </w:r>
    </w:p>
    <w:p>
      <w:pPr>
        <w:spacing w:after="200" w:line="276" w:lineRule="auto"/>
        <w:ind w:left="709" w:hanging="709"/>
      </w:pPr>
      <w:r>
        <w:rPr>
          <w:rFonts w:ascii="Calibri" w:hAnsi="Calibri"/>
          <w:sz w:val="22"/>
        </w:rPr>
        <w:t>Guliyev, H., &amp; Yerdelen Tatoğlu, F. (2021). Customer churn analysis in banking sector: Evidence from explainable machine learning models. Journal of Applied Microeconometrics, 1(2), 85–99. https://doi.org/10.53753/jame.1.2.03</w:t>
      </w:r>
    </w:p>
    <w:p>
      <w:pPr>
        <w:spacing w:after="200" w:line="276" w:lineRule="auto"/>
        <w:ind w:left="709" w:hanging="709"/>
      </w:pPr>
      <w:r>
        <w:rPr>
          <w:rFonts w:ascii="Calibri" w:hAnsi="Calibri"/>
          <w:sz w:val="22"/>
        </w:rPr>
        <w:t>Haddadi, S. J., Farshidvard, A., dos Santos Silva, F., dos Reis, J. C., &amp; da Silva Reis, M. (2024). Customer churn prediction in imbalanced datasets with resampling methods: A comparative study. Expert Systems with Applications, 246, 123086. https://doi.org/10.1016/j.eswa.2023.123086</w:t>
      </w:r>
    </w:p>
    <w:p>
      <w:pPr>
        <w:spacing w:after="200" w:line="276" w:lineRule="auto"/>
        <w:ind w:left="709" w:hanging="709"/>
      </w:pPr>
      <w:r>
        <w:rPr>
          <w:rFonts w:ascii="Calibri" w:hAnsi="Calibri"/>
          <w:sz w:val="22"/>
        </w:rPr>
        <w:t>Holm, S. (1979). A simple sequentially rejective multiple test procedure. Scandinavian Journal of Statistics, 6(2), 65–70.</w:t>
      </w:r>
    </w:p>
    <w:p>
      <w:pPr>
        <w:spacing w:after="200" w:line="276" w:lineRule="auto"/>
        <w:ind w:left="709" w:hanging="709"/>
      </w:pPr>
      <w:r>
        <w:rPr>
          <w:rFonts w:ascii="Calibri" w:hAnsi="Calibri"/>
          <w:sz w:val="22"/>
        </w:rPr>
        <w:t>Hurlin, C., Pérignon, C., &amp; Saurin, S. (2024). The fairness of credit scoring models. Management Science, 72(1). https://doi.org/10.1287/mnsc.2022.03888</w:t>
      </w:r>
    </w:p>
    <w:p>
      <w:pPr>
        <w:spacing w:after="200" w:line="276" w:lineRule="auto"/>
        <w:ind w:left="709" w:hanging="709"/>
      </w:pPr>
      <w:r>
        <w:rPr>
          <w:rFonts w:ascii="Calibri" w:hAnsi="Calibri"/>
          <w:sz w:val="22"/>
        </w:rPr>
        <w:t>Karamollaoğlu, K., Yücedağ, İ., &amp; Doğru, İ. A. (2021). Customer churn prediction using machine learning methods: A comparative analysis. 2021 6th International Conference on Computer Science and Engineering (UBMK), 139–144.</w:t>
      </w:r>
    </w:p>
    <w:p>
      <w:pPr>
        <w:spacing w:after="200" w:line="276" w:lineRule="auto"/>
        <w:ind w:left="709" w:hanging="709"/>
      </w:pPr>
      <w:r>
        <w:rPr>
          <w:rFonts w:ascii="Calibri" w:hAnsi="Calibri"/>
          <w:sz w:val="22"/>
        </w:rPr>
        <w:t>Kaynar, O., Tuna, M. F., Görmez, Y., &amp; Deveci, M. A. (2017). Makine öğrenmesi yöntemleriyle müşteri kaybı analizi. Cumhuriyet Üniversitesi İktisadi ve İdari Bilimler Dergisi, 18(1), 1–14.</w:t>
      </w:r>
    </w:p>
    <w:p>
      <w:pPr>
        <w:spacing w:after="200" w:line="276" w:lineRule="auto"/>
        <w:ind w:left="709" w:hanging="709"/>
      </w:pPr>
      <w:r>
        <w:rPr>
          <w:rFonts w:ascii="Calibri" w:hAnsi="Calibri"/>
          <w:sz w:val="22"/>
        </w:rPr>
        <w:t>Labo-Popoola, O. (2026). An end-to-end machine learning framework for customer churn prediction and interactive decision support. Applied Operations and Analytics, 2(1), 1–15. https://doi.org/10.1080/29966892.2026.2701487</w:t>
      </w:r>
    </w:p>
    <w:p>
      <w:pPr>
        <w:spacing w:after="200" w:line="276" w:lineRule="auto"/>
        <w:ind w:left="709" w:hanging="709"/>
      </w:pPr>
      <w:r>
        <w:rPr>
          <w:rFonts w:ascii="Calibri" w:hAnsi="Calibri"/>
          <w:sz w:val="22"/>
        </w:rPr>
        <w:t>Liu, Z. (2026). The hidden cost of resampling: How imbalance correction degrades probability calibration in tree ensembles (arXiv:2606.29720). arXiv. https://arxiv.org/abs/2606.29720</w:t>
      </w:r>
    </w:p>
    <w:p>
      <w:pPr>
        <w:spacing w:after="200" w:line="276" w:lineRule="auto"/>
        <w:ind w:left="709" w:hanging="709"/>
      </w:pPr>
      <w:r>
        <w:rPr>
          <w:rFonts w:ascii="Calibri" w:hAnsi="Calibri"/>
          <w:sz w:val="22"/>
        </w:rPr>
        <w:t>Lundberg, S. M., &amp; Lee, S.-I. (2017). A unified approach to interpreting model predictions. In Advances in Neural Information Processing Systems 30 (NeurIPS 2017) (pp. 4765–4774).</w:t>
      </w:r>
    </w:p>
    <w:p>
      <w:pPr>
        <w:spacing w:after="200" w:line="276" w:lineRule="auto"/>
        <w:ind w:left="709" w:hanging="709"/>
      </w:pPr>
      <w:r>
        <w:rPr>
          <w:rFonts w:ascii="Calibri" w:hAnsi="Calibri"/>
          <w:sz w:val="22"/>
        </w:rPr>
        <w:t>Lundberg, S. M., Erion, G., Chen, H., DeGrave, A., &amp; Lee, S.-I. (2020). From local explanations to global understanding with explainable AI for trees. Nature Machine Intelligence, 2(1), 56–67. https://doi.org/10.1038/s42256-019-0138-9</w:t>
      </w:r>
    </w:p>
    <w:p>
      <w:pPr>
        <w:spacing w:after="200" w:line="276" w:lineRule="auto"/>
        <w:ind w:left="709" w:hanging="709"/>
      </w:pPr>
      <w:r>
        <w:rPr>
          <w:rFonts w:ascii="Calibri" w:hAnsi="Calibri"/>
          <w:sz w:val="22"/>
        </w:rPr>
        <w:t>Maan, J., &amp; Maan, H. (2023). Customer churn prediction model using explainable machine learning (arXiv:2303.00960). arXiv. https://arxiv.org/abs/2303.00960</w:t>
      </w:r>
    </w:p>
    <w:p>
      <w:pPr>
        <w:spacing w:after="200" w:line="276" w:lineRule="auto"/>
        <w:ind w:left="709" w:hanging="709"/>
      </w:pPr>
      <w:r>
        <w:rPr>
          <w:rFonts w:ascii="Calibri" w:hAnsi="Calibri"/>
          <w:sz w:val="22"/>
        </w:rPr>
        <w:t>McNemar, Q. (1947). Note on the sampling error of the difference between correlated proportions or percentages. Psychometrika, 12(2), 153–157. https://doi.org/10.1007/BF02295996</w:t>
      </w:r>
    </w:p>
    <w:p>
      <w:pPr>
        <w:spacing w:after="200" w:line="276" w:lineRule="auto"/>
        <w:ind w:left="709" w:hanging="709"/>
      </w:pPr>
      <w:r>
        <w:rPr>
          <w:rFonts w:ascii="Calibri" w:hAnsi="Calibri"/>
          <w:sz w:val="22"/>
        </w:rPr>
        <w:t>Niculescu-Mizil, A., &amp; Caruana, R. (2005). Predicting good probabilities with supervised learning. In Proceedings of the 22nd International Conference on Machine Learning (ICML 2005) (pp. 625–632). https://doi.org/10.1145/1102351.1102430</w:t>
      </w:r>
    </w:p>
    <w:p>
      <w:pPr>
        <w:spacing w:after="200" w:line="276" w:lineRule="auto"/>
        <w:ind w:left="709" w:hanging="709"/>
      </w:pPr>
      <w:r>
        <w:rPr>
          <w:rFonts w:ascii="Calibri" w:hAnsi="Calibri"/>
          <w:sz w:val="22"/>
        </w:rPr>
        <w:t>Platt, J. C. (1999). Probabilistic outputs for support vector machines and comparisons to regularized likelihood methods. In A. J. Smola, P. Bartlett, B. Schölkopf, &amp; D. Schuurmans (Eds.), Advances in large margin classifiers (pp. 61–74). MIT Press.</w:t>
      </w:r>
    </w:p>
    <w:p>
      <w:pPr>
        <w:spacing w:after="200" w:line="276" w:lineRule="auto"/>
        <w:ind w:left="709" w:hanging="709"/>
      </w:pPr>
      <w:r>
        <w:rPr>
          <w:rFonts w:ascii="Calibri" w:hAnsi="Calibri"/>
          <w:sz w:val="22"/>
        </w:rPr>
        <w:t>Rasool, H. A., Aljawaheri, K. K., &amp; Karram, A. A. M. (2025). Explainable customer churn prediction in telecom using ensemble learning and SHAP analysis. Mathematical Modelling of Engineering Problems, 12(12), 4373–4386. https://doi.org/10.18280/mmep.121226</w:t>
      </w:r>
    </w:p>
    <w:p>
      <w:pPr>
        <w:spacing w:after="200" w:line="276" w:lineRule="auto"/>
        <w:ind w:left="709" w:hanging="709"/>
      </w:pPr>
      <w:r>
        <w:rPr>
          <w:rFonts w:ascii="Calibri" w:hAnsi="Calibri"/>
          <w:sz w:val="22"/>
        </w:rPr>
        <w:t>Singh, P. P., Anik, F. I., Senapati, R., Sinha, A., Sakib, N., &amp; Hossain, E. (2024). Investigating customer churn in banking: A machine learning approach and visualization app for data science and management. Data Science and Management, 7(1), 7–16. https://doi.org/10.1016/j.dsm.2023.09.002</w:t>
      </w:r>
    </w:p>
    <w:p>
      <w:pPr>
        <w:spacing w:after="200" w:line="276" w:lineRule="auto"/>
        <w:ind w:left="709" w:hanging="709"/>
      </w:pPr>
      <w:r>
        <w:rPr>
          <w:rFonts w:ascii="Calibri" w:hAnsi="Calibri"/>
          <w:sz w:val="22"/>
        </w:rPr>
        <w:t>Tékouabou, S. C. K., Gherghina, Ș. C., Toulni, H., Mata, P. N., &amp; Martins, J. M. (2022). Towards explainable machine learning for bank churn prediction using data balancing and ensemble-based methods. Mathematics, 10(14), 2379. https://doi.org/10.3390/math10142379</w:t>
      </w:r>
    </w:p>
    <w:p>
      <w:pPr>
        <w:spacing w:after="200" w:line="276" w:lineRule="auto"/>
        <w:ind w:left="709" w:hanging="709"/>
      </w:pPr>
      <w:r>
        <w:rPr>
          <w:rFonts w:ascii="Calibri" w:hAnsi="Calibri"/>
          <w:sz w:val="22"/>
        </w:rPr>
        <w:t>Van Rijsbergen, C. J. (1979). Information retrieval (2nd ed.). Butterworths.</w:t>
      </w:r>
    </w:p>
    <w:p>
      <w:pPr>
        <w:spacing w:after="200" w:line="276" w:lineRule="auto"/>
        <w:ind w:left="709" w:hanging="709"/>
      </w:pPr>
      <w:r>
        <w:rPr>
          <w:rFonts w:ascii="Calibri" w:hAnsi="Calibri"/>
          <w:sz w:val="22"/>
        </w:rPr>
        <w:t>Văduva, A.-G., Oprea, S.-V., Niculae, A.-M., Bâra, A., &amp; Andreescu, A.-I. (2024). Improving churn detection in the banking sector: A machine learning approach with probability calibration techniques. Electronics, 13(22), 4527. https://doi.org/10.3390/electronics13224527</w:t>
      </w:r>
    </w:p>
    <w:p>
      <w:pPr>
        <w:spacing w:after="200" w:line="276" w:lineRule="auto"/>
        <w:ind w:left="709" w:hanging="709"/>
      </w:pPr>
      <w:r>
        <w:rPr>
          <w:rFonts w:ascii="Calibri" w:hAnsi="Calibri"/>
          <w:sz w:val="22"/>
        </w:rPr>
        <w:t>Wang, D. Y. C., Jordanger, L. A., &amp; Lin, J. C.-W. (2025). Explainability of highly associated fuzzy churn patterns in binary classification. Expert Systems, 42(1), e70066. https://doi.org/10.1111/exsy.70066</w:t>
      </w:r>
    </w:p>
    <w:p>
      <w:pPr>
        <w:spacing w:after="200" w:line="276" w:lineRule="auto"/>
        <w:ind w:left="709" w:hanging="709"/>
      </w:pPr>
      <w:r>
        <w:rPr>
          <w:rFonts w:ascii="Calibri" w:hAnsi="Calibri"/>
          <w:sz w:val="22"/>
        </w:rPr>
        <w:t>Yang, J., Wang, R., Song, Y., &amp; Li, J. (2023). Block-regularized 5×2 cross-validated McNemar's test for comparing two classification algorithms (arXiv:2304.03990). arXiv. https://arxiv.org/abs/2304.03990</w:t>
      </w:r>
    </w:p>
    <w:p>
      <w:pPr>
        <w:spacing w:after="200" w:line="276" w:lineRule="auto"/>
        <w:ind w:left="709" w:hanging="709"/>
      </w:pPr>
      <w:r>
        <w:rPr>
          <w:rFonts w:ascii="Calibri" w:hAnsi="Calibri"/>
          <w:sz w:val="22"/>
        </w:rPr>
        <w:t>Zadrozny, B., &amp; Elkan, C. (2002). Transforming classifier scores into accurate multiclass probability estimates. In Proceedings of the 8th ACM SIGKDD International Conference on Knowledge Discovery and Data Mining (KDD 2002) (pp. 694–699). https://doi.org/10.1145/775047.775151</w:t>
      </w:r>
    </w:p>
    <w:p>
      <w:pPr>
        <w:spacing w:after="200" w:line="276" w:lineRule="auto"/>
        <w:ind w:left="709" w:hanging="709"/>
      </w:pPr>
      <w:r>
        <w:rPr>
          <w:rFonts w:ascii="Calibri" w:hAnsi="Calibri"/>
          <w:sz w:val="22"/>
        </w:rPr>
        <w:t>Zhang, H., Wang, Y., Li, Z., &amp; Wang, X. (2025). Machine learning models for bank customer churn prediction: A comparative study of LightGBM, CatBoost, and XGBoost. Proceedings of the 2025 International Conference on Big Data, Artificial Intelligence and Digital Economy (BDAIE 2025). https://doi.org/10.1145/3767052.3767054</w:t>
      </w:r>
    </w:p>
    <w:p>
      <w:pPr>
        <w:spacing w:after="200" w:line="276" w:lineRule="auto"/>
        <w:ind w:left="709" w:hanging="709"/>
      </w:pPr>
      <w:r>
        <w:rPr>
          <w:rFonts w:ascii="Calibri" w:hAnsi="Calibri"/>
          <w:sz w:val="22"/>
        </w:rPr>
        <w:t>Zhu, H. (2024). Bank customer churn prediction with machine learning methods. Advances in Economics, Management and Political Sciences, 69, 23–29. https://doi.org/10.54254/2754-1169/69/20230773</w:t>
      </w:r>
    </w:p>
    <w:p>
      <w:pPr>
        <w:spacing w:after="200" w:line="276" w:lineRule="auto"/>
        <w:ind w:left="709" w:hanging="709"/>
      </w:pPr>
      <w:r>
        <w:rPr>
          <w:rFonts w:ascii="Calibri" w:hAnsi="Calibri"/>
          <w:sz w:val="22"/>
        </w:rPr>
        <w:t>van den Goorbergh, R., van Smeden, M., Timmerman, D., &amp; Van Calster, B. (2022). The harm of class imbalance corrections for risk prediction models: Illustration and simulation using logistic regression. Journal of the American Medical Informatics Association, 29(9), 1525–1534. https://doi.org/10.1093/jamia/ocac093</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