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5085"/>
        <w:gridCol w:w="7275"/>
        <w:tblGridChange w:id="0">
          <w:tblGrid>
            <w:gridCol w:w="1710"/>
            <w:gridCol w:w="5085"/>
            <w:gridCol w:w="72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Oryginalne badanie: Nazwa Badania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Nasze badanie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Pytanie badawcze.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 widzi uczestnik?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 jest mierzone?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Przebieg próby.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Czego nie wiadomo (luka badawcza)?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Czego się spodziewamy?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Warunki, które porównujemy.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 na ekranie jest ważne?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Państwa zmiana i jej krótkie uzasadnienie.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afafa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000" w:top="100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4jow9iOFzgxMgr7QFDUUkw69A==">CgMxLjA4AHIhMXRxUjZCSkgzYjg3M3kyMnJLSnFPdy0tUEVnYVBEM2V5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2026-09-21T11:51:53.246Z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