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 xml:space="preserve">Na análise do estado da prática, foi realizada uma pesquisa nas grades curriculares e ementas de seis instituições de ensino superior brasileiras (UNIVALI, USP, UFSC, IME, ITA, Estácio e UNISUL). Os resultados mostraram que a gestão da estratégia de serviço segundo o ITIL não é ensinada como conteúdo dedicado em nenhum dos cursos investigados. Quando a temática ITIL é abordada, é de forma panorâmica, dividindo espaço com outros frameworks em disciplinas listar disciplinas de fato. Essa evidência reforçou a </w:t>
      </w:r>
      <w:r>
        <w:rPr>
          <w:highlight w:val="white"/>
        </w:rPr>
        <w:t>necessidade do trabalho proposto, evidenciando a lacuna curricular que motivou a pesquisa.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deste trabalho correspondem às fases de Desenvolvimento, Implementação e Avaliação do modelo ADDIE, que serão executadas no TCC3 durante o segundo semestre de 2026, correspondendo aos objetivos específicos 5 e 6.</w:t>
      </w:r>
    </w:p>
    <w:p w14:paraId="25031745" w14:textId="77777777" w:rsidR="00BF0C07" w:rsidRDefault="00CF2E2C">
      <w:pPr>
        <w:spacing w:before="240" w:after="240"/>
        <w:ind w:firstLine="283"/>
        <w:rPr>
          <w:highlight w:val="white"/>
        </w:rPr>
      </w:pPr>
      <w:r>
        <w:t>Na fase de Desenvolvimento, prevista para julho e agosto de 2026, serão produzidos todos os materiais planejados no capítulo de Projeto: os slides das aulas, o texto de apoio com os conceitos da prática de gerenciamento da estratégia de serviço, o estudo de caso da empresa fictícia, os roteiros das atividades em grupo e o questionário de avaliação. Nessa mesma fase será implementada a ferramenta educacional EduITSM especificada na Seção 4.4, acompanhada de um roteiro de uso para orientar o professor durante</w:t>
      </w:r>
      <w:r>
        <w:t xml:space="preserve"> a aplicação. Cada material será revisado para garantir que esteja alinhado com os objetivos de aprendizagem definidos na fase de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