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TECHNOLOGIES — LOGO ASSETS (high resolution)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Navy   #0C3054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Gold   #F2A91E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FILE DO I USE?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/svg  — vector, INFINITELY scalable, EDITABLE (open in Canva, Illustrator,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Figma, Inkscape). Use these whenever possible — they never pixelate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at any size, so they are the highest quality option.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A-mark-navy/gold/white/black.svg  — the mark on its own (transparent)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lockup-horizontal-navy.svg        — mark + "ADAPTIVE TECHNOLOGIES"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/png  — transparent background, very high resolution. Drop onto any color/photo.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A-mark-navy/gold/white-4096.png   — 4096 x 4096 px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app-icon-1024.png                 — rounded navy tile, gold mark, 1024 px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/social — ready to upload as-is, high resolution: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profile-gold-on-navy-2160.png     — profile picture (2160 px square;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platforms crop to a circle automatically)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profile-navy-on-gold-2160.png     — alternate profile picture (2160 px)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banner-4500x1500.png              — X / LinkedIn cover banner (4500 x 1500 px)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For the absolute best quality, use the SVGs — they are resolution-independent.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The PNGs are now 2–4x larger than before; they stay crisp even zoomed in.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On a dark background use the gold or white mark; on light use navy.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Keep clear space around the mark (about half its height) — don't crowd it.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Don't stretch, rotate, recolor off-brand, or add shadows.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Need a different size or a transparent-PNG lockup? Just ask.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