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2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449"/>
        <w:gridCol w:w="1810"/>
        <w:gridCol w:w="3995"/>
        <w:gridCol w:w="2019"/>
      </w:tblGrid>
      <w:tr w:rsidR="00FE3CF1" w:rsidRPr="00FE3CF1" w14:paraId="51C8E0FD" w14:textId="77777777" w:rsidTr="00FE3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18072" w14:textId="77777777" w:rsidR="00FE3CF1" w:rsidRPr="00FE3CF1" w:rsidRDefault="00FE3CF1" w:rsidP="00FE3CF1">
            <w:pPr>
              <w:jc w:val="center"/>
              <w:rPr>
                <w:b/>
                <w:bCs/>
                <w:lang w:val="de-DE"/>
              </w:rPr>
            </w:pPr>
            <w:r w:rsidRPr="00FE3CF1">
              <w:rPr>
                <w:b/>
                <w:bCs/>
                <w:lang w:val="de-DE"/>
              </w:rPr>
              <w:t>Modell</w:t>
            </w:r>
          </w:p>
        </w:tc>
        <w:tc>
          <w:tcPr>
            <w:tcW w:w="0" w:type="auto"/>
            <w:vAlign w:val="center"/>
            <w:hideMark/>
          </w:tcPr>
          <w:p w14:paraId="4779946B" w14:textId="77777777" w:rsidR="00FE3CF1" w:rsidRPr="00FE3CF1" w:rsidRDefault="00FE3CF1" w:rsidP="00FE3CF1">
            <w:pPr>
              <w:jc w:val="center"/>
              <w:rPr>
                <w:b/>
                <w:bCs/>
                <w:lang w:val="de-DE"/>
              </w:rPr>
            </w:pPr>
            <w:r w:rsidRPr="00FE3CF1">
              <w:rPr>
                <w:b/>
                <w:bCs/>
                <w:lang w:val="de-DE"/>
              </w:rPr>
              <w:t>Stärken im Debugging / Code-Verständnis</w:t>
            </w:r>
          </w:p>
        </w:tc>
        <w:tc>
          <w:tcPr>
            <w:tcW w:w="0" w:type="auto"/>
            <w:vAlign w:val="center"/>
            <w:hideMark/>
          </w:tcPr>
          <w:p w14:paraId="1E3FA238" w14:textId="77777777" w:rsidR="00FE3CF1" w:rsidRPr="00FE3CF1" w:rsidRDefault="00FE3CF1" w:rsidP="00FE3CF1">
            <w:pPr>
              <w:jc w:val="center"/>
              <w:rPr>
                <w:b/>
                <w:bCs/>
                <w:lang w:val="de-DE"/>
              </w:rPr>
            </w:pPr>
            <w:r w:rsidRPr="00FE3CF1">
              <w:rPr>
                <w:b/>
                <w:bCs/>
                <w:lang w:val="de-DE"/>
              </w:rPr>
              <w:t>Token-Kontext (max.)</w:t>
            </w:r>
          </w:p>
        </w:tc>
        <w:tc>
          <w:tcPr>
            <w:tcW w:w="2469" w:type="dxa"/>
            <w:vAlign w:val="center"/>
            <w:hideMark/>
          </w:tcPr>
          <w:p w14:paraId="0A3EED8D" w14:textId="77777777" w:rsidR="00FE3CF1" w:rsidRPr="00FE3CF1" w:rsidRDefault="00FE3CF1" w:rsidP="00FE3CF1">
            <w:pPr>
              <w:jc w:val="center"/>
              <w:rPr>
                <w:b/>
                <w:bCs/>
                <w:lang w:val="de-DE"/>
              </w:rPr>
            </w:pPr>
            <w:r w:rsidRPr="00FE3CF1">
              <w:rPr>
                <w:b/>
                <w:bCs/>
                <w:lang w:val="de-DE"/>
              </w:rPr>
              <w:t>Datenschutz / Hosting</w:t>
            </w:r>
          </w:p>
        </w:tc>
        <w:tc>
          <w:tcPr>
            <w:tcW w:w="3470" w:type="dxa"/>
            <w:vAlign w:val="center"/>
            <w:hideMark/>
          </w:tcPr>
          <w:p w14:paraId="2B2BFE56" w14:textId="77777777" w:rsidR="00FE3CF1" w:rsidRPr="00FE3CF1" w:rsidRDefault="00FE3CF1" w:rsidP="00FE3CF1">
            <w:pPr>
              <w:jc w:val="center"/>
              <w:rPr>
                <w:b/>
                <w:bCs/>
                <w:lang w:val="de-DE"/>
              </w:rPr>
            </w:pPr>
            <w:r w:rsidRPr="00FE3CF1">
              <w:rPr>
                <w:b/>
                <w:bCs/>
                <w:lang w:val="de-DE"/>
              </w:rPr>
              <w:t>Aufwand / Integration</w:t>
            </w:r>
          </w:p>
        </w:tc>
      </w:tr>
      <w:tr w:rsidR="00FE3CF1" w:rsidRPr="00FE3CF1" w14:paraId="0EFCDF06" w14:textId="77777777" w:rsidTr="00FE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2925" w14:textId="77777777" w:rsidR="00FE3CF1" w:rsidRPr="00FE3CF1" w:rsidRDefault="00FE3CF1" w:rsidP="00FE3CF1">
            <w:pPr>
              <w:jc w:val="center"/>
              <w:rPr>
                <w:lang w:val="it-IT"/>
              </w:rPr>
            </w:pPr>
            <w:r w:rsidRPr="00FE3CF1">
              <w:rPr>
                <w:b/>
                <w:bCs/>
                <w:lang w:val="it-IT"/>
              </w:rPr>
              <w:t>ChatGPT (OpenAI – GPT-4.5 / o3-mini)</w:t>
            </w:r>
          </w:p>
        </w:tc>
        <w:tc>
          <w:tcPr>
            <w:tcW w:w="0" w:type="auto"/>
            <w:vAlign w:val="center"/>
            <w:hideMark/>
          </w:tcPr>
          <w:p w14:paraId="2A73451D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de-DE"/>
              </w:rPr>
              <w:t xml:space="preserve">Sehr gute Erkennung von Compilerfehlern und Logikfehlern; versteht auch komplexe </w:t>
            </w:r>
            <w:proofErr w:type="spellStart"/>
            <w:r w:rsidRPr="00FE3CF1">
              <w:rPr>
                <w:lang w:val="de-DE"/>
              </w:rPr>
              <w:t>Stacktraces</w:t>
            </w:r>
            <w:proofErr w:type="spellEnd"/>
            <w:r w:rsidRPr="00FE3CF1">
              <w:rPr>
                <w:lang w:val="de-DE"/>
              </w:rPr>
              <w:t>. Liefert saubere, gut strukturierte Erklärungen und konkrete Lösungsvorschläge. Sehr stark in C++, JavaScript, Python, Java. Gute Fähigkeit, „unsaubere“ Programmierfehler trotzdem richtig zu interpretieren.</w:t>
            </w:r>
          </w:p>
        </w:tc>
        <w:tc>
          <w:tcPr>
            <w:tcW w:w="0" w:type="auto"/>
            <w:vAlign w:val="center"/>
            <w:hideMark/>
          </w:tcPr>
          <w:p w14:paraId="232F26C1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b/>
                <w:bCs/>
                <w:lang w:val="de-DE"/>
              </w:rPr>
              <w:t>~128.000 Tokens</w:t>
            </w:r>
            <w:r w:rsidRPr="00FE3CF1">
              <w:rPr>
                <w:lang w:val="de-DE"/>
              </w:rPr>
              <w:t xml:space="preserve"> → gut geeignet für mittelgroße Logs, größere Codeabschnitte und komplexe Fehlermeldungen.</w:t>
            </w:r>
          </w:p>
        </w:tc>
        <w:tc>
          <w:tcPr>
            <w:tcW w:w="0" w:type="auto"/>
            <w:vAlign w:val="center"/>
            <w:hideMark/>
          </w:tcPr>
          <w:p w14:paraId="62EE7CF3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de-DE"/>
              </w:rPr>
              <w:t>Cloud-</w:t>
            </w:r>
            <w:proofErr w:type="spellStart"/>
            <w:r w:rsidRPr="00FE3CF1">
              <w:rPr>
                <w:lang w:val="de-DE"/>
              </w:rPr>
              <w:t>only</w:t>
            </w:r>
            <w:proofErr w:type="spellEnd"/>
            <w:r w:rsidRPr="00FE3CF1">
              <w:rPr>
                <w:lang w:val="de-DE"/>
              </w:rPr>
              <w:t>, keine lokale Installation. Daten werden über OpenAI-Server verarbeitet → schnelles Setup, aber weniger Datenschutzkontrolle.</w:t>
            </w:r>
          </w:p>
        </w:tc>
        <w:tc>
          <w:tcPr>
            <w:tcW w:w="3470" w:type="dxa"/>
            <w:vAlign w:val="center"/>
            <w:hideMark/>
          </w:tcPr>
          <w:p w14:paraId="723C5103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de-DE"/>
              </w:rPr>
              <w:t>Sehr gering: Eine POST-API-Anfrage genügt. Gute Dokumentation, viele Beispiele, schnell nutzbar in Sprint 3.</w:t>
            </w:r>
          </w:p>
        </w:tc>
      </w:tr>
      <w:tr w:rsidR="00FE3CF1" w:rsidRPr="00FE3CF1" w14:paraId="4824A2C2" w14:textId="77777777" w:rsidTr="00FE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9145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b/>
                <w:bCs/>
                <w:lang w:val="de-DE"/>
              </w:rPr>
              <w:t>Claude 3.5/3.7 Sonnet (Anthropic)</w:t>
            </w:r>
          </w:p>
        </w:tc>
        <w:tc>
          <w:tcPr>
            <w:tcW w:w="0" w:type="auto"/>
            <w:vAlign w:val="center"/>
            <w:hideMark/>
          </w:tcPr>
          <w:p w14:paraId="4845BE5C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de-DE"/>
              </w:rPr>
              <w:t xml:space="preserve">Extrem stark in logischem </w:t>
            </w:r>
            <w:proofErr w:type="spellStart"/>
            <w:r w:rsidRPr="00FE3CF1">
              <w:rPr>
                <w:lang w:val="de-DE"/>
              </w:rPr>
              <w:t>Reasoning</w:t>
            </w:r>
            <w:proofErr w:type="spellEnd"/>
            <w:r w:rsidRPr="00FE3CF1">
              <w:rPr>
                <w:lang w:val="de-DE"/>
              </w:rPr>
              <w:t>. Ideal für komplexe Fehlerketten, multi-</w:t>
            </w:r>
            <w:proofErr w:type="spellStart"/>
            <w:r w:rsidRPr="00FE3CF1">
              <w:rPr>
                <w:lang w:val="de-DE"/>
              </w:rPr>
              <w:t>step</w:t>
            </w:r>
            <w:proofErr w:type="spellEnd"/>
            <w:r w:rsidRPr="00FE3CF1">
              <w:rPr>
                <w:lang w:val="de-DE"/>
              </w:rPr>
              <w:t xml:space="preserve"> Debugging und längere Beschreibungen. Ausgezeichnet geeignet, um z. B. „Warum passiert dieser Fehler?“ Schritt für Schritt nachzuvollziehen. Klar, präzise, sehr strukturiert. Auch gut im Verständnis von C++ Pointern, Speicherfehlern usw.</w:t>
            </w:r>
          </w:p>
        </w:tc>
        <w:tc>
          <w:tcPr>
            <w:tcW w:w="0" w:type="auto"/>
            <w:vAlign w:val="center"/>
            <w:hideMark/>
          </w:tcPr>
          <w:p w14:paraId="36A4B566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b/>
                <w:bCs/>
                <w:lang w:val="de-DE"/>
              </w:rPr>
              <w:t>~200.000 Tokens</w:t>
            </w:r>
            <w:r w:rsidRPr="00FE3CF1">
              <w:rPr>
                <w:lang w:val="de-DE"/>
              </w:rPr>
              <w:t xml:space="preserve"> → deutlich mehr als ChatGPT. Perfekt, wenn man z. B. vollständige </w:t>
            </w:r>
            <w:proofErr w:type="spellStart"/>
            <w:r w:rsidRPr="00FE3CF1">
              <w:rPr>
                <w:lang w:val="de-DE"/>
              </w:rPr>
              <w:t>Build</w:t>
            </w:r>
            <w:proofErr w:type="spellEnd"/>
            <w:r w:rsidRPr="00FE3CF1">
              <w:rPr>
                <w:lang w:val="de-DE"/>
              </w:rPr>
              <w:t>-Logs oder mehrere Dateien gleichzeitig analysieren möchte.</w:t>
            </w:r>
          </w:p>
        </w:tc>
        <w:tc>
          <w:tcPr>
            <w:tcW w:w="0" w:type="auto"/>
            <w:vAlign w:val="center"/>
            <w:hideMark/>
          </w:tcPr>
          <w:p w14:paraId="67CFEC0F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de-DE"/>
              </w:rPr>
              <w:t>Cloud-</w:t>
            </w:r>
            <w:proofErr w:type="spellStart"/>
            <w:r w:rsidRPr="00FE3CF1">
              <w:rPr>
                <w:lang w:val="de-DE"/>
              </w:rPr>
              <w:t>only</w:t>
            </w:r>
            <w:proofErr w:type="spellEnd"/>
            <w:r w:rsidRPr="00FE3CF1">
              <w:rPr>
                <w:lang w:val="de-DE"/>
              </w:rPr>
              <w:t>. Anthropic legt aber sehr starken Fokus auf KI-Sicherheit und verantwortlichen Umgang mit Nutzerdaten.</w:t>
            </w:r>
          </w:p>
        </w:tc>
        <w:tc>
          <w:tcPr>
            <w:tcW w:w="3470" w:type="dxa"/>
            <w:vAlign w:val="center"/>
            <w:hideMark/>
          </w:tcPr>
          <w:p w14:paraId="2E9FEBC5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de-DE"/>
              </w:rPr>
              <w:t>Einfach: API funktioniert sehr ähnlich wie OpenAI. Gute JSON-Ausgaben, dadurch leicht automatisierbar.</w:t>
            </w:r>
          </w:p>
        </w:tc>
      </w:tr>
      <w:tr w:rsidR="00FE3CF1" w:rsidRPr="00FE3CF1" w14:paraId="753D3E67" w14:textId="77777777" w:rsidTr="00FE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BD2D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b/>
                <w:bCs/>
                <w:lang w:val="de-DE"/>
              </w:rPr>
              <w:t>Gemini 1.5 Ultra (Google)</w:t>
            </w:r>
          </w:p>
        </w:tc>
        <w:tc>
          <w:tcPr>
            <w:tcW w:w="0" w:type="auto"/>
            <w:vAlign w:val="center"/>
            <w:hideMark/>
          </w:tcPr>
          <w:p w14:paraId="3F5A32E0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de-DE"/>
              </w:rPr>
              <w:t xml:space="preserve">Herausragend bei riesigen Eingaben: Kann vollständige Projekte, Bauprozesse, komplette Fehlermeldungen oder </w:t>
            </w:r>
            <w:proofErr w:type="spellStart"/>
            <w:r w:rsidRPr="00FE3CF1">
              <w:rPr>
                <w:lang w:val="de-DE"/>
              </w:rPr>
              <w:t>Debug</w:t>
            </w:r>
            <w:proofErr w:type="spellEnd"/>
            <w:r w:rsidRPr="00FE3CF1">
              <w:rPr>
                <w:lang w:val="de-DE"/>
              </w:rPr>
              <w:t xml:space="preserve">-Ausgaben mit mehreren Hunderttausend Tokens auf einmal einlesen. Stark im multimodalen Bereich (z. B. Screenshots). Gute Fähigkeit, inkonsistente </w:t>
            </w:r>
            <w:r w:rsidRPr="00FE3CF1">
              <w:rPr>
                <w:lang w:val="de-DE"/>
              </w:rPr>
              <w:lastRenderedPageBreak/>
              <w:t>Logs richtig zu interpretieren.</w:t>
            </w:r>
          </w:p>
        </w:tc>
        <w:tc>
          <w:tcPr>
            <w:tcW w:w="0" w:type="auto"/>
            <w:vAlign w:val="center"/>
            <w:hideMark/>
          </w:tcPr>
          <w:p w14:paraId="025E98D1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b/>
                <w:bCs/>
                <w:lang w:val="de-DE"/>
              </w:rPr>
              <w:lastRenderedPageBreak/>
              <w:t>bis zu 1.000.000 Tokens (!!)</w:t>
            </w:r>
            <w:r w:rsidRPr="00FE3CF1">
              <w:rPr>
                <w:lang w:val="de-DE"/>
              </w:rPr>
              <w:t xml:space="preserve"> → das Modell kann ganze Dateien, große Projektordner oder komplette Test-Outputs auf einmal analysieren.</w:t>
            </w:r>
          </w:p>
        </w:tc>
        <w:tc>
          <w:tcPr>
            <w:tcW w:w="0" w:type="auto"/>
            <w:vAlign w:val="center"/>
            <w:hideMark/>
          </w:tcPr>
          <w:p w14:paraId="02192A73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en-GB"/>
              </w:rPr>
              <w:t xml:space="preserve">Cloud </w:t>
            </w:r>
            <w:proofErr w:type="spellStart"/>
            <w:r w:rsidRPr="00FE3CF1">
              <w:rPr>
                <w:lang w:val="en-GB"/>
              </w:rPr>
              <w:t>über</w:t>
            </w:r>
            <w:proofErr w:type="spellEnd"/>
            <w:r w:rsidRPr="00FE3CF1">
              <w:rPr>
                <w:lang w:val="en-GB"/>
              </w:rPr>
              <w:t xml:space="preserve"> Google Cloud / Vertex AI. </w:t>
            </w:r>
            <w:r w:rsidRPr="00FE3CF1">
              <w:rPr>
                <w:lang w:val="de-DE"/>
              </w:rPr>
              <w:t>Unternehmensfokussiert, professionelle Security-Standards.</w:t>
            </w:r>
          </w:p>
        </w:tc>
        <w:tc>
          <w:tcPr>
            <w:tcW w:w="3470" w:type="dxa"/>
            <w:vAlign w:val="center"/>
            <w:hideMark/>
          </w:tcPr>
          <w:p w14:paraId="1A7E2AD0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de-DE"/>
              </w:rPr>
              <w:t>Mittel: Erfordert Google Cloud-Projekt, Authentifizierung, evtl. API-Key + Service Accounts. Dafür sehr stark für Deep-Debugging in späteren Sprints.</w:t>
            </w:r>
          </w:p>
        </w:tc>
      </w:tr>
      <w:tr w:rsidR="00FE3CF1" w:rsidRPr="00FE3CF1" w14:paraId="55695878" w14:textId="77777777" w:rsidTr="00FE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ED9F" w14:textId="77777777" w:rsidR="00FE3CF1" w:rsidRPr="00FE3CF1" w:rsidRDefault="00FE3CF1" w:rsidP="00FE3CF1">
            <w:pPr>
              <w:jc w:val="center"/>
              <w:rPr>
                <w:lang w:val="it-IT"/>
              </w:rPr>
            </w:pPr>
            <w:r w:rsidRPr="00FE3CF1">
              <w:rPr>
                <w:b/>
                <w:bCs/>
                <w:lang w:val="it-IT"/>
              </w:rPr>
              <w:t>Mistral Large (Mistral AI / EU)</w:t>
            </w:r>
          </w:p>
        </w:tc>
        <w:tc>
          <w:tcPr>
            <w:tcW w:w="0" w:type="auto"/>
            <w:vAlign w:val="center"/>
            <w:hideMark/>
          </w:tcPr>
          <w:p w14:paraId="319BCC4C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de-DE"/>
              </w:rPr>
              <w:t>Gute allgemeine Coding-Fähigkeiten, besonders bei C++ und Python. Vorteil: Open-Source-Versionen verfügbar → man kann das Modell im Laufe des Projekts lokal hosten, was für Datenschutz super ist. Schnell, effizient und ideal für Universitätsumgebungen und zukünftige On-</w:t>
            </w:r>
            <w:proofErr w:type="spellStart"/>
            <w:r w:rsidRPr="00FE3CF1">
              <w:rPr>
                <w:lang w:val="de-DE"/>
              </w:rPr>
              <w:t>Premise</w:t>
            </w:r>
            <w:proofErr w:type="spellEnd"/>
            <w:r w:rsidRPr="00FE3CF1">
              <w:rPr>
                <w:lang w:val="de-DE"/>
              </w:rPr>
              <w:t>-Lösungen.</w:t>
            </w:r>
          </w:p>
        </w:tc>
        <w:tc>
          <w:tcPr>
            <w:tcW w:w="0" w:type="auto"/>
            <w:vAlign w:val="center"/>
            <w:hideMark/>
          </w:tcPr>
          <w:p w14:paraId="40F949CA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b/>
                <w:bCs/>
                <w:lang w:val="de-DE"/>
              </w:rPr>
              <w:t>~128.000 Tokens</w:t>
            </w:r>
            <w:r w:rsidRPr="00FE3CF1">
              <w:rPr>
                <w:lang w:val="de-DE"/>
              </w:rPr>
              <w:t xml:space="preserve"> → ausreichend für komplexe Logs, mittlere Projekte und typische Fehlermeldungen.</w:t>
            </w:r>
          </w:p>
        </w:tc>
        <w:tc>
          <w:tcPr>
            <w:tcW w:w="0" w:type="auto"/>
            <w:vAlign w:val="center"/>
            <w:hideMark/>
          </w:tcPr>
          <w:p w14:paraId="36909D7B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de-DE"/>
              </w:rPr>
              <w:t>Self-</w:t>
            </w:r>
            <w:proofErr w:type="spellStart"/>
            <w:r w:rsidRPr="00FE3CF1">
              <w:rPr>
                <w:lang w:val="de-DE"/>
              </w:rPr>
              <w:t>hosted</w:t>
            </w:r>
            <w:proofErr w:type="spellEnd"/>
            <w:r w:rsidRPr="00FE3CF1">
              <w:rPr>
                <w:lang w:val="de-DE"/>
              </w:rPr>
              <w:t xml:space="preserve"> möglich → volle Datenkontrolle (z. B. Uni-Server). Alternativ Cloud-Angebot von Mistral.</w:t>
            </w:r>
          </w:p>
        </w:tc>
        <w:tc>
          <w:tcPr>
            <w:tcW w:w="3470" w:type="dxa"/>
            <w:vAlign w:val="center"/>
            <w:hideMark/>
          </w:tcPr>
          <w:p w14:paraId="64F63C04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de-DE"/>
              </w:rPr>
              <w:t>Mittel: API simpel, aber Self-Hosting erfordert Docker, GPU oder Uni-Infrastruktur. Ideal für spätere Sprints (5–6).</w:t>
            </w:r>
          </w:p>
        </w:tc>
      </w:tr>
      <w:tr w:rsidR="00FE3CF1" w:rsidRPr="00FE3CF1" w14:paraId="37BA5A9E" w14:textId="77777777" w:rsidTr="00FE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C677" w14:textId="77777777" w:rsidR="00FE3CF1" w:rsidRPr="00FE3CF1" w:rsidRDefault="00FE3CF1" w:rsidP="00FE3CF1">
            <w:pPr>
              <w:jc w:val="center"/>
              <w:rPr>
                <w:lang w:val="en-GB"/>
              </w:rPr>
            </w:pPr>
            <w:r w:rsidRPr="00FE3CF1">
              <w:rPr>
                <w:b/>
                <w:bCs/>
                <w:lang w:val="en-GB"/>
              </w:rPr>
              <w:t>DeepSeek-R1 (Open-Source, China)</w:t>
            </w:r>
          </w:p>
        </w:tc>
        <w:tc>
          <w:tcPr>
            <w:tcW w:w="0" w:type="auto"/>
            <w:vAlign w:val="center"/>
            <w:hideMark/>
          </w:tcPr>
          <w:p w14:paraId="05919907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de-DE"/>
              </w:rPr>
              <w:t xml:space="preserve">Extrem stark beim autonomen </w:t>
            </w:r>
            <w:proofErr w:type="spellStart"/>
            <w:r w:rsidRPr="00FE3CF1">
              <w:rPr>
                <w:lang w:val="de-DE"/>
              </w:rPr>
              <w:t>Reasoning</w:t>
            </w:r>
            <w:proofErr w:type="spellEnd"/>
            <w:r w:rsidRPr="00FE3CF1">
              <w:rPr>
                <w:lang w:val="de-DE"/>
              </w:rPr>
              <w:t>. Findet logische Fehler in Code sehr gut und kann auch unvollständige oder chaotische Fehlermeldungen präzise interpretieren. Sehr gut für On-Device oder Uni-Server-Betrieb, da komplett open-source. Erkennt Muster und Fehlerstrukturen zuverlässig.</w:t>
            </w:r>
          </w:p>
        </w:tc>
        <w:tc>
          <w:tcPr>
            <w:tcW w:w="0" w:type="auto"/>
            <w:vAlign w:val="center"/>
            <w:hideMark/>
          </w:tcPr>
          <w:p w14:paraId="3DA85432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b/>
                <w:bCs/>
                <w:lang w:val="de-DE"/>
              </w:rPr>
              <w:t>~128.000 Tokens</w:t>
            </w:r>
            <w:r w:rsidRPr="00FE3CF1">
              <w:rPr>
                <w:lang w:val="de-DE"/>
              </w:rPr>
              <w:t xml:space="preserve"> → gut für Code-Analysen, mehrere Dateien oder komplexe Fehlermeldungen.</w:t>
            </w:r>
          </w:p>
        </w:tc>
        <w:tc>
          <w:tcPr>
            <w:tcW w:w="0" w:type="auto"/>
            <w:vAlign w:val="center"/>
            <w:hideMark/>
          </w:tcPr>
          <w:p w14:paraId="7DB2D3E8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de-DE"/>
              </w:rPr>
              <w:t>Vollständig lokal nutzbar → beste Datenschutzkontrolle. Keine Cloud notwendig.</w:t>
            </w:r>
          </w:p>
        </w:tc>
        <w:tc>
          <w:tcPr>
            <w:tcW w:w="3470" w:type="dxa"/>
            <w:vAlign w:val="center"/>
            <w:hideMark/>
          </w:tcPr>
          <w:p w14:paraId="50787200" w14:textId="77777777" w:rsidR="00FE3CF1" w:rsidRPr="00FE3CF1" w:rsidRDefault="00FE3CF1" w:rsidP="00FE3CF1">
            <w:pPr>
              <w:jc w:val="center"/>
              <w:rPr>
                <w:lang w:val="de-DE"/>
              </w:rPr>
            </w:pPr>
            <w:r w:rsidRPr="00FE3CF1">
              <w:rPr>
                <w:lang w:val="de-DE"/>
              </w:rPr>
              <w:t>Höherer Aufwand: eigenes Hosting, GPU notwendig, Setup komplexer. Dafür kostenlos und ideal für Forschung / Open-Source.</w:t>
            </w:r>
          </w:p>
        </w:tc>
      </w:tr>
    </w:tbl>
    <w:p w14:paraId="68C9D82D" w14:textId="71ACEF22" w:rsidR="009708AD" w:rsidRDefault="009708AD" w:rsidP="00FE3CF1"/>
    <w:p w14:paraId="6923ACCB" w14:textId="77777777" w:rsidR="00FE3CF1" w:rsidRPr="00FE3CF1" w:rsidRDefault="00FE3CF1" w:rsidP="00FE3CF1"/>
    <w:sectPr w:rsidR="00FE3CF1" w:rsidRPr="00FE3CF1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81BE6" w14:textId="77777777" w:rsidR="00464868" w:rsidRDefault="00464868" w:rsidP="00FE3CF1">
      <w:pPr>
        <w:spacing w:after="0" w:line="240" w:lineRule="auto"/>
      </w:pPr>
      <w:r>
        <w:separator/>
      </w:r>
    </w:p>
  </w:endnote>
  <w:endnote w:type="continuationSeparator" w:id="0">
    <w:p w14:paraId="13DA4583" w14:textId="77777777" w:rsidR="00464868" w:rsidRDefault="00464868" w:rsidP="00FE3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DA658" w14:textId="77777777" w:rsidR="00464868" w:rsidRDefault="00464868" w:rsidP="00FE3CF1">
      <w:pPr>
        <w:spacing w:after="0" w:line="240" w:lineRule="auto"/>
      </w:pPr>
      <w:r>
        <w:separator/>
      </w:r>
    </w:p>
  </w:footnote>
  <w:footnote w:type="continuationSeparator" w:id="0">
    <w:p w14:paraId="12D4CCEB" w14:textId="77777777" w:rsidR="00464868" w:rsidRDefault="00464868" w:rsidP="00FE3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62F8E" w14:textId="46C89B62" w:rsidR="00FE3CF1" w:rsidRPr="00FE3CF1" w:rsidRDefault="00FE3CF1">
    <w:pPr>
      <w:pStyle w:val="Kopfzeile"/>
      <w:rPr>
        <w:b/>
        <w:bCs/>
        <w:sz w:val="28"/>
        <w:szCs w:val="28"/>
      </w:rPr>
    </w:pPr>
    <w:r w:rsidRPr="00FE3CF1">
      <w:rPr>
        <w:b/>
        <w:bCs/>
        <w:sz w:val="28"/>
        <w:szCs w:val="28"/>
      </w:rPr>
      <w:t>Vergleich der LLM-Modelle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F1"/>
    <w:rsid w:val="00464868"/>
    <w:rsid w:val="004947D1"/>
    <w:rsid w:val="009708AD"/>
    <w:rsid w:val="00A74D34"/>
    <w:rsid w:val="00FE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A97F7"/>
  <w15:chartTrackingRefBased/>
  <w15:docId w15:val="{4E3CEAF4-6D02-4652-AE18-929CE3C38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E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E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3CF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E3CF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3CF1"/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3CF1"/>
    <w:rPr>
      <w:rFonts w:eastAsiaTheme="majorEastAsia" w:cstheme="majorBidi"/>
      <w:i/>
      <w:iCs/>
      <w:color w:val="0F4761" w:themeColor="accent1" w:themeShade="BF"/>
      <w:lang w:val="de-AT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3CF1"/>
    <w:rPr>
      <w:rFonts w:eastAsiaTheme="majorEastAsia" w:cstheme="majorBidi"/>
      <w:color w:val="0F4761" w:themeColor="accent1" w:themeShade="BF"/>
      <w:lang w:val="de-AT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3CF1"/>
    <w:rPr>
      <w:rFonts w:eastAsiaTheme="majorEastAsia" w:cstheme="majorBidi"/>
      <w:i/>
      <w:iCs/>
      <w:color w:val="595959" w:themeColor="text1" w:themeTint="A6"/>
      <w:lang w:val="de-AT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3CF1"/>
    <w:rPr>
      <w:rFonts w:eastAsiaTheme="majorEastAsia" w:cstheme="majorBidi"/>
      <w:color w:val="595959" w:themeColor="text1" w:themeTint="A6"/>
      <w:lang w:val="de-AT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3CF1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3CF1"/>
    <w:rPr>
      <w:rFonts w:eastAsiaTheme="majorEastAsia" w:cstheme="majorBidi"/>
      <w:color w:val="272727" w:themeColor="text1" w:themeTint="D8"/>
      <w:lang w:val="de-AT"/>
    </w:rPr>
  </w:style>
  <w:style w:type="paragraph" w:styleId="Titel">
    <w:name w:val="Title"/>
    <w:basedOn w:val="Standard"/>
    <w:next w:val="Standard"/>
    <w:link w:val="TitelZchn"/>
    <w:uiPriority w:val="10"/>
    <w:qFormat/>
    <w:rsid w:val="00FE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3CF1"/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3CF1"/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paragraph" w:styleId="Zitat">
    <w:name w:val="Quote"/>
    <w:basedOn w:val="Standard"/>
    <w:next w:val="Standard"/>
    <w:link w:val="ZitatZchn"/>
    <w:uiPriority w:val="29"/>
    <w:qFormat/>
    <w:rsid w:val="00FE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3CF1"/>
    <w:rPr>
      <w:i/>
      <w:iCs/>
      <w:color w:val="404040" w:themeColor="text1" w:themeTint="BF"/>
      <w:lang w:val="de-AT"/>
    </w:rPr>
  </w:style>
  <w:style w:type="paragraph" w:styleId="Listenabsatz">
    <w:name w:val="List Paragraph"/>
    <w:basedOn w:val="Standard"/>
    <w:uiPriority w:val="34"/>
    <w:qFormat/>
    <w:rsid w:val="00FE3C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3C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3CF1"/>
    <w:rPr>
      <w:i/>
      <w:iCs/>
      <w:color w:val="0F4761" w:themeColor="accent1" w:themeShade="BF"/>
      <w:lang w:val="de-AT"/>
    </w:rPr>
  </w:style>
  <w:style w:type="character" w:styleId="IntensiverVerweis">
    <w:name w:val="Intense Reference"/>
    <w:basedOn w:val="Absatz-Standardschriftart"/>
    <w:uiPriority w:val="32"/>
    <w:qFormat/>
    <w:rsid w:val="00FE3CF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E3C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E3CF1"/>
    <w:rPr>
      <w:lang w:val="de-AT"/>
    </w:rPr>
  </w:style>
  <w:style w:type="paragraph" w:styleId="Fuzeile">
    <w:name w:val="footer"/>
    <w:basedOn w:val="Standard"/>
    <w:link w:val="FuzeileZchn"/>
    <w:uiPriority w:val="99"/>
    <w:unhideWhenUsed/>
    <w:rsid w:val="00FE3C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E3CF1"/>
    <w:rPr>
      <w:lang w:val="de-AT"/>
    </w:rPr>
  </w:style>
  <w:style w:type="table" w:styleId="Tabellenraster">
    <w:name w:val="Table Grid"/>
    <w:basedOn w:val="NormaleTabelle"/>
    <w:uiPriority w:val="39"/>
    <w:rsid w:val="00FE3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2992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Kedzior</dc:creator>
  <cp:keywords/>
  <dc:description/>
  <cp:lastModifiedBy>Krystian Kedzior</cp:lastModifiedBy>
  <cp:revision>1</cp:revision>
  <dcterms:created xsi:type="dcterms:W3CDTF">2025-11-13T17:53:00Z</dcterms:created>
  <dcterms:modified xsi:type="dcterms:W3CDTF">2025-11-13T18:02:00Z</dcterms:modified>
</cp:coreProperties>
</file>