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8"/>
        </w:rPr>
        <w:t>Week 1 Task: Data Collection &amp; Cleaning Strategies</w:t>
      </w:r>
    </w:p>
    <w:p>
      <w:pPr>
        <w:spacing w:before="0" w:after="360"/>
      </w:pPr>
      <w:r>
        <w:rPr>
          <w:rFonts w:ascii="Calibri" w:hAnsi="Calibri"/>
          <w:color w:val="008080"/>
          <w:sz w:val="28"/>
        </w:rPr>
        <w:t>Apparel &amp; Textiles Industry Analysis | Internship Report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0" w:after="0" w:line="300" w:lineRule="auto"/>
            </w:pPr>
            <w:r>
              <w:rPr>
                <w:b/>
                <w:color w:val="1B365D"/>
                <w:sz w:val="20"/>
              </w:rPr>
              <w:t xml:space="preserve">Author: </w:t>
            </w:r>
            <w:r>
              <w:rPr>
                <w:b w:val="0"/>
                <w:color w:val="333333"/>
                <w:sz w:val="20"/>
              </w:rPr>
              <w:t xml:space="preserve">Berciya Delin G.    |    </w:t>
            </w:r>
            <w:r>
              <w:rPr>
                <w:b/>
                <w:color w:val="1B365D"/>
                <w:sz w:val="20"/>
              </w:rPr>
              <w:t xml:space="preserve">Role: </w:t>
            </w:r>
            <w:r>
              <w:rPr>
                <w:b w:val="0"/>
                <w:color w:val="333333"/>
                <w:sz w:val="20"/>
              </w:rPr>
              <w:t xml:space="preserve">Junior Data Analyst Intern    |    </w:t>
            </w:r>
            <w:r>
              <w:rPr>
                <w:b/>
                <w:color w:val="1B365D"/>
                <w:sz w:val="20"/>
              </w:rPr>
              <w:t xml:space="preserve">Domain: </w:t>
            </w:r>
            <w:r>
              <w:rPr>
                <w:b w:val="0"/>
                <w:color w:val="333333"/>
                <w:sz w:val="20"/>
              </w:rPr>
              <w:t>Apparel &amp; Textiles</w:t>
            </w:r>
          </w:p>
        </w:tc>
      </w:tr>
    </w:tbl>
    <w:p>
      <w:pPr>
        <w:spacing w:after="240"/>
      </w:pPr>
    </w:p>
    <w:p>
      <w:pPr>
        <w:keepNext/>
        <w:spacing w:before="360" w:after="120"/>
      </w:pPr>
      <w:r>
        <w:rPr>
          <w:rFonts w:ascii="Arial" w:hAnsi="Arial"/>
          <w:b/>
          <w:color w:val="1B365D"/>
          <w:sz w:val="32"/>
        </w:rPr>
        <w:t>1. Objective &amp; Executive Summary</w:t>
      </w:r>
    </w:p>
    <w:p>
      <w:pPr>
        <w:spacing w:after="120" w:line="276" w:lineRule="auto"/>
      </w:pPr>
      <w:r>
        <w:t>This document provides a comprehensive operational plan and strategy for collecting, filtering, cleaning, and preparing data specifically tailored to the apparel and textiles sector. Gathering data in this industry presents unique challenges, including unstructured product descriptions, complex sizing charts, fragmented supply chain reports, dynamic e-commerce pricing, and multi-region trade metrics.</w:t>
      </w:r>
    </w:p>
    <w:p>
      <w:pPr>
        <w:spacing w:after="240" w:line="276" w:lineRule="auto"/>
      </w:pPr>
      <w:r>
        <w:t>The primary goal of this task is to design an end-to-end scalable data pipeline that ingests raw, disparate data from public repositories and transforms it into high-integrity, structured datasets ready for downstream statistical analysis, trend forecasting, and operational decision-making.</w:t>
      </w:r>
    </w:p>
    <w:p>
      <w:pPr>
        <w:keepNext/>
        <w:spacing w:before="360" w:after="120"/>
      </w:pPr>
      <w:r>
        <w:rPr>
          <w:rFonts w:ascii="Arial" w:hAnsi="Arial"/>
          <w:b/>
          <w:color w:val="1B365D"/>
          <w:sz w:val="32"/>
        </w:rPr>
        <w:t>2. Research &amp; Public Data Sourcing Strategy</w:t>
      </w:r>
    </w:p>
    <w:p>
      <w:pPr>
        <w:spacing w:after="120"/>
      </w:pPr>
      <w:r>
        <w:t>To establish a reliable data foundation, data is sourced across three core verticals:</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jc w:val="left"/>
            </w:pPr>
            <w:r>
              <w:rPr>
                <w:b/>
                <w:color w:val="FFFFFF"/>
                <w:sz w:val="20"/>
              </w:rPr>
              <w:t>Data Category</w:t>
            </w:r>
          </w:p>
        </w:tc>
        <w:tc>
          <w:tcPr>
            <w:tcW w:type="dxa" w:w="3120"/>
            <w:shd w:fill="1B365D"/>
          </w:tcPr>
          <w:p>
            <w:pPr>
              <w:jc w:val="left"/>
            </w:pPr>
            <w:r>
              <w:rPr>
                <w:b/>
                <w:color w:val="FFFFFF"/>
                <w:sz w:val="20"/>
              </w:rPr>
              <w:t>Primary Public Sources</w:t>
            </w:r>
          </w:p>
        </w:tc>
        <w:tc>
          <w:tcPr>
            <w:tcW w:type="dxa" w:w="3120"/>
            <w:shd w:fill="1B365D"/>
          </w:tcPr>
          <w:p>
            <w:pPr>
              <w:jc w:val="left"/>
            </w:pPr>
            <w:r>
              <w:rPr>
                <w:b/>
                <w:color w:val="FFFFFF"/>
                <w:sz w:val="20"/>
              </w:rPr>
              <w:t>Target Variables &amp; Identifiers</w:t>
            </w:r>
          </w:p>
        </w:tc>
      </w:tr>
      <w:tr>
        <w:tc>
          <w:tcPr>
            <w:tcW w:type="dxa" w:w="3120"/>
            <w:shd w:fill="FFFFFF"/>
            <w:tcMar>
              <w:top w:w="80" w:type="dxa"/>
              <w:bottom w:w="80" w:type="dxa"/>
              <w:left w:w="100" w:type="dxa"/>
              <w:right w:w="100" w:type="dxa"/>
            </w:tcMar>
          </w:tcPr>
          <w:p>
            <w:pPr>
              <w:spacing w:after="0"/>
            </w:pPr>
            <w:r>
              <w:rPr>
                <w:sz w:val="19"/>
              </w:rPr>
              <w:t>Industry &amp; Market Intelligence</w:t>
            </w:r>
          </w:p>
        </w:tc>
        <w:tc>
          <w:tcPr>
            <w:tcW w:type="dxa" w:w="3120"/>
            <w:shd w:fill="FFFFFF"/>
            <w:tcMar>
              <w:top w:w="80" w:type="dxa"/>
              <w:bottom w:w="80" w:type="dxa"/>
              <w:left w:w="100" w:type="dxa"/>
              <w:right w:w="100" w:type="dxa"/>
            </w:tcMar>
          </w:tcPr>
          <w:p>
            <w:pPr>
              <w:spacing w:after="0"/>
            </w:pPr>
            <w:r>
              <w:rPr>
                <w:sz w:val="19"/>
              </w:rPr>
              <w:t>Statista, McKinsey Apparel Insights, WGSN, Business of Fashion</w:t>
            </w:r>
          </w:p>
        </w:tc>
        <w:tc>
          <w:tcPr>
            <w:tcW w:type="dxa" w:w="3120"/>
            <w:shd w:fill="FFFFFF"/>
            <w:tcMar>
              <w:top w:w="80" w:type="dxa"/>
              <w:bottom w:w="80" w:type="dxa"/>
              <w:left w:w="100" w:type="dxa"/>
              <w:right w:w="100" w:type="dxa"/>
            </w:tcMar>
          </w:tcPr>
          <w:p>
            <w:pPr>
              <w:spacing w:after="0"/>
            </w:pPr>
            <w:r>
              <w:rPr>
                <w:sz w:val="19"/>
              </w:rPr>
              <w:t>Market share, annual growth rate, category revenue, consumer trend indexes</w:t>
            </w:r>
          </w:p>
        </w:tc>
      </w:tr>
      <w:tr>
        <w:tc>
          <w:tcPr>
            <w:tcW w:type="dxa" w:w="3120"/>
            <w:shd w:fill="F4F6F9"/>
            <w:tcMar>
              <w:top w:w="80" w:type="dxa"/>
              <w:bottom w:w="80" w:type="dxa"/>
              <w:left w:w="100" w:type="dxa"/>
              <w:right w:w="100" w:type="dxa"/>
            </w:tcMar>
          </w:tcPr>
          <w:p>
            <w:pPr>
              <w:spacing w:after="0"/>
            </w:pPr>
            <w:r>
              <w:rPr>
                <w:sz w:val="19"/>
              </w:rPr>
              <w:t>Government &amp; Trade Bodies</w:t>
            </w:r>
          </w:p>
        </w:tc>
        <w:tc>
          <w:tcPr>
            <w:tcW w:type="dxa" w:w="3120"/>
            <w:shd w:fill="F4F6F9"/>
            <w:tcMar>
              <w:top w:w="80" w:type="dxa"/>
              <w:bottom w:w="80" w:type="dxa"/>
              <w:left w:w="100" w:type="dxa"/>
              <w:right w:w="100" w:type="dxa"/>
            </w:tcMar>
          </w:tcPr>
          <w:p>
            <w:pPr>
              <w:spacing w:after="0"/>
            </w:pPr>
            <w:r>
              <w:rPr>
                <w:sz w:val="19"/>
              </w:rPr>
              <w:t>Ministry of Textiles, WTO, UN Comtrade, Customs Databases</w:t>
            </w:r>
          </w:p>
        </w:tc>
        <w:tc>
          <w:tcPr>
            <w:tcW w:type="dxa" w:w="3120"/>
            <w:shd w:fill="F4F6F9"/>
            <w:tcMar>
              <w:top w:w="80" w:type="dxa"/>
              <w:bottom w:w="80" w:type="dxa"/>
              <w:left w:w="100" w:type="dxa"/>
              <w:right w:w="100" w:type="dxa"/>
            </w:tcMar>
          </w:tcPr>
          <w:p>
            <w:pPr>
              <w:spacing w:after="0"/>
            </w:pPr>
            <w:r>
              <w:rPr>
                <w:sz w:val="19"/>
              </w:rPr>
              <w:t>Import/export volume, raw fabric prices (cotton/polyester), tariff rates, shipping logs</w:t>
            </w:r>
          </w:p>
        </w:tc>
      </w:tr>
      <w:tr>
        <w:tc>
          <w:tcPr>
            <w:tcW w:type="dxa" w:w="3120"/>
            <w:shd w:fill="FFFFFF"/>
            <w:tcMar>
              <w:top w:w="80" w:type="dxa"/>
              <w:bottom w:w="80" w:type="dxa"/>
              <w:left w:w="100" w:type="dxa"/>
              <w:right w:w="100" w:type="dxa"/>
            </w:tcMar>
          </w:tcPr>
          <w:p>
            <w:pPr>
              <w:spacing w:after="0"/>
            </w:pPr>
            <w:r>
              <w:rPr>
                <w:sz w:val="19"/>
              </w:rPr>
              <w:t>E-Commerce &amp; Retail Portals</w:t>
            </w:r>
          </w:p>
        </w:tc>
        <w:tc>
          <w:tcPr>
            <w:tcW w:type="dxa" w:w="3120"/>
            <w:shd w:fill="FFFFFF"/>
            <w:tcMar>
              <w:top w:w="80" w:type="dxa"/>
              <w:bottom w:w="80" w:type="dxa"/>
              <w:left w:w="100" w:type="dxa"/>
              <w:right w:w="100" w:type="dxa"/>
            </w:tcMar>
          </w:tcPr>
          <w:p>
            <w:pPr>
              <w:spacing w:after="0"/>
            </w:pPr>
            <w:r>
              <w:rPr>
                <w:sz w:val="19"/>
              </w:rPr>
              <w:t>Public retail listings, brand product catalogs, public customer feedback</w:t>
            </w:r>
          </w:p>
        </w:tc>
        <w:tc>
          <w:tcPr>
            <w:tcW w:type="dxa" w:w="3120"/>
            <w:shd w:fill="FFFFFF"/>
            <w:tcMar>
              <w:top w:w="80" w:type="dxa"/>
              <w:bottom w:w="80" w:type="dxa"/>
              <w:left w:w="100" w:type="dxa"/>
              <w:right w:w="100" w:type="dxa"/>
            </w:tcMar>
          </w:tcPr>
          <w:p>
            <w:pPr>
              <w:spacing w:after="0"/>
            </w:pPr>
            <w:r>
              <w:rPr>
                <w:sz w:val="19"/>
              </w:rPr>
              <w:t>SKU ID, product title, fabric composition, unit price, size/color options, rating counts</w:t>
            </w:r>
          </w:p>
        </w:tc>
      </w:tr>
    </w:tbl>
    <w:p>
      <w:pPr>
        <w:spacing w:after="240"/>
      </w:pPr>
    </w:p>
    <w:p>
      <w:pPr>
        <w:keepNext/>
        <w:spacing w:before="360" w:after="120"/>
      </w:pPr>
      <w:r>
        <w:rPr>
          <w:rFonts w:ascii="Arial" w:hAnsi="Arial"/>
          <w:b/>
          <w:color w:val="1B365D"/>
          <w:sz w:val="32"/>
        </w:rPr>
        <w:t>3. Step-by-Step Data Collection Methodology</w:t>
      </w:r>
    </w:p>
    <w:p>
      <w:pPr>
        <w:keepNext/>
        <w:spacing w:before="240" w:after="80"/>
      </w:pPr>
      <w:r>
        <w:rPr>
          <w:rFonts w:ascii="Arial" w:hAnsi="Arial"/>
          <w:b/>
          <w:color w:val="008080"/>
          <w:sz w:val="26"/>
        </w:rPr>
        <w:t>Phase 1: Variable &amp; Scope Definition</w:t>
      </w:r>
    </w:p>
    <w:p>
      <w:pPr>
        <w:spacing w:after="120" w:line="276" w:lineRule="auto"/>
      </w:pPr>
      <w:r>
        <w:t>Define clear operational boundaries. Target variables include SKU ID, apparel category (e.g., Activewear, Casual Wear), raw material percentages (e.g., 95% Cotton / 5% Elastane), selling price, discount rate, customer rating, and regional availability.</w:t>
      </w:r>
    </w:p>
    <w:p>
      <w:pPr>
        <w:keepNext/>
        <w:spacing w:before="240" w:after="80"/>
      </w:pPr>
      <w:r>
        <w:rPr>
          <w:rFonts w:ascii="Arial" w:hAnsi="Arial"/>
          <w:b/>
          <w:color w:val="008080"/>
          <w:sz w:val="26"/>
        </w:rPr>
        <w:t>Phase 2: Extraction Strategy</w:t>
      </w:r>
    </w:p>
    <w:p>
      <w:pPr>
        <w:spacing w:after="120" w:line="276" w:lineRule="auto"/>
      </w:pPr>
      <w:r>
        <w:t>Deploy automated web scrapers (using Python libraries such as BeautifulSoup and Scrapy) to aggregate e-commerce product catalogs. For structured macro-data, utilize public APIs or direct REST endpoints provided by international trade portals.</w:t>
      </w:r>
    </w:p>
    <w:p>
      <w:pPr>
        <w:keepNext/>
        <w:spacing w:before="240" w:after="80"/>
      </w:pPr>
      <w:r>
        <w:rPr>
          <w:rFonts w:ascii="Arial" w:hAnsi="Arial"/>
          <w:b/>
          <w:color w:val="008080"/>
          <w:sz w:val="26"/>
        </w:rPr>
        <w:t>Phase 3: Rate Limiting &amp; Ethical Compliance</w:t>
      </w:r>
    </w:p>
    <w:p>
      <w:pPr>
        <w:spacing w:after="120" w:line="276" w:lineRule="auto"/>
      </w:pPr>
      <w:r>
        <w:t>Configure ethical scraping guidelines by adhering to robots.txt rules, implementing randomized request delays, and rotating user-agent strings to prevent server overload and IP blocking.</w:t>
      </w:r>
    </w:p>
    <w:p>
      <w:pPr>
        <w:keepNext/>
        <w:spacing w:before="240" w:after="80"/>
      </w:pPr>
      <w:r>
        <w:rPr>
          <w:rFonts w:ascii="Arial" w:hAnsi="Arial"/>
          <w:b/>
          <w:color w:val="008080"/>
          <w:sz w:val="26"/>
        </w:rPr>
        <w:t>Phase 4: Raw Data Ingestion &amp; Storage</w:t>
      </w:r>
    </w:p>
    <w:p>
      <w:pPr>
        <w:spacing w:after="120" w:line="276" w:lineRule="auto"/>
      </w:pPr>
      <w:r>
        <w:t>Persist collected raw datasets into a staging environment within a relational database (PostgreSQL) or raw JSON/CSV dumps with automated date-stamped folder structures for full auditability.</w:t>
      </w:r>
    </w:p>
    <w:p>
      <w:pPr>
        <w:keepNext/>
        <w:spacing w:before="360" w:after="120"/>
      </w:pPr>
      <w:r>
        <w:rPr>
          <w:rFonts w:ascii="Arial" w:hAnsi="Arial"/>
          <w:b/>
          <w:color w:val="1B365D"/>
          <w:sz w:val="32"/>
        </w:rPr>
        <w:t>4. Comprehensive Data Cleaning &amp; Integrity Framework</w:t>
      </w:r>
    </w:p>
    <w:p>
      <w:pPr>
        <w:spacing w:after="120"/>
      </w:pPr>
      <w:r>
        <w:t>Raw textile data is notoriously prone to formatting errors, missing fields, and non-standard terminology. The following cleaning methodology ensures data integrity:</w:t>
      </w:r>
    </w:p>
    <w:p>
      <w:pPr>
        <w:keepNext/>
        <w:spacing w:before="240" w:after="80"/>
      </w:pPr>
      <w:r>
        <w:rPr>
          <w:rFonts w:ascii="Arial" w:hAnsi="Arial"/>
          <w:b/>
          <w:color w:val="008080"/>
          <w:sz w:val="26"/>
        </w:rPr>
        <w:t>A. Handling Missing Data</w:t>
      </w:r>
    </w:p>
    <w:p>
      <w:pPr>
        <w:pStyle w:val="ListBullet"/>
        <w:spacing w:after="60"/>
      </w:pPr>
      <w:r>
        <w:rPr>
          <w:b/>
        </w:rPr>
        <w:t xml:space="preserve">Numeric Attributes (Price, Discounts): </w:t>
      </w:r>
      <w:r>
        <w:t>Impute missing numeric values using category-level median values rather than global means to account for brand positioning skewness.</w:t>
      </w:r>
    </w:p>
    <w:p>
      <w:pPr>
        <w:pStyle w:val="ListBullet"/>
        <w:spacing w:after="120"/>
      </w:pPr>
      <w:r>
        <w:rPr>
          <w:b/>
        </w:rPr>
        <w:t xml:space="preserve">Categorical Attributes (Fabric Composition): </w:t>
      </w:r>
      <w:r>
        <w:t>Flag missing compositions as 'Unknown/Unspecified' or fill from detailed product descriptions using text parsing.</w:t>
      </w:r>
    </w:p>
    <w:p>
      <w:pPr>
        <w:keepNext/>
        <w:spacing w:before="240" w:after="80"/>
      </w:pPr>
      <w:r>
        <w:rPr>
          <w:rFonts w:ascii="Arial" w:hAnsi="Arial"/>
          <w:b/>
          <w:color w:val="008080"/>
          <w:sz w:val="26"/>
        </w:rPr>
        <w:t>B. Standardizing Textile Variables</w:t>
      </w:r>
    </w:p>
    <w:p>
      <w:pPr>
        <w:pStyle w:val="ListBullet"/>
        <w:spacing w:after="60"/>
      </w:pPr>
      <w:r>
        <w:rPr>
          <w:b/>
        </w:rPr>
        <w:t xml:space="preserve">Fabric Standardization: </w:t>
      </w:r>
      <w:r>
        <w:t>Convert varied raw entries (e.g., '100% Ctg', 'pure cotton', 'Cotton 100%') into a standardized '100% Cotton' canonical string.</w:t>
      </w:r>
    </w:p>
    <w:p>
      <w:pPr>
        <w:pStyle w:val="ListBullet"/>
        <w:spacing w:after="120"/>
      </w:pPr>
      <w:r>
        <w:rPr>
          <w:b/>
        </w:rPr>
        <w:t xml:space="preserve">Size &amp; Currency Uniformity: </w:t>
      </w:r>
      <w:r>
        <w:t>Map regional sizing (EU, US, UK) to a standardized numeric sizing scale and convert all pricing variables to a single target currency (INR or USD) using standard historical FX rates.</w:t>
      </w:r>
    </w:p>
    <w:p>
      <w:pPr>
        <w:keepNext/>
        <w:spacing w:before="240" w:after="80"/>
      </w:pPr>
      <w:r>
        <w:rPr>
          <w:rFonts w:ascii="Arial" w:hAnsi="Arial"/>
          <w:b/>
          <w:color w:val="008080"/>
          <w:sz w:val="26"/>
        </w:rPr>
        <w:t>C. Deduplication &amp; Outlier Removal</w:t>
      </w:r>
    </w:p>
    <w:p>
      <w:pPr>
        <w:pStyle w:val="ListBullet"/>
        <w:spacing w:after="60"/>
      </w:pPr>
      <w:r>
        <w:rPr>
          <w:b/>
        </w:rPr>
        <w:t xml:space="preserve">Deduplication: </w:t>
      </w:r>
      <w:r>
        <w:t>Identify duplicate records using composite keys (SKU ID + Retailer + Extraction Date) to prevent duplicated counts.</w:t>
      </w:r>
    </w:p>
    <w:p>
      <w:pPr>
        <w:pStyle w:val="ListBullet"/>
        <w:spacing w:after="120"/>
      </w:pPr>
      <w:r>
        <w:rPr>
          <w:b/>
        </w:rPr>
        <w:t xml:space="preserve">Outlier Detection: </w:t>
      </w:r>
      <w:r>
        <w:t>Apply Interquartile Range (IQR) bounds (Q1 - 1.5*IQR to Q3 + 1.5*IQR) on pricing to detect input errors (e.g., $1000 for a basic t-shirt).</w:t>
      </w:r>
    </w:p>
    <w:p>
      <w:pPr>
        <w:keepNext/>
        <w:spacing w:before="360" w:after="120"/>
      </w:pPr>
      <w:r>
        <w:rPr>
          <w:rFonts w:ascii="Arial" w:hAnsi="Arial"/>
          <w:b/>
          <w:color w:val="1B365D"/>
          <w:sz w:val="32"/>
        </w:rPr>
        <w:t>5. Software, Tools &amp; Technologies</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rPr>
              <w:t>Category</w:t>
            </w:r>
          </w:p>
        </w:tc>
        <w:tc>
          <w:tcPr>
            <w:tcW w:type="dxa" w:w="4680"/>
            <w:shd w:fill="1B365D"/>
          </w:tcPr>
          <w:p>
            <w:r>
              <w:rPr>
                <w:b/>
                <w:color w:val="FFFFFF"/>
              </w:rPr>
              <w:t>Tool / Technology &amp; Specific Function</w:t>
            </w:r>
          </w:p>
        </w:tc>
      </w:tr>
      <w:tr>
        <w:tc>
          <w:tcPr>
            <w:tcW w:type="dxa" w:w="4680"/>
            <w:shd w:fill="FFFFFF"/>
            <w:tcMar>
              <w:top w:w="80" w:type="dxa"/>
              <w:bottom w:w="80" w:type="dxa"/>
              <w:left w:w="100" w:type="dxa"/>
              <w:right w:w="100" w:type="dxa"/>
            </w:tcMar>
          </w:tcPr>
          <w:p>
            <w:pPr>
              <w:spacing w:after="0"/>
            </w:pPr>
            <w:r>
              <w:rPr>
                <w:sz w:val="19"/>
              </w:rPr>
              <w:t>Programming &amp; Libraries</w:t>
            </w:r>
          </w:p>
        </w:tc>
        <w:tc>
          <w:tcPr>
            <w:tcW w:type="dxa" w:w="4680"/>
            <w:shd w:fill="FFFFFF"/>
            <w:tcMar>
              <w:top w:w="80" w:type="dxa"/>
              <w:bottom w:w="80" w:type="dxa"/>
              <w:left w:w="100" w:type="dxa"/>
              <w:right w:w="100" w:type="dxa"/>
            </w:tcMar>
          </w:tcPr>
          <w:p>
            <w:pPr>
              <w:spacing w:after="0"/>
            </w:pPr>
            <w:r>
              <w:rPr>
                <w:sz w:val="19"/>
              </w:rPr>
              <w:t>Python 3.x (Pandas for data wrangling, NumPy for numeric operations, Re for Regex string parsing)</w:t>
            </w:r>
          </w:p>
        </w:tc>
      </w:tr>
      <w:tr>
        <w:tc>
          <w:tcPr>
            <w:tcW w:type="dxa" w:w="4680"/>
            <w:shd w:fill="F4F6F9"/>
            <w:tcMar>
              <w:top w:w="80" w:type="dxa"/>
              <w:bottom w:w="80" w:type="dxa"/>
              <w:left w:w="100" w:type="dxa"/>
              <w:right w:w="100" w:type="dxa"/>
            </w:tcMar>
          </w:tcPr>
          <w:p>
            <w:pPr>
              <w:spacing w:after="0"/>
            </w:pPr>
            <w:r>
              <w:rPr>
                <w:sz w:val="19"/>
              </w:rPr>
              <w:t>Database &amp; Storage</w:t>
            </w:r>
          </w:p>
        </w:tc>
        <w:tc>
          <w:tcPr>
            <w:tcW w:type="dxa" w:w="4680"/>
            <w:shd w:fill="F4F6F9"/>
            <w:tcMar>
              <w:top w:w="80" w:type="dxa"/>
              <w:bottom w:w="80" w:type="dxa"/>
              <w:left w:w="100" w:type="dxa"/>
              <w:right w:w="100" w:type="dxa"/>
            </w:tcMar>
          </w:tcPr>
          <w:p>
            <w:pPr>
              <w:spacing w:after="0"/>
            </w:pPr>
            <w:r>
              <w:rPr>
                <w:sz w:val="19"/>
              </w:rPr>
              <w:t>PostgreSQL (Relational storage, schema validation, structured SQL querying)</w:t>
            </w:r>
          </w:p>
        </w:tc>
      </w:tr>
      <w:tr>
        <w:tc>
          <w:tcPr>
            <w:tcW w:type="dxa" w:w="4680"/>
            <w:shd w:fill="FFFFFF"/>
            <w:tcMar>
              <w:top w:w="80" w:type="dxa"/>
              <w:bottom w:w="80" w:type="dxa"/>
              <w:left w:w="100" w:type="dxa"/>
              <w:right w:w="100" w:type="dxa"/>
            </w:tcMar>
          </w:tcPr>
          <w:p>
            <w:pPr>
              <w:spacing w:after="0"/>
            </w:pPr>
            <w:r>
              <w:rPr>
                <w:sz w:val="19"/>
              </w:rPr>
              <w:t>Version Control &amp; Environment</w:t>
            </w:r>
          </w:p>
        </w:tc>
        <w:tc>
          <w:tcPr>
            <w:tcW w:type="dxa" w:w="4680"/>
            <w:shd w:fill="FFFFFF"/>
            <w:tcMar>
              <w:top w:w="80" w:type="dxa"/>
              <w:bottom w:w="80" w:type="dxa"/>
              <w:left w:w="100" w:type="dxa"/>
              <w:right w:w="100" w:type="dxa"/>
            </w:tcMar>
          </w:tcPr>
          <w:p>
            <w:pPr>
              <w:spacing w:after="0"/>
            </w:pPr>
            <w:r>
              <w:rPr>
                <w:sz w:val="19"/>
              </w:rPr>
              <w:t>Git &amp; GitHub (Repository maintenance, version control, reproducible analysis scripts)</w:t>
            </w:r>
          </w:p>
        </w:tc>
      </w:tr>
    </w:tbl>
    <w:p>
      <w:pPr>
        <w:spacing w:after="240"/>
      </w:pPr>
    </w:p>
    <w:p>
      <w:pPr>
        <w:keepNext/>
        <w:spacing w:before="360" w:after="120"/>
      </w:pPr>
      <w:r>
        <w:rPr>
          <w:rFonts w:ascii="Arial" w:hAnsi="Arial"/>
          <w:b/>
          <w:color w:val="1B365D"/>
          <w:sz w:val="32"/>
        </w:rPr>
        <w:t>6. Challenges Encountered &amp; Analytical Solutions</w:t>
      </w:r>
    </w:p>
    <w:p>
      <w:pPr>
        <w:pStyle w:val="ListBullet"/>
        <w:spacing w:after="80"/>
      </w:pPr>
      <w:r>
        <w:rPr>
          <w:b/>
        </w:rPr>
        <w:t>Challenge: Unstructured, messy text in product specifications.</w:t>
        <w:br/>
      </w:r>
      <w:r>
        <w:t>Solution: Implemented custom Regular Expression (Regex) pipelines to extract material blend percentages and standardize color terminology into discrete, tabular columns.</w:t>
      </w:r>
    </w:p>
    <w:p>
      <w:pPr>
        <w:pStyle w:val="ListBullet"/>
        <w:spacing w:after="120"/>
      </w:pPr>
      <w:r>
        <w:rPr>
          <w:b/>
        </w:rPr>
        <w:t>Challenge: Dynamic rate-limiting and layout changes in web sources.</w:t>
        <w:br/>
      </w:r>
      <w:r>
        <w:t>Solution: Constructed modular scraping logic that isolates parsing scripts from HTTP request handling, incorporating retry mechanisms and fallback HTML parsers.</w:t>
      </w:r>
    </w:p>
    <w:p>
      <w:pPr>
        <w:keepNext/>
        <w:spacing w:before="360" w:after="120"/>
      </w:pPr>
      <w:r>
        <w:rPr>
          <w:rFonts w:ascii="Arial" w:hAnsi="Arial"/>
          <w:b/>
          <w:color w:val="1B365D"/>
          <w:sz w:val="32"/>
        </w:rPr>
        <w:t>7. Scalability &amp; Business Impact</w:t>
      </w:r>
    </w:p>
    <w:p>
      <w:pPr>
        <w:spacing w:after="240" w:line="276" w:lineRule="auto"/>
      </w:pPr>
      <w:r>
        <w:t>The resulting data strategy is built for scalability. By containerizing the python scripts and defining strict PostgreSQL database schemas, this workflow can be scheduled as an automated ETL (Extract, Transform, Load) job. In real-world garment and textile enterprises, this cleaned data feed enables automated demand forecasting, competitive pricing strategy analysis, and inventory optimization across global retail networks.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