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1B365D"/>
          <w:sz w:val="44"/>
        </w:rPr>
        <w:t>Week 3 Task: Strategic Data-Driven Decision Making</w:t>
      </w:r>
    </w:p>
    <w:p>
      <w:pPr>
        <w:spacing w:before="0" w:after="360"/>
      </w:pPr>
      <w:r>
        <w:rPr>
          <w:rFonts w:ascii="Calibri" w:hAnsi="Calibri"/>
          <w:color w:val="008080"/>
          <w:sz w:val="26"/>
        </w:rPr>
        <w:t>Apparel &amp; Textiles Industry Analysis | Strategic Proposal</w:t>
      </w:r>
    </w:p>
    <w:tbl>
      <w:tblPr>
        <w:tblW w:type="auto" w:w="0"/>
        <w:jc w:val="center"/>
        <w:tblLook w:firstColumn="1" w:firstRow="1" w:lastColumn="0" w:lastRow="0" w:noHBand="0" w:noVBand="1" w:val="04A0"/>
      </w:tblPr>
      <w:tblGrid>
        <w:gridCol w:w="9360"/>
      </w:tblGrid>
      <w:tr>
        <w:tc>
          <w:tcPr>
            <w:tcW w:type="dxa" w:w="9360"/>
            <w:shd w:fill="F4F6F9"/>
            <w:tcMar>
              <w:top w:w="140" w:type="dxa"/>
              <w:bottom w:w="140" w:type="dxa"/>
              <w:left w:w="200" w:type="dxa"/>
              <w:right w:w="200" w:type="dxa"/>
            </w:tcMar>
          </w:tcPr>
          <w:p>
            <w:pPr>
              <w:spacing w:before="0" w:after="0" w:line="300" w:lineRule="auto"/>
            </w:pPr>
            <w:r>
              <w:rPr>
                <w:b/>
                <w:color w:val="1B365D"/>
                <w:sz w:val="20"/>
              </w:rPr>
              <w:t xml:space="preserve">Author: </w:t>
            </w:r>
            <w:r>
              <w:rPr>
                <w:b w:val="0"/>
                <w:color w:val="333333"/>
                <w:sz w:val="20"/>
              </w:rPr>
              <w:t xml:space="preserve">Berciya Delin G.    |    </w:t>
            </w:r>
            <w:r>
              <w:rPr>
                <w:b/>
                <w:color w:val="1B365D"/>
                <w:sz w:val="20"/>
              </w:rPr>
              <w:t xml:space="preserve">Role: </w:t>
            </w:r>
            <w:r>
              <w:rPr>
                <w:b w:val="0"/>
                <w:color w:val="333333"/>
                <w:sz w:val="20"/>
              </w:rPr>
              <w:t xml:space="preserve">Junior Data Analyst Intern    |    </w:t>
            </w:r>
            <w:r>
              <w:rPr>
                <w:b/>
                <w:color w:val="1B365D"/>
                <w:sz w:val="20"/>
              </w:rPr>
              <w:t xml:space="preserve">Domain: </w:t>
            </w:r>
            <w:r>
              <w:rPr>
                <w:b w:val="0"/>
                <w:color w:val="333333"/>
                <w:sz w:val="20"/>
              </w:rPr>
              <w:t>Apparel &amp; Textiles</w:t>
            </w:r>
          </w:p>
        </w:tc>
      </w:tr>
    </w:tbl>
    <w:p>
      <w:pPr>
        <w:spacing w:after="240"/>
      </w:pPr>
    </w:p>
    <w:p>
      <w:pPr>
        <w:keepNext/>
        <w:spacing w:before="320" w:after="120"/>
      </w:pPr>
      <w:r>
        <w:rPr>
          <w:rFonts w:ascii="Arial" w:hAnsi="Arial"/>
          <w:b/>
          <w:color w:val="1B365D"/>
          <w:sz w:val="30"/>
        </w:rPr>
        <w:t>1. Executive Summary &amp; Proposal Objective</w:t>
      </w:r>
    </w:p>
    <w:p>
      <w:pPr>
        <w:spacing w:after="240" w:line="276" w:lineRule="auto"/>
      </w:pPr>
      <w:r>
        <w:t>This strategic proposal integrates data-driven analysis with executive decision-making for the apparel and textiles sector. Focusing on inventory optimization and targeted seasonal marketing, this document translates theoretical data trends into actionable business strategies to mitigate overstocking, reduce high return rates, and maximize profitability.</w:t>
      </w:r>
    </w:p>
    <w:p>
      <w:pPr>
        <w:keepNext/>
        <w:spacing w:before="320" w:after="120"/>
      </w:pPr>
      <w:r>
        <w:rPr>
          <w:rFonts w:ascii="Arial" w:hAnsi="Arial"/>
          <w:b/>
          <w:color w:val="1B365D"/>
          <w:sz w:val="30"/>
        </w:rPr>
        <w:t>2. Strategic Focus Area &amp; Problem Statement</w:t>
      </w:r>
    </w:p>
    <w:p>
      <w:pPr>
        <w:spacing w:after="120"/>
      </w:pPr>
      <w:r>
        <w:t>The modern apparel industry suffers from two major inefficiencies: excess inventory holding costs due to inaccurate demand forecasting, and post-purchase returns driven by mismatched consumer expectations and sizing disparities. This proposal outlines an integrated data-driven framework to synchronize inventory allocation with targeted marketing campaigns.</w:t>
      </w:r>
    </w:p>
    <w:p>
      <w:pPr>
        <w:keepNext/>
        <w:spacing w:before="320" w:after="120"/>
      </w:pPr>
      <w:r>
        <w:rPr>
          <w:rFonts w:ascii="Arial" w:hAnsi="Arial"/>
          <w:b/>
          <w:color w:val="1B365D"/>
          <w:sz w:val="30"/>
        </w:rPr>
        <w:t>3. Hypothetical Data Analysis &amp; Trend Interpretation</w:t>
      </w:r>
    </w:p>
    <w:p>
      <w:pPr>
        <w:spacing w:after="120"/>
      </w:pPr>
      <w:r>
        <w:t>Based on simulated seasonal retail data, three core patterns were identified:</w:t>
      </w:r>
    </w:p>
    <w:p>
      <w:pPr>
        <w:pStyle w:val="ListBullet"/>
        <w:spacing w:after="80"/>
      </w:pPr>
      <w:r>
        <w:rPr>
          <w:b/>
        </w:rPr>
        <w:t xml:space="preserve">Q4 Festive &amp; Winter Demand Surge: </w:t>
      </w:r>
      <w:r>
        <w:t>Data reveals a 45% spike in sales volume for outerwear and heavy fabrics during Q4, accompanied by a 22% increase in return rates primarily due to sizing inconsistencies in synthetic blends.</w:t>
      </w:r>
    </w:p>
    <w:p>
      <w:pPr>
        <w:pStyle w:val="ListBullet"/>
        <w:spacing w:after="80"/>
      </w:pPr>
      <w:r>
        <w:rPr>
          <w:b/>
        </w:rPr>
        <w:t xml:space="preserve">Discount Depth vs. Return Correlation: </w:t>
      </w:r>
      <w:r>
        <w:t>Analysis shows that items sold at discounts exceeding 30% experience a 35% higher return rate, indicating that steep discounts attract impulsive buyers with lower brand loyalty and higher post-purchase dissatisfaction.</w:t>
      </w:r>
    </w:p>
    <w:p>
      <w:pPr>
        <w:pStyle w:val="ListBullet"/>
        <w:spacing w:after="80"/>
      </w:pPr>
      <w:r>
        <w:rPr>
          <w:b/>
        </w:rPr>
        <w:t xml:space="preserve">Fabric Performance Discrepancies: </w:t>
      </w:r>
      <w:r>
        <w:t>Natural fabrics (100% Cotton, Linen) maintain stable repeat purchase rates and low returns (&lt;8%), whereas synthetic stretch blends experience higher return volatility across demographic groups.</w:t>
      </w:r>
    </w:p>
    <w:p>
      <w:pPr>
        <w:spacing w:after="120"/>
      </w:pPr>
    </w:p>
    <w:p>
      <w:pPr>
        <w:keepNext/>
        <w:spacing w:before="320" w:after="120"/>
      </w:pPr>
      <w:r>
        <w:rPr>
          <w:rFonts w:ascii="Arial" w:hAnsi="Arial"/>
          <w:b/>
          <w:color w:val="1B365D"/>
          <w:sz w:val="30"/>
        </w:rPr>
        <w:t>4. Strategic Action Plan &amp; Recommendations</w:t>
      </w:r>
    </w:p>
    <w:p>
      <w:pPr>
        <w:keepNext/>
        <w:spacing w:before="200" w:after="80"/>
      </w:pPr>
      <w:r>
        <w:rPr>
          <w:rFonts w:ascii="Arial" w:hAnsi="Arial"/>
          <w:b/>
          <w:color w:val="008080"/>
          <w:sz w:val="24"/>
        </w:rPr>
        <w:t>Action 1: Dynamic Inventory Re-allocation</w:t>
      </w:r>
    </w:p>
    <w:p>
      <w:pPr>
        <w:spacing w:after="120" w:line="276" w:lineRule="auto"/>
      </w:pPr>
      <w:r>
        <w:t>Implement automated inventory buffers that adjust stock distribution across regional warehouses based on historical Q4 demand velocity, reducing stockouts by 20% and holding costs by 15%.</w:t>
      </w:r>
    </w:p>
    <w:p>
      <w:pPr>
        <w:keepNext/>
        <w:spacing w:before="200" w:after="80"/>
      </w:pPr>
      <w:r>
        <w:rPr>
          <w:rFonts w:ascii="Arial" w:hAnsi="Arial"/>
          <w:b/>
          <w:color w:val="008080"/>
          <w:sz w:val="24"/>
        </w:rPr>
        <w:t>Action 2: Targeted Sizing &amp; Marketing Adjustments</w:t>
      </w:r>
    </w:p>
    <w:p>
      <w:pPr>
        <w:spacing w:after="120" w:line="276" w:lineRule="auto"/>
      </w:pPr>
      <w:r>
        <w:t>Refine digital marketing campaigns by featuring detailed virtual fit guides for synthetic outerwear, proactively addressing the primary driver behind winter apparel returns.</w:t>
      </w:r>
    </w:p>
    <w:p>
      <w:pPr>
        <w:keepNext/>
        <w:spacing w:before="200" w:after="80"/>
      </w:pPr>
      <w:r>
        <w:rPr>
          <w:rFonts w:ascii="Arial" w:hAnsi="Arial"/>
          <w:b/>
          <w:color w:val="008080"/>
          <w:sz w:val="24"/>
        </w:rPr>
        <w:t>Action 3: Rationalizing Promotional Discounts</w:t>
      </w:r>
    </w:p>
    <w:p>
      <w:pPr>
        <w:spacing w:after="120" w:line="276" w:lineRule="auto"/>
      </w:pPr>
      <w:r>
        <w:t>Cap blanket seasonal discounts at 25% and replace them with bundled loyalty offers, curbing impulsive purchases and reducing low-quality return volumes.</w:t>
      </w:r>
    </w:p>
    <w:p>
      <w:pPr>
        <w:keepNext/>
        <w:spacing w:before="320" w:after="120"/>
      </w:pPr>
      <w:r>
        <w:rPr>
          <w:rFonts w:ascii="Arial" w:hAnsi="Arial"/>
          <w:b/>
          <w:color w:val="1B365D"/>
          <w:sz w:val="30"/>
        </w:rPr>
        <w:t>5. Implementation Roadmap &amp; Conclusion</w:t>
      </w:r>
    </w:p>
    <w:p>
      <w:pPr>
        <w:spacing w:after="240" w:line="276" w:lineRule="auto"/>
      </w:pPr>
      <w:r>
        <w:t>Executing this phased strategic proposal over a 90-day implementation cycle will bridge data insights with executive merchandising execution. By aligning inventory control with targeted marketing, apparel enterprises can achieve sustainable profitability, superior customer retention, and minimized return losses.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