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B1C7" w14:textId="57F92A2F" w:rsidR="00D213D0" w:rsidRPr="002B5604" w:rsidRDefault="002B5604" w:rsidP="002B5604">
      <w:pPr>
        <w:jc w:val="center"/>
        <w:rPr>
          <w:rFonts w:ascii="Azonix" w:hAnsi="Azonix"/>
          <w:b/>
          <w:bCs/>
          <w:sz w:val="36"/>
          <w:szCs w:val="36"/>
        </w:rPr>
      </w:pPr>
      <w:bookmarkStart w:id="0" w:name="den"/>
      <w:bookmarkEnd w:id="0"/>
      <w:r w:rsidRPr="002B5604">
        <w:rPr>
          <w:rFonts w:ascii="Azonix" w:hAnsi="Azonix"/>
          <w:sz w:val="36"/>
          <w:szCs w:val="36"/>
          <w:highlight w:val="yellow"/>
        </w:rPr>
        <w:t xml:space="preserve"> </w:t>
      </w:r>
      <w:bookmarkStart w:id="1" w:name="fj"/>
      <w:bookmarkEnd w:id="1"/>
    </w:p>
    <w:p w14:paraId="0FA1E5BB" w14:textId="767B0AEB" w:rsidR="00D213D0" w:rsidRPr="002B5604" w:rsidRDefault="00D213D0" w:rsidP="00D213D0">
      <w:pPr>
        <w:ind w:right="-157"/>
        <w:jc w:val="center"/>
        <w:rPr>
          <w:rFonts w:ascii="Tahoma" w:hAnsi="Tahoma" w:cs="Tahoma"/>
          <w:b/>
          <w:bCs/>
          <w:sz w:val="22"/>
          <w:szCs w:val="22"/>
        </w:rPr>
      </w:pPr>
      <w:r w:rsidRPr="002B5604">
        <w:rPr>
          <w:rFonts w:ascii="Tahoma" w:hAnsi="Tahoma" w:cs="Tahoma"/>
          <w:b/>
          <w:bCs/>
          <w:sz w:val="22"/>
          <w:szCs w:val="22"/>
        </w:rPr>
        <w:t xml:space="preserve">Société A Responsabilité Limitée d’Associé unique au capital </w:t>
      </w:r>
      <w:proofErr w:type="gramStart"/>
      <w:r w:rsidRPr="002B5604">
        <w:rPr>
          <w:rFonts w:ascii="Tahoma" w:hAnsi="Tahoma" w:cs="Tahoma"/>
          <w:b/>
          <w:bCs/>
          <w:sz w:val="22"/>
          <w:szCs w:val="22"/>
        </w:rPr>
        <w:t xml:space="preserve">de </w:t>
      </w:r>
      <w:bookmarkStart w:id="2" w:name="ca"/>
      <w:bookmarkEnd w:id="2"/>
      <w:r w:rsidRPr="002B5604">
        <w:rPr>
          <w:rFonts w:ascii="Tahoma" w:hAnsi="Tahoma" w:cs="Tahoma"/>
          <w:b/>
          <w:bCs/>
          <w:sz w:val="22"/>
          <w:szCs w:val="22"/>
        </w:rPr>
        <w:t xml:space="preserve"> dirhams</w:t>
      </w:r>
      <w:proofErr w:type="gramEnd"/>
    </w:p>
    <w:p w14:paraId="47CA84BF" w14:textId="3243695A" w:rsidR="00D213D0" w:rsidRDefault="00D213D0" w:rsidP="002B5604">
      <w:pPr>
        <w:jc w:val="center"/>
        <w:rPr>
          <w:rFonts w:ascii="Tahoma" w:hAnsi="Tahoma" w:cs="Tahoma"/>
          <w:b/>
          <w:bCs/>
          <w:sz w:val="22"/>
          <w:szCs w:val="22"/>
        </w:rPr>
      </w:pPr>
      <w:r w:rsidRPr="002B5604">
        <w:rPr>
          <w:rFonts w:ascii="Tahoma" w:hAnsi="Tahoma" w:cs="Tahoma"/>
          <w:b/>
          <w:bCs/>
          <w:sz w:val="22"/>
          <w:szCs w:val="22"/>
        </w:rPr>
        <w:t>Siège Social </w:t>
      </w:r>
      <w:proofErr w:type="gramStart"/>
      <w:r w:rsidRPr="002B5604">
        <w:rPr>
          <w:rFonts w:ascii="Tahoma" w:hAnsi="Tahoma" w:cs="Tahoma"/>
          <w:b/>
          <w:bCs/>
          <w:sz w:val="22"/>
          <w:szCs w:val="22"/>
        </w:rPr>
        <w:t xml:space="preserve">: </w:t>
      </w:r>
      <w:bookmarkStart w:id="3" w:name="vs"/>
      <w:bookmarkEnd w:id="3"/>
      <w:r w:rsidRPr="002B5604">
        <w:rPr>
          <w:rFonts w:ascii="Tahoma" w:hAnsi="Tahoma" w:cs="Tahoma"/>
          <w:b/>
          <w:bCs/>
          <w:sz w:val="22"/>
          <w:szCs w:val="22"/>
        </w:rPr>
        <w:t>,</w:t>
      </w:r>
      <w:proofErr w:type="gramEnd"/>
      <w:r w:rsidRPr="002B5604">
        <w:rPr>
          <w:rFonts w:ascii="Tahoma" w:hAnsi="Tahoma" w:cs="Tahoma"/>
          <w:b/>
          <w:bCs/>
          <w:sz w:val="22"/>
          <w:szCs w:val="22"/>
        </w:rPr>
        <w:t xml:space="preserve"> </w:t>
      </w:r>
      <w:bookmarkStart w:id="4" w:name="sie"/>
      <w:bookmarkEnd w:id="4"/>
      <w:r w:rsidRPr="002B5604">
        <w:rPr>
          <w:rFonts w:ascii="Tahoma" w:hAnsi="Tahoma" w:cs="Tahoma"/>
          <w:b/>
          <w:bCs/>
          <w:sz w:val="22"/>
          <w:szCs w:val="22"/>
          <w:highlight w:val="yellow"/>
        </w:rPr>
        <w:t>.</w:t>
      </w:r>
    </w:p>
    <w:p w14:paraId="1DD0ABBC" w14:textId="6E770D86" w:rsidR="001966B8" w:rsidRDefault="001966B8" w:rsidP="002B5604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14:paraId="684EB9B9" w14:textId="77777777" w:rsidR="000806BB" w:rsidRPr="002B5604" w:rsidRDefault="000806BB" w:rsidP="002B5604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14:paraId="3F537CE3" w14:textId="77777777" w:rsidR="00D213D0" w:rsidRPr="002B5604" w:rsidRDefault="00D213D0" w:rsidP="00D213D0">
      <w:pPr>
        <w:rPr>
          <w:b/>
          <w:bCs/>
          <w:sz w:val="22"/>
        </w:rPr>
      </w:pPr>
    </w:p>
    <w:p w14:paraId="00EAE0B8" w14:textId="453842D4" w:rsidR="00D213D0" w:rsidRDefault="00D213D0" w:rsidP="00D213D0">
      <w:pPr>
        <w:jc w:val="center"/>
        <w:rPr>
          <w:rFonts w:ascii="Tahoma" w:hAnsi="Tahoma" w:cs="Tahoma"/>
          <w:b/>
          <w:bCs/>
          <w:sz w:val="22"/>
          <w:szCs w:val="22"/>
        </w:rPr>
      </w:pPr>
      <w:r w:rsidRPr="002B5604">
        <w:rPr>
          <w:rFonts w:ascii="Tahoma" w:hAnsi="Tahoma" w:cs="Tahoma"/>
          <w:b/>
          <w:bCs/>
          <w:sz w:val="22"/>
          <w:szCs w:val="22"/>
        </w:rPr>
        <w:t xml:space="preserve">RC : </w:t>
      </w:r>
      <w:bookmarkStart w:id="5" w:name="rc"/>
      <w:bookmarkEnd w:id="5"/>
      <w:r w:rsidRPr="002B5604">
        <w:rPr>
          <w:rFonts w:ascii="Tahoma" w:hAnsi="Tahoma" w:cs="Tahoma"/>
          <w:b/>
          <w:bCs/>
          <w:sz w:val="22"/>
          <w:szCs w:val="22"/>
        </w:rPr>
        <w:tab/>
      </w:r>
      <w:r w:rsidRPr="002B5604">
        <w:rPr>
          <w:rFonts w:ascii="Tahoma" w:hAnsi="Tahoma" w:cs="Tahoma"/>
          <w:b/>
          <w:bCs/>
          <w:sz w:val="22"/>
          <w:szCs w:val="22"/>
        </w:rPr>
        <w:tab/>
      </w:r>
      <w:r w:rsidRPr="002B5604">
        <w:rPr>
          <w:rFonts w:ascii="Tahoma" w:hAnsi="Tahoma" w:cs="Tahoma"/>
          <w:b/>
          <w:bCs/>
          <w:sz w:val="22"/>
          <w:szCs w:val="22"/>
        </w:rPr>
        <w:tab/>
        <w:t xml:space="preserve">             </w:t>
      </w:r>
      <w:r w:rsidRPr="002B5604">
        <w:rPr>
          <w:rFonts w:ascii="Tahoma" w:hAnsi="Tahoma" w:cs="Tahoma"/>
          <w:b/>
          <w:bCs/>
          <w:sz w:val="22"/>
          <w:szCs w:val="22"/>
        </w:rPr>
        <w:tab/>
        <w:t xml:space="preserve">IF : </w:t>
      </w:r>
      <w:bookmarkStart w:id="6" w:name="iif"/>
      <w:bookmarkEnd w:id="6"/>
    </w:p>
    <w:p w14:paraId="0F5A887A" w14:textId="77777777" w:rsidR="000806BB" w:rsidRDefault="000806BB" w:rsidP="00D213D0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14:paraId="0BAEB1B6" w14:textId="77777777" w:rsidR="001966B8" w:rsidRPr="002B5604" w:rsidRDefault="001966B8" w:rsidP="00D213D0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14:paraId="4DBB9490" w14:textId="77777777" w:rsidR="00D213D0" w:rsidRDefault="00D213D0" w:rsidP="00790086"/>
    <w:p w14:paraId="01F2B0A3" w14:textId="281CDE54" w:rsidR="00790086" w:rsidRPr="001966B8" w:rsidRDefault="00F7514D" w:rsidP="00196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outlineLvl w:val="0"/>
        <w:rPr>
          <w:rFonts w:ascii="Tahoma" w:hAnsi="Tahoma" w:cs="Tahoma"/>
          <w:i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966B8">
        <w:rPr>
          <w:rFonts w:ascii="Tahoma" w:hAnsi="Tahoma" w:cs="Tahoma"/>
          <w:i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RAPPORT DU LIQUIDATEUR DE CLOTURE DE LA LIQUIDATION</w:t>
      </w:r>
    </w:p>
    <w:p w14:paraId="566F175C" w14:textId="702A5F99" w:rsidR="00E6680E" w:rsidRDefault="00E6680E" w:rsidP="00D213D0">
      <w:pPr>
        <w:pStyle w:val="Heading5"/>
        <w:rPr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24A27642" w14:textId="1F325E41" w:rsidR="001966B8" w:rsidRDefault="001966B8" w:rsidP="001966B8"/>
    <w:p w14:paraId="6A56A459" w14:textId="77777777" w:rsidR="000806BB" w:rsidRPr="001966B8" w:rsidRDefault="000806BB" w:rsidP="001966B8"/>
    <w:p w14:paraId="7EDFFC76" w14:textId="77777777" w:rsidR="002B76DF" w:rsidRDefault="002B76DF">
      <w:pPr>
        <w:widowControl/>
        <w:spacing w:line="278" w:lineRule="exact"/>
        <w:jc w:val="both"/>
        <w:rPr>
          <w:sz w:val="24"/>
        </w:rPr>
      </w:pPr>
    </w:p>
    <w:p w14:paraId="71E53C1E" w14:textId="7E80EC77" w:rsidR="00F7514D" w:rsidRPr="002B5604" w:rsidRDefault="00F7514D" w:rsidP="00A7677A">
      <w:pPr>
        <w:widowControl/>
        <w:jc w:val="both"/>
        <w:rPr>
          <w:rFonts w:ascii="Tahoma" w:hAnsi="Tahoma" w:cs="Tahoma"/>
          <w:sz w:val="22"/>
          <w:szCs w:val="22"/>
        </w:rPr>
      </w:pPr>
      <w:r w:rsidRPr="002B5604">
        <w:rPr>
          <w:rFonts w:ascii="Tahoma" w:hAnsi="Tahoma" w:cs="Tahoma"/>
          <w:sz w:val="22"/>
          <w:szCs w:val="22"/>
        </w:rPr>
        <w:t xml:space="preserve">Par décision de </w:t>
      </w:r>
      <w:r w:rsidR="00951733" w:rsidRPr="002B5604">
        <w:rPr>
          <w:rFonts w:ascii="Tahoma" w:hAnsi="Tahoma" w:cs="Tahoma"/>
          <w:sz w:val="22"/>
          <w:szCs w:val="22"/>
        </w:rPr>
        <w:t xml:space="preserve">l’Assemblée Générale Extraordinaire tenue </w:t>
      </w:r>
      <w:proofErr w:type="gramStart"/>
      <w:r w:rsidR="00951733" w:rsidRPr="002B5604">
        <w:rPr>
          <w:rFonts w:ascii="Tahoma" w:hAnsi="Tahoma" w:cs="Tahoma"/>
          <w:sz w:val="22"/>
          <w:szCs w:val="22"/>
        </w:rPr>
        <w:t xml:space="preserve">le </w:t>
      </w:r>
      <w:bookmarkStart w:id="7" w:name="dd"/>
      <w:bookmarkEnd w:id="7"/>
      <w:r w:rsidR="00951733" w:rsidRPr="002B5604">
        <w:rPr>
          <w:rFonts w:ascii="Tahoma" w:hAnsi="Tahoma" w:cs="Tahoma"/>
          <w:sz w:val="22"/>
          <w:szCs w:val="22"/>
        </w:rPr>
        <w:t xml:space="preserve"> el</w:t>
      </w:r>
      <w:r w:rsidRPr="002B5604">
        <w:rPr>
          <w:rFonts w:ascii="Tahoma" w:hAnsi="Tahoma" w:cs="Tahoma"/>
          <w:sz w:val="22"/>
          <w:szCs w:val="22"/>
        </w:rPr>
        <w:t>l</w:t>
      </w:r>
      <w:r w:rsidR="00951733" w:rsidRPr="002B5604">
        <w:rPr>
          <w:rFonts w:ascii="Tahoma" w:hAnsi="Tahoma" w:cs="Tahoma"/>
          <w:sz w:val="22"/>
          <w:szCs w:val="22"/>
        </w:rPr>
        <w:t>e</w:t>
      </w:r>
      <w:proofErr w:type="gramEnd"/>
      <w:r w:rsidRPr="002B5604">
        <w:rPr>
          <w:rFonts w:ascii="Tahoma" w:hAnsi="Tahoma" w:cs="Tahoma"/>
          <w:sz w:val="22"/>
          <w:szCs w:val="22"/>
        </w:rPr>
        <w:t xml:space="preserve"> a été décidé la dissolution anticipée de la société.</w:t>
      </w:r>
    </w:p>
    <w:p w14:paraId="0240317B" w14:textId="77777777" w:rsidR="00F7514D" w:rsidRPr="002B5604" w:rsidRDefault="00F7514D">
      <w:pPr>
        <w:widowControl/>
        <w:jc w:val="both"/>
        <w:rPr>
          <w:rFonts w:ascii="Tahoma" w:hAnsi="Tahoma" w:cs="Tahoma"/>
          <w:sz w:val="22"/>
          <w:szCs w:val="22"/>
        </w:rPr>
      </w:pPr>
    </w:p>
    <w:p w14:paraId="73B6E26B" w14:textId="3A9A046F" w:rsidR="00F7514D" w:rsidRPr="002B5604" w:rsidRDefault="006E35F4" w:rsidP="00A7677A">
      <w:pPr>
        <w:widowControl/>
        <w:jc w:val="both"/>
        <w:rPr>
          <w:rFonts w:ascii="Tahoma" w:hAnsi="Tahoma" w:cs="Tahoma"/>
          <w:sz w:val="22"/>
          <w:szCs w:val="22"/>
        </w:rPr>
      </w:pPr>
      <w:r w:rsidRPr="002B5604">
        <w:rPr>
          <w:rFonts w:ascii="Tahoma" w:hAnsi="Tahoma" w:cs="Tahoma"/>
          <w:sz w:val="22"/>
          <w:szCs w:val="22"/>
        </w:rPr>
        <w:t xml:space="preserve">A compter </w:t>
      </w:r>
      <w:proofErr w:type="gramStart"/>
      <w:r w:rsidRPr="002B5604">
        <w:rPr>
          <w:rFonts w:ascii="Tahoma" w:hAnsi="Tahoma" w:cs="Tahoma"/>
          <w:sz w:val="22"/>
          <w:szCs w:val="22"/>
        </w:rPr>
        <w:t xml:space="preserve">du </w:t>
      </w:r>
      <w:bookmarkStart w:id="8" w:name="ddOne"/>
      <w:bookmarkEnd w:id="8"/>
      <w:r w:rsidR="00F7514D" w:rsidRPr="002B5604">
        <w:rPr>
          <w:rFonts w:ascii="Tahoma" w:hAnsi="Tahoma" w:cs="Tahoma"/>
          <w:sz w:val="22"/>
          <w:szCs w:val="22"/>
        </w:rPr>
        <w:t>,</w:t>
      </w:r>
      <w:proofErr w:type="gramEnd"/>
      <w:r w:rsidR="00F7514D" w:rsidRPr="002B5604">
        <w:rPr>
          <w:rFonts w:ascii="Tahoma" w:hAnsi="Tahoma" w:cs="Tahoma"/>
          <w:sz w:val="22"/>
          <w:szCs w:val="22"/>
        </w:rPr>
        <w:t xml:space="preserve"> jour de la dissolution de la société, nous avons effectué les opérations suivantes :</w:t>
      </w:r>
    </w:p>
    <w:p w14:paraId="4A191F8E" w14:textId="77777777" w:rsidR="00F7514D" w:rsidRPr="002B5604" w:rsidRDefault="00F7514D">
      <w:pPr>
        <w:widowControl/>
        <w:jc w:val="both"/>
        <w:rPr>
          <w:rFonts w:ascii="Tahoma" w:hAnsi="Tahoma" w:cs="Tahoma"/>
          <w:sz w:val="22"/>
          <w:szCs w:val="22"/>
        </w:rPr>
      </w:pPr>
    </w:p>
    <w:p w14:paraId="40DC5EBB" w14:textId="77777777" w:rsidR="00F7514D" w:rsidRPr="002B5604" w:rsidRDefault="00F7514D" w:rsidP="002B5604">
      <w:pPr>
        <w:widowControl/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</w:rPr>
      </w:pPr>
      <w:r w:rsidRPr="002B5604">
        <w:rPr>
          <w:rFonts w:ascii="Tahoma" w:hAnsi="Tahoma" w:cs="Tahoma"/>
          <w:sz w:val="22"/>
          <w:szCs w:val="22"/>
        </w:rPr>
        <w:t xml:space="preserve">Enregistrement des Procès Verbaux de la dissolution </w:t>
      </w:r>
      <w:r w:rsidR="00EC7E5C" w:rsidRPr="002B5604">
        <w:rPr>
          <w:rFonts w:ascii="Tahoma" w:hAnsi="Tahoma" w:cs="Tahoma"/>
          <w:sz w:val="22"/>
          <w:szCs w:val="22"/>
        </w:rPr>
        <w:t>anticipée ;</w:t>
      </w:r>
    </w:p>
    <w:p w14:paraId="612B0519" w14:textId="77777777" w:rsidR="00F7514D" w:rsidRPr="002B5604" w:rsidRDefault="00F7514D" w:rsidP="002B5604">
      <w:pPr>
        <w:widowControl/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</w:rPr>
      </w:pPr>
      <w:r w:rsidRPr="002B5604">
        <w:rPr>
          <w:rFonts w:ascii="Tahoma" w:hAnsi="Tahoma" w:cs="Tahoma"/>
          <w:sz w:val="22"/>
          <w:szCs w:val="22"/>
        </w:rPr>
        <w:t>Dépôt des Procès Verbaux au greffe du tribunal de commerce ;</w:t>
      </w:r>
    </w:p>
    <w:p w14:paraId="4A6F6FC4" w14:textId="77777777" w:rsidR="00F7514D" w:rsidRPr="002B5604" w:rsidRDefault="00F7514D" w:rsidP="002B5604">
      <w:pPr>
        <w:widowControl/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</w:rPr>
      </w:pPr>
      <w:r w:rsidRPr="002B5604">
        <w:rPr>
          <w:rFonts w:ascii="Tahoma" w:hAnsi="Tahoma" w:cs="Tahoma"/>
          <w:sz w:val="22"/>
          <w:szCs w:val="22"/>
        </w:rPr>
        <w:t>Radiation du registre de commerce de la société ;</w:t>
      </w:r>
    </w:p>
    <w:p w14:paraId="301F8A52" w14:textId="77777777" w:rsidR="00F7514D" w:rsidRPr="002B5604" w:rsidRDefault="00F7514D" w:rsidP="002B5604">
      <w:pPr>
        <w:widowControl/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</w:rPr>
      </w:pPr>
      <w:r w:rsidRPr="002B5604">
        <w:rPr>
          <w:rFonts w:ascii="Tahoma" w:hAnsi="Tahoma" w:cs="Tahoma"/>
          <w:sz w:val="22"/>
          <w:szCs w:val="22"/>
        </w:rPr>
        <w:t>Radiation de la taxe professionnelle ;</w:t>
      </w:r>
    </w:p>
    <w:p w14:paraId="450A36A4" w14:textId="77777777" w:rsidR="00F7514D" w:rsidRPr="002B5604" w:rsidRDefault="00106459" w:rsidP="002B5604">
      <w:pPr>
        <w:widowControl/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</w:rPr>
      </w:pPr>
      <w:r w:rsidRPr="002B5604">
        <w:rPr>
          <w:rFonts w:ascii="Tahoma" w:hAnsi="Tahoma" w:cs="Tahoma"/>
          <w:sz w:val="22"/>
          <w:szCs w:val="22"/>
        </w:rPr>
        <w:t>P</w:t>
      </w:r>
      <w:r w:rsidR="00F7514D" w:rsidRPr="002B5604">
        <w:rPr>
          <w:rFonts w:ascii="Tahoma" w:hAnsi="Tahoma" w:cs="Tahoma"/>
          <w:sz w:val="22"/>
          <w:szCs w:val="22"/>
        </w:rPr>
        <w:t>ublication</w:t>
      </w:r>
      <w:r w:rsidR="00EC7E5C" w:rsidRPr="002B5604">
        <w:rPr>
          <w:rFonts w:ascii="Tahoma" w:hAnsi="Tahoma" w:cs="Tahoma"/>
          <w:sz w:val="22"/>
          <w:szCs w:val="22"/>
        </w:rPr>
        <w:t xml:space="preserve"> dans un journal d’annonces légal et au Bulletin officiel. </w:t>
      </w:r>
      <w:r w:rsidR="00F7514D" w:rsidRPr="002B5604">
        <w:rPr>
          <w:rFonts w:ascii="Tahoma" w:hAnsi="Tahoma" w:cs="Tahoma"/>
          <w:sz w:val="22"/>
          <w:szCs w:val="22"/>
        </w:rPr>
        <w:t xml:space="preserve"> </w:t>
      </w:r>
    </w:p>
    <w:p w14:paraId="33DF1D07" w14:textId="77777777" w:rsidR="00EC7E5C" w:rsidRPr="002B5604" w:rsidRDefault="00EC7E5C" w:rsidP="00EC7E5C">
      <w:pPr>
        <w:widowControl/>
        <w:jc w:val="both"/>
        <w:rPr>
          <w:rFonts w:ascii="Tahoma" w:hAnsi="Tahoma" w:cs="Tahoma"/>
          <w:sz w:val="22"/>
          <w:szCs w:val="22"/>
        </w:rPr>
      </w:pPr>
    </w:p>
    <w:p w14:paraId="11695B28" w14:textId="2B5FD6DA" w:rsidR="00EC7E5C" w:rsidRPr="002B5604" w:rsidRDefault="00EC7E5C" w:rsidP="00A7677A">
      <w:pPr>
        <w:widowControl/>
        <w:jc w:val="both"/>
        <w:rPr>
          <w:rFonts w:ascii="Tahoma" w:hAnsi="Tahoma" w:cs="Tahoma"/>
          <w:sz w:val="22"/>
          <w:szCs w:val="22"/>
        </w:rPr>
      </w:pPr>
      <w:r w:rsidRPr="002B5604">
        <w:rPr>
          <w:rFonts w:ascii="Tahoma" w:hAnsi="Tahoma" w:cs="Tahoma"/>
          <w:sz w:val="22"/>
          <w:szCs w:val="22"/>
        </w:rPr>
        <w:t xml:space="preserve">Le compte de liquidation fait ressortir un </w:t>
      </w:r>
      <w:proofErr w:type="gramStart"/>
      <w:r w:rsidRPr="002B5604">
        <w:rPr>
          <w:rFonts w:ascii="Tahoma" w:hAnsi="Tahoma" w:cs="Tahoma"/>
          <w:sz w:val="22"/>
          <w:szCs w:val="22"/>
        </w:rPr>
        <w:t>solde </w:t>
      </w:r>
      <w:bookmarkStart w:id="9" w:name="ts"/>
      <w:bookmarkEnd w:id="9"/>
      <w:r w:rsidRPr="002B5604">
        <w:rPr>
          <w:rFonts w:ascii="Tahoma" w:hAnsi="Tahoma" w:cs="Tahoma"/>
          <w:sz w:val="22"/>
          <w:szCs w:val="22"/>
        </w:rPr>
        <w:t xml:space="preserve"> de</w:t>
      </w:r>
      <w:proofErr w:type="gramEnd"/>
      <w:r w:rsidRPr="002B5604">
        <w:rPr>
          <w:rFonts w:ascii="Tahoma" w:hAnsi="Tahoma" w:cs="Tahoma"/>
          <w:sz w:val="22"/>
          <w:szCs w:val="22"/>
        </w:rPr>
        <w:t xml:space="preserve"> </w:t>
      </w:r>
      <w:bookmarkStart w:id="10" w:name="so"/>
      <w:bookmarkEnd w:id="10"/>
      <w:r w:rsidR="00FD20FF" w:rsidRPr="002B5604">
        <w:rPr>
          <w:rFonts w:ascii="Tahoma" w:hAnsi="Tahoma" w:cs="Tahoma"/>
          <w:sz w:val="22"/>
          <w:szCs w:val="22"/>
        </w:rPr>
        <w:t xml:space="preserve"> </w:t>
      </w:r>
      <w:r w:rsidRPr="002B5604">
        <w:rPr>
          <w:rFonts w:ascii="Tahoma" w:hAnsi="Tahoma" w:cs="Tahoma"/>
          <w:sz w:val="22"/>
          <w:szCs w:val="22"/>
        </w:rPr>
        <w:t xml:space="preserve">dirhams, et par conséquent aucun remboursement des parts sociales ne sera effectué et aucune attribution réalisée. </w:t>
      </w:r>
    </w:p>
    <w:p w14:paraId="11DAB732" w14:textId="77777777" w:rsidR="00775A37" w:rsidRPr="002B5604" w:rsidRDefault="00775A37" w:rsidP="00EC7E5C">
      <w:pPr>
        <w:widowControl/>
        <w:jc w:val="both"/>
        <w:rPr>
          <w:rFonts w:ascii="Tahoma" w:hAnsi="Tahoma" w:cs="Tahoma"/>
          <w:sz w:val="22"/>
          <w:szCs w:val="22"/>
        </w:rPr>
      </w:pPr>
    </w:p>
    <w:p w14:paraId="0EB2AC58" w14:textId="7B8E7293" w:rsidR="00775A37" w:rsidRPr="002B5604" w:rsidRDefault="00775A37" w:rsidP="001D1158">
      <w:pPr>
        <w:widowControl/>
        <w:jc w:val="both"/>
        <w:rPr>
          <w:rFonts w:ascii="Tahoma" w:hAnsi="Tahoma" w:cs="Tahoma"/>
          <w:b/>
          <w:sz w:val="22"/>
          <w:szCs w:val="22"/>
        </w:rPr>
      </w:pPr>
      <w:r w:rsidRPr="002B5604">
        <w:rPr>
          <w:rFonts w:ascii="Tahoma" w:hAnsi="Tahoma" w:cs="Tahoma"/>
          <w:sz w:val="22"/>
          <w:szCs w:val="22"/>
        </w:rPr>
        <w:t xml:space="preserve">Toutefois, suivant leurs propositions, l’imputation de ce </w:t>
      </w:r>
      <w:proofErr w:type="gramStart"/>
      <w:r w:rsidRPr="002B5604">
        <w:rPr>
          <w:rFonts w:ascii="Tahoma" w:hAnsi="Tahoma" w:cs="Tahoma"/>
          <w:sz w:val="22"/>
          <w:szCs w:val="22"/>
        </w:rPr>
        <w:t xml:space="preserve">solde </w:t>
      </w:r>
      <w:bookmarkStart w:id="11" w:name="tsOne"/>
      <w:bookmarkEnd w:id="11"/>
      <w:r w:rsidRPr="002B5604">
        <w:rPr>
          <w:rFonts w:ascii="Tahoma" w:hAnsi="Tahoma" w:cs="Tahoma"/>
          <w:sz w:val="22"/>
          <w:szCs w:val="22"/>
        </w:rPr>
        <w:t xml:space="preserve"> pourra</w:t>
      </w:r>
      <w:proofErr w:type="gramEnd"/>
      <w:r w:rsidRPr="002B5604">
        <w:rPr>
          <w:rFonts w:ascii="Tahoma" w:hAnsi="Tahoma" w:cs="Tahoma"/>
          <w:sz w:val="22"/>
          <w:szCs w:val="22"/>
        </w:rPr>
        <w:t xml:space="preserve"> s’opérer à due concurrence sur le compte courant </w:t>
      </w:r>
      <w:r w:rsidR="001D1158" w:rsidRPr="002B5604">
        <w:rPr>
          <w:rFonts w:ascii="Tahoma" w:hAnsi="Tahoma" w:cs="Tahoma"/>
          <w:sz w:val="22"/>
          <w:szCs w:val="22"/>
        </w:rPr>
        <w:t xml:space="preserve">des associés </w:t>
      </w:r>
      <w:r w:rsidRPr="002B5604">
        <w:rPr>
          <w:rFonts w:ascii="Tahoma" w:hAnsi="Tahoma" w:cs="Tahoma"/>
          <w:sz w:val="22"/>
          <w:szCs w:val="22"/>
        </w:rPr>
        <w:t>dans les livres de la société</w:t>
      </w:r>
      <w:r w:rsidRPr="002B5604">
        <w:rPr>
          <w:rFonts w:ascii="Tahoma" w:hAnsi="Tahoma" w:cs="Tahoma"/>
          <w:b/>
          <w:bCs/>
          <w:sz w:val="22"/>
          <w:szCs w:val="22"/>
        </w:rPr>
        <w:t>.</w:t>
      </w:r>
    </w:p>
    <w:p w14:paraId="778A61C4" w14:textId="77777777" w:rsidR="001D1158" w:rsidRPr="00000D79" w:rsidRDefault="001D1158" w:rsidP="00000D79">
      <w:pPr>
        <w:widowControl/>
        <w:jc w:val="both"/>
        <w:rPr>
          <w:i/>
          <w:iCs/>
          <w:sz w:val="24"/>
          <w:szCs w:val="24"/>
        </w:rPr>
      </w:pPr>
    </w:p>
    <w:p w14:paraId="12D58614" w14:textId="77777777" w:rsidR="001D1158" w:rsidRPr="00000D79" w:rsidRDefault="001D1158">
      <w:pPr>
        <w:widowControl/>
        <w:jc w:val="both"/>
        <w:rPr>
          <w:i/>
          <w:iCs/>
          <w:sz w:val="24"/>
          <w:szCs w:val="24"/>
        </w:rPr>
      </w:pPr>
    </w:p>
    <w:p w14:paraId="24857A12" w14:textId="77777777" w:rsidR="002B76DF" w:rsidRDefault="002B76DF">
      <w:pPr>
        <w:widowControl/>
        <w:jc w:val="both"/>
        <w:rPr>
          <w:b/>
          <w:i/>
          <w:iCs/>
          <w:sz w:val="24"/>
          <w:szCs w:val="24"/>
        </w:rPr>
      </w:pPr>
    </w:p>
    <w:p w14:paraId="2FA8BEFC" w14:textId="77777777" w:rsidR="00D213D0" w:rsidRDefault="00D213D0">
      <w:pPr>
        <w:widowControl/>
        <w:jc w:val="both"/>
        <w:rPr>
          <w:b/>
          <w:i/>
          <w:iCs/>
          <w:sz w:val="24"/>
          <w:szCs w:val="24"/>
        </w:rPr>
      </w:pPr>
    </w:p>
    <w:p w14:paraId="77B39718" w14:textId="77777777" w:rsidR="00D213D0" w:rsidRPr="00000D79" w:rsidRDefault="00D213D0">
      <w:pPr>
        <w:widowControl/>
        <w:jc w:val="both"/>
        <w:rPr>
          <w:b/>
          <w:i/>
          <w:iCs/>
          <w:sz w:val="24"/>
          <w:szCs w:val="24"/>
        </w:rPr>
      </w:pPr>
    </w:p>
    <w:p w14:paraId="3FB873D9" w14:textId="69D4FC1F" w:rsidR="00FD20FF" w:rsidRPr="008279A0" w:rsidRDefault="00DB34E9" w:rsidP="00270D6E">
      <w:pPr>
        <w:widowControl/>
        <w:jc w:val="center"/>
        <w:rPr>
          <w:rFonts w:ascii="Tahoma" w:hAnsi="Tahoma" w:cs="Tahoma"/>
          <w:b/>
          <w:sz w:val="22"/>
          <w:szCs w:val="22"/>
          <w:u w:val="single"/>
        </w:rPr>
      </w:pPr>
      <w:r w:rsidRPr="008279A0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8279A0">
        <w:rPr>
          <w:rFonts w:ascii="Tahoma" w:hAnsi="Tahoma" w:cs="Tahoma"/>
          <w:b/>
          <w:bCs/>
          <w:sz w:val="22"/>
          <w:szCs w:val="22"/>
          <w:u w:val="single"/>
        </w:rPr>
        <w:t xml:space="preserve">  </w:t>
      </w:r>
      <w:bookmarkStart w:id="12" w:name="ge"/>
      <w:bookmarkEnd w:id="12"/>
      <w:r w:rsidR="00FD20FF" w:rsidRPr="008279A0">
        <w:rPr>
          <w:rFonts w:ascii="Tahoma" w:hAnsi="Tahoma" w:cs="Tahoma"/>
          <w:b/>
          <w:sz w:val="22"/>
          <w:szCs w:val="22"/>
          <w:u w:val="single"/>
        </w:rPr>
        <w:t xml:space="preserve">. </w:t>
      </w:r>
      <w:bookmarkStart w:id="13" w:name="pn"/>
      <w:bookmarkEnd w:id="13"/>
    </w:p>
    <w:p w14:paraId="224116B0" w14:textId="77777777" w:rsidR="002B76DF" w:rsidRPr="008279A0" w:rsidRDefault="002B76DF">
      <w:pPr>
        <w:widowControl/>
        <w:jc w:val="center"/>
        <w:rPr>
          <w:rFonts w:ascii="Tahoma" w:hAnsi="Tahoma" w:cs="Tahoma"/>
          <w:b/>
          <w:sz w:val="22"/>
          <w:szCs w:val="22"/>
        </w:rPr>
      </w:pPr>
      <w:r w:rsidRPr="008279A0">
        <w:rPr>
          <w:rFonts w:ascii="Tahoma" w:hAnsi="Tahoma" w:cs="Tahoma"/>
          <w:b/>
          <w:sz w:val="22"/>
          <w:szCs w:val="22"/>
        </w:rPr>
        <w:t>LE LIQUIDATEUR</w:t>
      </w:r>
    </w:p>
    <w:p w14:paraId="36102306" w14:textId="77777777" w:rsidR="002B76DF" w:rsidRPr="00E6680E" w:rsidRDefault="003F0557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ectPr w:rsidR="002B76DF" w:rsidRPr="00E6680E" w:rsidSect="001966B8">
      <w:footnotePr>
        <w:numRestart w:val="eachPage"/>
      </w:footnotePr>
      <w:pgSz w:w="11908" w:h="16838"/>
      <w:pgMar w:top="720" w:right="720" w:bottom="720" w:left="720" w:header="720" w:footer="720" w:gutter="0"/>
      <w:pgNumType w:start="1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zonix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966"/>
    <w:multiLevelType w:val="hybridMultilevel"/>
    <w:tmpl w:val="DF3487C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26A5"/>
    <w:multiLevelType w:val="singleLevel"/>
    <w:tmpl w:val="F530E0A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FC957C2"/>
    <w:multiLevelType w:val="hybridMultilevel"/>
    <w:tmpl w:val="BBF6740E"/>
    <w:lvl w:ilvl="0" w:tplc="59022C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63ACC"/>
    <w:multiLevelType w:val="singleLevel"/>
    <w:tmpl w:val="F530E0AA"/>
    <w:lvl w:ilvl="0">
      <w:start w:val="3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2BC66E6"/>
    <w:multiLevelType w:val="singleLevel"/>
    <w:tmpl w:val="F530E0AA"/>
    <w:lvl w:ilvl="0">
      <w:start w:val="3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3F513E4"/>
    <w:multiLevelType w:val="singleLevel"/>
    <w:tmpl w:val="F530E0AA"/>
    <w:lvl w:ilvl="0">
      <w:start w:val="3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490515E"/>
    <w:multiLevelType w:val="singleLevel"/>
    <w:tmpl w:val="F530E0AA"/>
    <w:lvl w:ilvl="0">
      <w:start w:val="3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96B77AD"/>
    <w:multiLevelType w:val="hybridMultilevel"/>
    <w:tmpl w:val="D19AB16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6299E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D207BF9"/>
    <w:multiLevelType w:val="hybridMultilevel"/>
    <w:tmpl w:val="84D0AE6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93"/>
    <w:rsid w:val="00000D79"/>
    <w:rsid w:val="000307B2"/>
    <w:rsid w:val="000806BB"/>
    <w:rsid w:val="00106459"/>
    <w:rsid w:val="00157DA4"/>
    <w:rsid w:val="001966B8"/>
    <w:rsid w:val="001D1158"/>
    <w:rsid w:val="001D2DE9"/>
    <w:rsid w:val="00246BF6"/>
    <w:rsid w:val="00270D6E"/>
    <w:rsid w:val="002B5604"/>
    <w:rsid w:val="002B76DF"/>
    <w:rsid w:val="003F0557"/>
    <w:rsid w:val="004E0DA5"/>
    <w:rsid w:val="00523DEC"/>
    <w:rsid w:val="00536112"/>
    <w:rsid w:val="00567FD4"/>
    <w:rsid w:val="005940CB"/>
    <w:rsid w:val="005D55C9"/>
    <w:rsid w:val="00666C2F"/>
    <w:rsid w:val="006E35F4"/>
    <w:rsid w:val="00775A37"/>
    <w:rsid w:val="00790086"/>
    <w:rsid w:val="007E551F"/>
    <w:rsid w:val="008279A0"/>
    <w:rsid w:val="00845F72"/>
    <w:rsid w:val="00881493"/>
    <w:rsid w:val="008B01FC"/>
    <w:rsid w:val="008E01B8"/>
    <w:rsid w:val="00903ADF"/>
    <w:rsid w:val="00951733"/>
    <w:rsid w:val="009B4411"/>
    <w:rsid w:val="00A04F73"/>
    <w:rsid w:val="00A7677A"/>
    <w:rsid w:val="00B404AA"/>
    <w:rsid w:val="00B7236C"/>
    <w:rsid w:val="00B97870"/>
    <w:rsid w:val="00BD0ED4"/>
    <w:rsid w:val="00D11785"/>
    <w:rsid w:val="00D213D0"/>
    <w:rsid w:val="00DB34E9"/>
    <w:rsid w:val="00E03200"/>
    <w:rsid w:val="00E6680E"/>
    <w:rsid w:val="00E861A1"/>
    <w:rsid w:val="00EC7E5C"/>
    <w:rsid w:val="00F7514D"/>
    <w:rsid w:val="00FD20FF"/>
    <w:rsid w:val="00FD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59E007"/>
  <w15:chartTrackingRefBased/>
  <w15:docId w15:val="{6E9E283A-DF1F-4B21-A9BF-3B695E31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widowControl/>
      <w:jc w:val="both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widowControl/>
      <w:spacing w:line="278" w:lineRule="exact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widowControl/>
      <w:spacing w:line="360" w:lineRule="auto"/>
      <w:jc w:val="center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widowControl/>
      <w:outlineLvl w:val="3"/>
    </w:pPr>
    <w:rPr>
      <w:rFonts w:ascii="Arial" w:hAnsi="Arial" w:cs="Arial"/>
      <w:b/>
      <w:bCs/>
      <w:sz w:val="24"/>
      <w:szCs w:val="24"/>
      <w:u w:val="single"/>
    </w:rPr>
  </w:style>
  <w:style w:type="paragraph" w:styleId="Heading5">
    <w:name w:val="heading 5"/>
    <w:basedOn w:val="Normal"/>
    <w:next w:val="Normal"/>
    <w:qFormat/>
    <w:pPr>
      <w:keepNext/>
      <w:widowControl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widowControl/>
      <w:jc w:val="right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widowControl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widowControl/>
      <w:jc w:val="center"/>
      <w:outlineLvl w:val="7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/>
      <w:jc w:val="both"/>
    </w:pPr>
    <w:rPr>
      <w:sz w:val="24"/>
      <w:szCs w:val="24"/>
    </w:rPr>
  </w:style>
  <w:style w:type="paragraph" w:styleId="BodyText2">
    <w:name w:val="Body Text 2"/>
    <w:basedOn w:val="Normal"/>
    <w:pPr>
      <w:widowControl/>
    </w:pPr>
    <w:rPr>
      <w:strike/>
      <w:sz w:val="24"/>
    </w:rPr>
  </w:style>
  <w:style w:type="paragraph" w:styleId="Title">
    <w:name w:val="Title"/>
    <w:basedOn w:val="Normal"/>
    <w:qFormat/>
    <w:pPr>
      <w:widowControl/>
      <w:jc w:val="center"/>
    </w:pPr>
    <w:rPr>
      <w:b/>
      <w:bCs/>
      <w:snapToGrid/>
      <w:sz w:val="24"/>
      <w:szCs w:val="24"/>
      <w:u w:val="single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~ </vt:lpstr>
      <vt:lpstr>~ </vt:lpstr>
    </vt:vector>
  </TitlesOfParts>
  <Company>GTM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~</dc:title>
  <dc:subject/>
  <dc:creator>BOUBKER</dc:creator>
  <cp:keywords/>
  <cp:lastModifiedBy>DELL</cp:lastModifiedBy>
  <cp:revision>7</cp:revision>
  <cp:lastPrinted>2021-09-16T15:35:00Z</cp:lastPrinted>
  <dcterms:created xsi:type="dcterms:W3CDTF">2025-01-24T13:37:00Z</dcterms:created>
  <dcterms:modified xsi:type="dcterms:W3CDTF">2025-01-24T18:13:00Z</dcterms:modified>
</cp:coreProperties>
</file>