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0000" w:color="auto" w:val="clear"/>
        <w:spacing w:after="80"/>
        <w:jc w:val="center"/>
      </w:pPr>
      <w:r>
        <w:rPr>
          <w:b/>
          <w:bCs/>
          <w:color w:val="FFFFFF"/>
          <w:sz w:val="24"/>
          <w:szCs w:val="24"/>
        </w:rPr>
        <w:t xml:space="preserve">CONFIDENCIAL — USO EXCLUSIVO DO MENTOR</w:t>
      </w:r>
    </w:p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NOTAS CONFIDENCIAIS DO MENTOR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Febracis Rio</w:t>
      </w:r>
    </w:p>
    <w:p>
      <w:pPr>
        <w:spacing w:after="320"/>
        <w:jc w:val="center"/>
      </w:pPr>
      <w:r>
        <w:rPr>
          <w:i/>
          <w:iCs/>
          <w:color w:val="595959"/>
          <w:sz w:val="22"/>
          <w:szCs w:val="22"/>
        </w:rPr>
        <w:t xml:space="preserve">Onboarding de Mentoria / Alinhamento Técnico — 06/04/2026 — 13:55 (GMT-3)</w:t>
      </w:r>
    </w:p>
    <w:p>
      <w:pPr>
        <w:shd w:fill="FFE4E4" w:color="auto" w:val="clear"/>
        <w:spacing w:after="240" w:before="120"/>
      </w:pPr>
      <w:r>
        <w:rPr>
          <w:b/>
          <w:bCs/>
          <w:color w:val="C00000"/>
          <w:sz w:val="22"/>
          <w:szCs w:val="22"/>
        </w:rPr>
        <w:br/>
        <w:t xml:space="preserve">⚠ AVISO
</w:t>
      </w:r>
      <w:r>
        <w:rPr>
          <w:color w:val="C00000"/>
          <w:sz w:val="20"/>
          <w:szCs w:val="20"/>
        </w:rPr>
        <w:t xml:space="preserve">Este documento contém a camada de análise consultiva estratégica. Sinais sutis, bandeiras amarelas, leitura de dinâmica do grupo e contradições entre discurso e dados foram registrados aqui para uso privado do mentor. NÃO compartilhe com o cliente. Leia antes de cada próxima reunião.</w:t>
      </w:r>
    </w:p>
    <w:p>
      <w:pPr>
        <w:pStyle w:val="Heading1"/>
        <w:spacing w:after="160" w:before="280"/>
      </w:pPr>
      <w:r>
        <w:rPr>
          <w:b/>
          <w:bCs/>
          <w:color w:val="1F4E79"/>
          <w:sz w:val="32"/>
          <w:szCs w:val="32"/>
        </w:rPr>
        <w:t xml:space="preserve">Contexto da Análise</w:t>
      </w:r>
    </w:p>
    <w:p>
      <w:pPr>
        <w:spacing w:after="100"/>
      </w:pPr>
      <w:r>
        <w:rPr>
          <w:sz w:val="20"/>
          <w:szCs w:val="20"/>
        </w:rPr>
        <w:t xml:space="preserve">Primeira reunião de diagnóstico após ~1 mês do fechamento da mentoria no Global (fev/2026). Objetivo imediato: aplicar funil de uma live só ao lançamento do Método CIS Presencial de agosto/2026. Cliente em operação ativa mas com múltiplos gargalos técnicos e comerciais.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Participantes: </w:t>
      </w:r>
      <w:r>
        <w:rPr>
          <w:sz w:val="20"/>
          <w:szCs w:val="20"/>
        </w:rPr>
        <w:t xml:space="preserve">Berdan + Diego (mentores) × Larissa + Bruno + Paulo + Emerson (Febracis Rio)</w:t>
      </w:r>
    </w:p>
    <w:p>
      <w:pPr>
        <w:shd w:fill="FFF4CC" w:color="auto" w:val="clear"/>
        <w:spacing w:after="160" w:before="280"/>
      </w:pPr>
      <w:r>
        <w:rPr>
          <w:b/>
          <w:bCs/>
          <w:color w:val="C00000"/>
          <w:sz w:val="28"/>
          <w:szCs w:val="28"/>
        </w:rPr>
        <w:t xml:space="preserve">🚩  A. Bandeiras Amarelas e Riscos Sutis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Paulo e Bruno questionaram diretamente o escopo no meio da reunião ("quais são as entregas?") e Paulo admitiu que a contratação com Emerson foi "na emoção".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Formalize escopo por escrito no grupo nos próximos 2 dias. Liste explicitamente: 3 meses de duração, 1 lançamento completo entregue, 2 meses de acompanhamento replicável, o que NÃO está incluso. Isso evita cobrança desencaixada daqui a 30 dias.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Emerson (o contratante) saiu no meio da reunião — tópicos de escopo adicional (agente SDR de IA) ficaram pendentes sem decisão.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Marque uma call direta e curta só com Emerson (15 min) antes da próxima reunião geral para alinhar os tópicos que precisam passar por ele. Não dependa do grupo para isso.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Febracis Rio assumiu recentemente também Brasília e Orlando. Larissa e Bruno disseram "é uma correria".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Estabeleça ritual semanal curto (20-30 min) explicitamente. Sem isso, a operação em 3 unidades vai engolir o ritmo da mentoria e o prazo de agosto se aproxima rápido.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Larissa teve crise alérgica forte durante a reunião ("rosto todo inchado"). Pode indicar fadiga operacional ou ambiente estressante da Febracis.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Na próxima comunicação, sonde disponibilidade real dela antes de marcar agenda densa. Se ela é o ponto focal de marketing e está saturada, a execução trava.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Bruno se apresentou defensivo no início ("faz anos que faço tudo assim") e só abriu após demonstração ao vivo de criação de LP em 5 minutos.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Na próxima reunião, comece com outra demonstração prática antes de qualquer orientação. Bruno aprende por evidência, não por argumento. Se começar com teoria, ele fecha de novo.</w:t>
      </w:r>
    </w:p>
    <w:p>
      <w:pPr>
        <w:shd w:fill="E2EFDA" w:color="auto" w:val="clear"/>
        <w:spacing w:after="160" w:before="280"/>
      </w:pPr>
      <w:r>
        <w:rPr>
          <w:b/>
          <w:bCs/>
          <w:color w:val="548235"/>
          <w:sz w:val="28"/>
          <w:szCs w:val="28"/>
        </w:rPr>
        <w:t xml:space="preserve">💡  B. Oportunidades Implícitas Não Ditas</w:t>
      </w:r>
    </w:p>
    <w:p>
      <w:pPr>
        <w:spacing w:after="40" w:before="120"/>
      </w:pPr>
      <w:r>
        <w:rPr>
          <w:b/>
          <w:bCs/>
          <w:color w:val="548235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Febracis Rio também opera Brasília e Orlando. A metodologia validada no Rio pode ser replicada nas outras duas unidades sem contrato adicional — é ganho escala para o cliente.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Posicione explicitamente: "o que a gente monta aqui você replica em Brasília e Orlando sem me pagar de novo". Isso justifica todo o investimento e ancora a percepção de ROI em 3x.</w:t>
      </w:r>
    </w:p>
    <w:p>
      <w:pPr>
        <w:spacing w:after="40" w:before="120"/>
      </w:pPr>
      <w:r>
        <w:rPr>
          <w:b/>
          <w:bCs/>
          <w:color w:val="548235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70 mil leads do Paulo já captados pelo time Berdan (lançamento 11/04) + base de 150k+ da Febracis Rio. Há cruzamento óbvio não explorado.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Sugira teste A/B de anúncio para base semelhante ao público Paulo × base Febracis Rio. É quick win pré-lançamento do CIS Presencial.</w:t>
      </w:r>
    </w:p>
    <w:p>
      <w:pPr>
        <w:spacing w:after="40" w:before="120"/>
      </w:pPr>
      <w:r>
        <w:rPr>
          <w:b/>
          <w:bCs/>
          <w:color w:val="548235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Larissa contratou ManyChat há 1 semana e já tirou evento orgânico de 11 para 37 pessoas. Valor percebido já é alto.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Use o ManyChat como vitrine de vitória rápida na próxima reunião — reforça que o caminho da automação dá retorno imediato e justifica migração do Cloud Market.</w:t>
      </w:r>
    </w:p>
    <w:p>
      <w:pPr>
        <w:spacing w:after="40" w:before="120"/>
      </w:pPr>
      <w:r>
        <w:rPr>
          <w:b/>
          <w:bCs/>
          <w:color w:val="548235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Problema do "Connect Rate" e pixel como 31º item na LP é extremamente específico. Qualquer mentor comum não identifica isso.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Documente essa descoberta como case interno anônimo ("unidade X"). Serve de conteúdo orgânico para redes sociais suas e materializa diferencial técnico para prospects futuros.</w:t>
      </w:r>
    </w:p>
    <w:p>
      <w:pPr>
        <w:shd w:fill="D9E2F3" w:color="auto" w:val="clear"/>
        <w:spacing w:after="160" w:before="280"/>
      </w:pPr>
      <w:r>
        <w:rPr>
          <w:b/>
          <w:bCs/>
          <w:color w:val="2E75B6"/>
          <w:sz w:val="28"/>
          <w:szCs w:val="28"/>
        </w:rPr>
        <w:t xml:space="preserve">👥  C. Leitura de Tônus / Dinâmica do Grupo</w:t>
      </w:r>
    </w:p>
    <w:p>
      <w:pPr>
        <w:spacing w:after="40" w:before="120"/>
      </w:pPr>
      <w:r>
        <w:rPr>
          <w:b/>
          <w:bCs/>
          <w:color w:val="2E75B6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Larissa é a decisora operacional real (contratou o Short.io na própria reunião). Bruno tem autoridade técnica mas opera sob o ritmo dela.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Direcione comunicações práticas à Larissa (ferramentas, agenda, decisões do dia-a-dia). Para Bruno, envie materiais técnicos separados (diagnóstico de LP, etc). Respeita a divisão que já existe.</w:t>
      </w:r>
    </w:p>
    <w:p>
      <w:pPr>
        <w:spacing w:after="40" w:before="120"/>
      </w:pPr>
      <w:r>
        <w:rPr>
          <w:b/>
          <w:bCs/>
          <w:color w:val="2E75B6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Paulo entrou tarde ("bonde andando") e fez as perguntas mais incômodas sobre entregáveis. É o sócio crítico/cético do grupo.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Inclua Paulo em comunicações formais de escopo/contrato. Se ele ficar alinhado, o resto do grupo segue. Se ele ficar com pulga atrás da orelha, vira ruído constante.</w:t>
      </w:r>
    </w:p>
    <w:p>
      <w:pPr>
        <w:spacing w:after="40" w:before="120"/>
      </w:pPr>
      <w:r>
        <w:rPr>
          <w:b/>
          <w:bCs/>
          <w:color w:val="2E75B6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Emerson é o contratante mas não está operacionalmente engajado. Falou pouco e saiu antes do fim.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Evite depender dele para decisões executivas. Use-o só como sponsor / dono do orçamento. Comunicações operacionais vão para Larissa/Bruno.</w:t>
      </w:r>
    </w:p>
    <w:p>
      <w:pPr>
        <w:spacing w:after="40" w:before="120"/>
      </w:pPr>
      <w:r>
        <w:rPr>
          <w:b/>
          <w:bCs/>
          <w:color w:val="2E75B6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Tom geral foi colaborativo mas a reunião claramente revelou que a expectativa entre Emerson (contratante) e o resto do time não estava 100% alinhada.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Registre no grupo uma ata de 1 parágrafo logo após cada reunião, com as decisões tomadas. Isso fecha qualquer assimetria de informação entre quem estava presente e quem não.</w:t>
      </w:r>
    </w:p>
    <w:p>
      <w:pPr>
        <w:shd w:fill="FFE4E4" w:color="auto" w:val="clear"/>
        <w:spacing w:after="160" w:before="280"/>
      </w:pPr>
      <w:r>
        <w:rPr>
          <w:b/>
          <w:bCs/>
          <w:color w:val="C00000"/>
          <w:sz w:val="28"/>
          <w:szCs w:val="28"/>
        </w:rPr>
        <w:t xml:space="preserve">⚖  D. Contradições Entre Discurso e Dados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Febracis Rio diz ter 150 mil leads na base, mas admite que o Salesforce duplica leads (Larissa criou 5 registros com o mesmo email testando). O número real pode ser significativamente menor.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Antes de qualquer campanha, rode dedupe por email único. Se sobrar 40-60 mil leads reais, a estratégia de alcance muda completamente. O número de 150k é falsamente tranquilizador.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Larissa disse que "a gente trabalha base de clientes e base de leads semanalmente" mas em mar/2026 o investimento de R$ 20 mil em tráfego gerou só 9 vendas. Desconexão entre intensidade de comunicação declarada e conversão real.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Peça métricas específicas: taxa de abertura, CTR por campanha, e conversão real por email enviado. Provavelmente a comunicação é alta mas a efetividade é baixa — o email virou spam para a própria base.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Bruno disse "eu faço tudo" referindo-se a LPs, tráfego, integrações, WordPress, infra. Ao mesmo tempo, admitiu que gasta 1 semana para fazer uma LP e que não usa mapa de calor.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O que parece autonomia é na verdade gargalo disfarçado. Na próxima reunião, documente quanto tempo Bruno gasta por tarefa/semana. Se for 40h+ só em operação manual, a mentoria precisa priorizar desbloquear Bruno antes de escalar qualquer coisa.</w:t>
      </w:r>
    </w:p>
    <w:p>
      <w:pPr>
        <w:spacing w:after="40" w:before="120"/>
      </w:pPr>
      <w:r>
        <w:rPr>
          <w:b/>
          <w:bCs/>
          <w:color w:val="C00000"/>
          <w:sz w:val="20"/>
          <w:szCs w:val="20"/>
        </w:rPr>
        <w:t xml:space="preserve">Observação: </w:t>
      </w:r>
      <w:r>
        <w:rPr>
          <w:sz w:val="20"/>
          <w:szCs w:val="20"/>
        </w:rPr>
        <w:t xml:space="preserve">Febracis Rio diz "focar em público semelhante" mas em 2025 teve apenas 9 vendas do tráfego em um mês. Se o público semelhante fosse realmente bem calibrado, o CAC seria radicalmente menor.</w:t>
      </w:r>
    </w:p>
    <w:p>
      <w:pPr>
        <w:spacing w:after="160"/>
        <w:ind w:left="360"/>
      </w:pPr>
      <w:r>
        <w:rPr>
          <w:b/>
          <w:bCs/>
          <w:color w:val="595959"/>
          <w:sz w:val="20"/>
          <w:szCs w:val="20"/>
        </w:rPr>
        <w:t xml:space="preserve">→ Recomendação: </w:t>
      </w:r>
      <w:r>
        <w:rPr>
          <w:sz w:val="20"/>
          <w:szCs w:val="20"/>
        </w:rPr>
        <w:t xml:space="preserve">Sugira pesquisa comportamental antes de gastar mais em tráfego. O problema provavelmente está no criativo/narrativa, não no segmento. Rodar diagnóstico estilo Camila pode ser o atalho.</w:t>
      </w:r>
    </w:p>
    <w:p>
      <w:pPr>
        <w:pStyle w:val="Heading1"/>
        <w:spacing w:after="160" w:before="280"/>
      </w:pPr>
      <w:r>
        <w:rPr>
          <w:b/>
          <w:bCs/>
          <w:color w:val="1F4E79"/>
          <w:sz w:val="32"/>
          <w:szCs w:val="32"/>
        </w:rPr>
        <w:t xml:space="preserve">Lacunas que Merecem Ser Sondadas na Próxima Reunião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Perguntas críticas que não foram feitas (ou não foram respondidas satisfatoriamente) e que podem destravar ou revelar riscos: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Qual é o CAC real do Método CIS (sem contar upsells)? Mencionaram vendas misturadas com BHP, Master, ML5 — sem segmentação, o ROI do tráfego é uma caixa preta.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Quem é o responsável atual pelo marketing da Febracis Holding? (Viviane antes, agora indefinido.) Pode destravar acesso a criativos validados do Paulo.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Emerson aceita contratar o escopo adicional do agente SDR de IA? Ou prefere manter as 3 consultoras?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Existe algum teste A/B atual rodando para validar copies? (Provavelmente não — vale introduzir como prática.)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Como é a relação financeira com a Holding? Royalties? Split? Isso afeta margem e portanto disposição para investir em tráfego.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Larissa tem backup operacional? Se ela tirar férias ou tiver problema de saúde, quem opera a mentoria?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Existe calendário global dos lançamentos Holding (BH, Rio, Brasília, Orlando) para evitar canibalização de tráfego entre unidades?</w:t>
      </w:r>
    </w:p>
    <w:p>
      <w:pPr>
        <w:spacing w:after="120" w:before="320"/>
      </w:pPr>
      <w:r>
        <w:rPr>
          <w:color w:val="595959"/>
          <w:sz w:val="16"/>
          <w:szCs w:val="16"/>
        </w:rPr>
        <w:t xml:space="preserve">—————————————————————</w:t>
      </w:r>
    </w:p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Arquivo de origem: Febracis-Rio-dqt-tsuf-rbn (2026-04-06 13 55 GMT-3).txt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Notas Confidenciais — Febracis Rio —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00000"/>
        <w:sz w:val="16"/>
        <w:szCs w:val="16"/>
      </w:rPr>
      <w:t xml:space="preserve">⚠ CONFIDENCIAL — USO INTERNO DO MENTOR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 Confidenciais - Febracis Rio</dc:title>
  <dc:creator>Berdan</dc:creator>
  <cp:lastModifiedBy>Un-named</cp:lastModifiedBy>
  <cp:revision>1</cp:revision>
  <dcterms:created xsi:type="dcterms:W3CDTF">2026-04-15T18:19:09.999Z</dcterms:created>
  <dcterms:modified xsi:type="dcterms:W3CDTF">2026-04-15T18:19:10.000Z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