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jc w:val="center"/>
      </w:pPr>
      <w:r>
        <w:rPr>
          <w:b/>
          <w:bCs/>
          <w:color w:val="9A7B2F"/>
          <w:sz w:val="44"/>
          <w:szCs w:val="44"/>
        </w:rPr>
        <w:t xml:space="preserve">PACIFIC ELITE RIDES</w:t>
      </w:r>
    </w:p>
    <w:p>
      <w:pPr>
        <w:spacing w:after="100" w:before="120"/>
        <w:jc w:val="center"/>
      </w:pPr>
      <w:r>
        <w:rPr>
          <w:color w:val="1A1A1A"/>
          <w:sz w:val="28"/>
          <w:szCs w:val="28"/>
        </w:rPr>
        <w:t xml:space="preserve">Content Strategy: Driving Direct Private-Ride Bookings</w:t>
      </w:r>
    </w:p>
    <w:p>
      <w:pPr>
        <w:spacing w:after="300"/>
        <w:jc w:val="center"/>
      </w:pPr>
      <w:r>
        <w:rPr>
          <w:i/>
          <w:iCs/>
          <w:color w:val="555555"/>
          <w:sz w:val="20"/>
          <w:szCs w:val="20"/>
        </w:rPr>
        <w:t xml:space="preserve">A website + social content plan to shift volume from platform dispatch (Uber Black / Lyft) toward higher-margin direct bookings</w:t>
      </w:r>
    </w:p>
    <w:p>
      <w:pPr>
        <w:spacing w:after="500"/>
        <w:jc w:val="center"/>
      </w:pPr>
      <w:r>
        <w:rPr>
          <w:color w:val="555555"/>
          <w:sz w:val="18"/>
          <w:szCs w:val="18"/>
        </w:rPr>
        <w:t xml:space="preserve">Prepared for Andrii Berdnikov  ·  July 10, 2026  ·  pacificeliterides.com</w:t>
      </w:r>
    </w:p>
    <w:p>
      <w:pPr>
        <w:pBdr>
          <w:bottom w:val="single" w:color="CCCCCC" w:sz="6" w:space="1"/>
        </w:pBdr>
        <w:spacing w:after="200"/>
      </w:pPr>
    </w:p>
    <w:p>
      <w:pPr>
        <w:pStyle w:val="Heading1"/>
        <w:spacing w:after="180" w:before="380"/>
      </w:pPr>
      <w:r>
        <w:t xml:space="preserve">1. Goal &amp; Business Snapshot</w:t>
      </w:r>
    </w:p>
    <w:p>
      <w:pPr>
        <w:spacing w:after="160"/>
      </w:pPr>
      <w:r>
        <w:t xml:space="preserve">Primary goal: grow the share of revenue coming from direct-booked private rides (website, phone, referral) rather than Uber Black / Lyft SUV dispatch. Direct bookings carry no platform commission and are the highest-margin segment of the business — content is the lowest-cost lever available to grow them.</w:t>
      </w:r>
    </w:p>
    <w:p>
      <w:pPr>
        <w:spacing w:after="60" w:before="100"/>
      </w:pPr>
      <w:r>
        <w:rPr>
          <w:b/>
          <w:bCs/>
          <w:color w:val="9A7B2F"/>
          <w:sz w:val="20"/>
          <w:szCs w:val="20"/>
        </w:rPr>
        <w:t xml:space="preserve">Current position</w:t>
      </w:r>
    </w:p>
    <w:p>
      <w:pPr>
        <w:pStyle w:val="ListParagraph"/>
        <w:numPr>
          <w:ilvl w:val="0"/>
          <w:numId w:val="2"/>
        </w:numPr>
        <w:spacing w:after="80"/>
      </w:pPr>
      <w:r>
        <w:t xml:space="preserve">Live bilingual (EN/ES) website at pacificeliterides.com with Home, Services, About, and Booking pages</w:t>
      </w:r>
    </w:p>
    <w:p>
      <w:pPr>
        <w:pStyle w:val="ListParagraph"/>
        <w:numPr>
          <w:ilvl w:val="0"/>
          <w:numId w:val="2"/>
        </w:numPr>
        <w:spacing w:after="80"/>
      </w:pPr>
      <w:r>
        <w:t xml:space="preserve">Instagram presence started (@pacificeliterides); no blog content published yet</w:t>
      </w:r>
    </w:p>
    <w:p>
      <w:pPr>
        <w:pStyle w:val="ListParagraph"/>
        <w:numPr>
          <w:ilvl w:val="0"/>
          <w:numId w:val="2"/>
        </w:numPr>
        <w:spacing w:after="80"/>
      </w:pPr>
      <w:r>
        <w:t xml:space="preserve">Services &amp; starting rates: Airport Transfers from $60 one-way · Corporate rides $90/hr · Sprinter van $160/hr (4-hr min, up to 14 passengers) · VIP/Events custom quote</w:t>
      </w:r>
    </w:p>
    <w:p>
      <w:pPr>
        <w:pStyle w:val="ListParagraph"/>
        <w:numPr>
          <w:ilvl w:val="0"/>
          <w:numId w:val="2"/>
        </w:numPr>
        <w:spacing w:after="80"/>
      </w:pPr>
      <w:r>
        <w:t xml:space="preserve">Service area: San Diego metro (Downtown, La Jolla, Coronado, Mission Valley), SAN airport (primary hub), North County (Del Mar, Encinitas, Carlsbad, Oceanside), East County (El Cajon, Santee, La Mesa, Poway), LAX, and Temecula wine country</w:t>
      </w:r>
    </w:p>
    <w:p>
      <w:pPr>
        <w:pStyle w:val="ListParagraph"/>
        <w:numPr>
          <w:ilvl w:val="0"/>
          <w:numId w:val="2"/>
        </w:numPr>
        <w:spacing w:after="80"/>
      </w:pPr>
      <w:r>
        <w:t xml:space="preserve">Fleet: Escalade, Suburban, Sprinter van, stretch limo · 24/7 availability, bilingual chauffeur · 500+ rides completed, 4.9★ average</w:t>
      </w:r>
    </w:p>
    <w:p>
      <w:pPr>
        <w:pStyle w:val="Heading1"/>
        <w:spacing w:after="180" w:before="380"/>
      </w:pPr>
      <w:r>
        <w:t xml:space="preserve">2. Target Audience</w:t>
      </w:r>
    </w:p>
    <w:p>
      <w:pPr>
        <w:pStyle w:val="Heading2"/>
        <w:spacing w:after="120" w:before="260"/>
      </w:pPr>
      <w:r>
        <w:t xml:space="preserve">Business travelers &amp; executives</w:t>
      </w:r>
    </w:p>
    <w:p>
      <w:pPr>
        <w:spacing w:after="160"/>
      </w:pPr>
      <w:r>
        <w:t xml:space="preserve">Fly through SAN/LAX, value reliability over price, care about flight tracking and meet-and-greet. Reached through airport-transfer and corporate content, mostly via Google search.</w:t>
      </w:r>
    </w:p>
    <w:p>
      <w:pPr>
        <w:pStyle w:val="Heading2"/>
        <w:spacing w:after="120" w:before="260"/>
      </w:pPr>
      <w:r>
        <w:t xml:space="preserve">Companies with recurring travel needs</w:t>
      </w:r>
    </w:p>
    <w:p>
      <w:pPr>
        <w:spacing w:after="160"/>
      </w:pPr>
      <w:r>
        <w:t xml:space="preserve">Book multi-stop days, roadshows, and want consolidated monthly invoicing. Reached through corporate-account content, LinkedIn, and direct outreach.</w:t>
      </w:r>
    </w:p>
    <w:p>
      <w:pPr>
        <w:pStyle w:val="Heading2"/>
        <w:spacing w:after="120" w:before="260"/>
      </w:pPr>
      <w:r>
        <w:t xml:space="preserve">Wedding, event &amp; wine-tour groups</w:t>
      </w:r>
    </w:p>
    <w:p>
      <w:pPr>
        <w:spacing w:after="160"/>
      </w:pPr>
      <w:r>
        <w:t xml:space="preserve">Planning a wedding, gala, stadium outing, or Temecula wine trip. Highly visual, highly shareable, booked months in advance. Reached through Instagram and venue/planner partnerships.</w:t>
      </w:r>
    </w:p>
    <w:p>
      <w:pPr>
        <w:pStyle w:val="Heading2"/>
        <w:spacing w:after="120" w:before="260"/>
      </w:pPr>
      <w:r>
        <w:t xml:space="preserve">Bilingual &amp; cross-border clients</w:t>
      </w:r>
    </w:p>
    <w:p>
      <w:pPr>
        <w:spacing w:after="160"/>
      </w:pPr>
      <w:r>
        <w:t xml:space="preserve">San Diego's large Spanish-speaking population and Tijuana border proximity are underserved — nearly every competitor publishes English-only content. Your bilingual site is a real, defensible advantage worth building content around, not just a translated menu.</w:t>
      </w:r>
    </w:p>
    <w:p>
      <w:pPr>
        <w:pStyle w:val="Heading1"/>
        <w:spacing w:after="180" w:before="380"/>
      </w:pPr>
      <w:r>
        <w:t xml:space="preserve">3. Competitive Landscape</w:t>
      </w:r>
    </w:p>
    <w:p>
      <w:pPr>
        <w:spacing w:after="160"/>
      </w:pPr>
      <w:r>
        <w:t xml:space="preserve">Search results for San Diego black-car service surface: Pompeii Limousine, Royal Knights Limousine, Five Star Limo, Black Falcon Transportation, Rides On Time, ExecuCar, and Uber Black itself as the dispatch alternative.</w:t>
      </w:r>
    </w:p>
    <w:p>
      <w:pPr>
        <w:spacing w:after="60" w:before="100"/>
      </w:pPr>
      <w:r>
        <w:rPr>
          <w:b/>
          <w:bCs/>
          <w:color w:val="9A7B2F"/>
          <w:sz w:val="20"/>
          <w:szCs w:val="20"/>
        </w:rPr>
        <w:t xml:space="preserve">Where they're weak — your openings</w:t>
      </w:r>
    </w:p>
    <w:p>
      <w:pPr>
        <w:pStyle w:val="ListParagraph"/>
        <w:numPr>
          <w:ilvl w:val="0"/>
          <w:numId w:val="2"/>
        </w:numPr>
        <w:spacing w:after="80"/>
      </w:pPr>
      <w:r>
        <w:t xml:space="preserve">Almost none publish real blog content; most sites are service pages plus a generic FAQ. A content presence is close to an empty field.</w:t>
      </w:r>
    </w:p>
    <w:p>
      <w:pPr>
        <w:pStyle w:val="ListParagraph"/>
        <w:numPr>
          <w:ilvl w:val="0"/>
          <w:numId w:val="2"/>
        </w:numPr>
        <w:spacing w:after="80"/>
      </w:pPr>
      <w:r>
        <w:t xml:space="preserve">English-only across the board — bilingual EN/ES content is a genuine gap, not just a nice-to-have.</w:t>
      </w:r>
    </w:p>
    <w:p>
      <w:pPr>
        <w:pStyle w:val="ListParagraph"/>
        <w:numPr>
          <w:ilvl w:val="0"/>
          <w:numId w:val="2"/>
        </w:numPr>
        <w:spacing w:after="80"/>
      </w:pPr>
      <w:r>
        <w:t xml:space="preserve">Nobody directly addresses “Uber Black vs. private car service” — a natural comparison for you to own, since you operate on both sides of that trade today.</w:t>
      </w:r>
    </w:p>
    <w:p>
      <w:pPr>
        <w:pStyle w:val="ListParagraph"/>
        <w:numPr>
          <w:ilvl w:val="0"/>
          <w:numId w:val="2"/>
        </w:numPr>
        <w:spacing w:after="80"/>
      </w:pPr>
      <w:r>
        <w:t xml:space="preserve">Hyper-local content (named venues, neighborhoods, wineries) is thin industry-wide — an opening for content that both ranks and builds real partnerships.</w:t>
      </w:r>
    </w:p>
    <w:p>
      <w:r>
        <w:br w:type="page"/>
      </w:r>
    </w:p>
    <w:p>
      <w:pPr>
        <w:pStyle w:val="Heading1"/>
        <w:spacing w:after="180" w:before="380"/>
      </w:pPr>
      <w:r>
        <w:t xml:space="preserve">4. Content Pillars</w:t>
      </w:r>
    </w:p>
    <w:p>
      <w:pPr>
        <w:spacing w:after="160"/>
      </w:pPr>
      <w:r>
        <w:t xml:space="preserve">Four pillars. Every piece of content should trace back to one of these — if it doesn't, cut it.</w:t>
      </w:r>
    </w:p>
    <w:p>
      <w:pPr>
        <w:pStyle w:val="Heading2"/>
        <w:spacing w:after="120" w:before="260"/>
      </w:pPr>
      <w:r>
        <w:t xml:space="preserve">Pillar A — Airport Transfers (SAN / LAX / CBX)</w:t>
      </w:r>
    </w:p>
    <w:p>
      <w:pPr>
        <w:spacing w:after="160"/>
      </w:pPr>
      <w:r>
        <w:rPr>
          <w:i/>
          <w:iCs/>
          <w:color w:val="555555"/>
        </w:rPr>
        <w:t xml:space="preserve">Why: highest search intent of anything on the site — “most popular” per your own services page. Someone searching for an airport ride already has money in hand and a deadline; this is the best-converting content you can write.</w:t>
      </w:r>
    </w:p>
    <w:p>
      <w:pPr>
        <w:pStyle w:val="ListParagraph"/>
        <w:numPr>
          <w:ilvl w:val="0"/>
          <w:numId w:val="2"/>
        </w:numPr>
        <w:spacing w:after="80"/>
      </w:pPr>
      <w:r>
        <w:t xml:space="preserve">SAN Airport transfer guide — terminal-by-terminal pickup instructions</w:t>
      </w:r>
    </w:p>
    <w:p>
      <w:pPr>
        <w:pStyle w:val="ListParagraph"/>
        <w:numPr>
          <w:ilvl w:val="0"/>
          <w:numId w:val="2"/>
        </w:numPr>
        <w:spacing w:after="80"/>
      </w:pPr>
      <w:r>
        <w:t xml:space="preserve">San Diego to LAX: price, drive time, and what to expect</w:t>
      </w:r>
    </w:p>
    <w:p>
      <w:pPr>
        <w:pStyle w:val="ListParagraph"/>
        <w:numPr>
          <w:ilvl w:val="0"/>
          <w:numId w:val="2"/>
        </w:numPr>
        <w:spacing w:after="80"/>
      </w:pPr>
      <w:r>
        <w:t xml:space="preserve">Cross Border Xpress (CBX) transfer guide — bilingual, underserved (see note below)</w:t>
      </w:r>
    </w:p>
    <w:p>
      <w:pPr>
        <w:pStyle w:val="ListParagraph"/>
        <w:numPr>
          <w:ilvl w:val="0"/>
          <w:numId w:val="2"/>
        </w:numPr>
        <w:spacing w:after="80"/>
      </w:pPr>
      <w:r>
        <w:t xml:space="preserve">Uber Black vs. private car service at SAN — a direct comparison</w:t>
      </w:r>
    </w:p>
    <w:p>
      <w:pPr>
        <w:pStyle w:val="ListParagraph"/>
        <w:numPr>
          <w:ilvl w:val="0"/>
          <w:numId w:val="2"/>
        </w:numPr>
        <w:spacing w:after="80"/>
      </w:pPr>
      <w:r>
        <w:t xml:space="preserve">Neighborhood-to-airport guides: La Jolla, Coronado, Del Mar</w:t>
      </w:r>
    </w:p>
    <w:p>
      <w:pPr>
        <w:pStyle w:val="Heading2"/>
        <w:spacing w:after="120" w:before="260"/>
      </w:pPr>
      <w:r>
        <w:t xml:space="preserve">Pillar B — Corporate &amp; Executive Travel</w:t>
      </w:r>
    </w:p>
    <w:p>
      <w:pPr>
        <w:spacing w:after="160"/>
      </w:pPr>
      <w:r>
        <w:rPr>
          <w:i/>
          <w:iCs/>
          <w:color w:val="555555"/>
        </w:rPr>
        <w:t xml:space="preserve">Why: matches the $90/hr corporate rate and “accounts available” messaging already on the site — this pillar turns that line item into content that supports the sale.</w:t>
      </w:r>
    </w:p>
    <w:p>
      <w:pPr>
        <w:pStyle w:val="ListParagraph"/>
        <w:numPr>
          <w:ilvl w:val="0"/>
          <w:numId w:val="2"/>
        </w:numPr>
        <w:spacing w:after="80"/>
      </w:pPr>
      <w:r>
        <w:t xml:space="preserve">How corporate car accounts work — billing, invoicing, booking flow</w:t>
      </w:r>
    </w:p>
    <w:p>
      <w:pPr>
        <w:pStyle w:val="ListParagraph"/>
        <w:numPr>
          <w:ilvl w:val="0"/>
          <w:numId w:val="2"/>
        </w:numPr>
        <w:spacing w:after="80"/>
      </w:pPr>
      <w:r>
        <w:t xml:space="preserve">Managing a multi-stop executive day: roadshows &amp; client pickups</w:t>
      </w:r>
    </w:p>
    <w:p>
      <w:pPr>
        <w:pStyle w:val="ListParagraph"/>
        <w:numPr>
          <w:ilvl w:val="0"/>
          <w:numId w:val="2"/>
        </w:numPr>
        <w:spacing w:after="80"/>
      </w:pPr>
      <w:r>
        <w:t xml:space="preserve">Hourly vs. point-to-point: which is right for your team</w:t>
      </w:r>
    </w:p>
    <w:p>
      <w:pPr>
        <w:pStyle w:val="ListParagraph"/>
        <w:numPr>
          <w:ilvl w:val="0"/>
          <w:numId w:val="2"/>
        </w:numPr>
        <w:spacing w:after="80"/>
      </w:pPr>
      <w:r>
        <w:t xml:space="preserve">Making the right first impression — client-pickup etiquette guide</w:t>
      </w:r>
    </w:p>
    <w:p>
      <w:pPr>
        <w:pStyle w:val="Heading2"/>
        <w:spacing w:after="120" w:before="260"/>
      </w:pPr>
      <w:r>
        <w:t xml:space="preserve">Pillar C — Weddings, Events &amp; Wine Tours</w:t>
      </w:r>
    </w:p>
    <w:p>
      <w:pPr>
        <w:spacing w:after="160"/>
      </w:pPr>
      <w:r>
        <w:rPr>
          <w:i/>
          <w:iCs/>
          <w:color w:val="555555"/>
        </w:rPr>
        <w:t xml:space="preserve">Why: your highest-emotion, most shareable material. The Sprinter and limo lines are barely used in content today, and Temecula wineries plus SD wedding venues are natural partners and link sources.</w:t>
      </w:r>
    </w:p>
    <w:p>
      <w:pPr>
        <w:pStyle w:val="ListParagraph"/>
        <w:numPr>
          <w:ilvl w:val="0"/>
          <w:numId w:val="2"/>
        </w:numPr>
        <w:spacing w:after="80"/>
      </w:pPr>
      <w:r>
        <w:t xml:space="preserve">Wedding transportation planning checklist (EN/ES)</w:t>
      </w:r>
    </w:p>
    <w:p>
      <w:pPr>
        <w:pStyle w:val="ListParagraph"/>
        <w:numPr>
          <w:ilvl w:val="0"/>
          <w:numId w:val="2"/>
        </w:numPr>
        <w:spacing w:after="80"/>
      </w:pPr>
      <w:r>
        <w:t xml:space="preserve">Temecula wine tour guide featuring the Sprinter van</w:t>
      </w:r>
    </w:p>
    <w:p>
      <w:pPr>
        <w:pStyle w:val="ListParagraph"/>
        <w:numPr>
          <w:ilvl w:val="0"/>
          <w:numId w:val="2"/>
        </w:numPr>
        <w:spacing w:after="80"/>
      </w:pPr>
      <w:r>
        <w:t xml:space="preserve">Stadium &amp; event-day transportation: Petco Park, Snapdragon, SoFi</w:t>
      </w:r>
    </w:p>
    <w:p>
      <w:pPr>
        <w:pStyle w:val="ListParagraph"/>
        <w:numPr>
          <w:ilvl w:val="0"/>
          <w:numId w:val="2"/>
        </w:numPr>
        <w:spacing w:after="80"/>
      </w:pPr>
      <w:r>
        <w:t xml:space="preserve">Client story: behind a real wedding or milestone event booking</w:t>
      </w:r>
    </w:p>
    <w:p>
      <w:pPr>
        <w:pStyle w:val="Heading2"/>
        <w:spacing w:after="120" w:before="260"/>
      </w:pPr>
      <w:r>
        <w:t xml:space="preserve">Pillar D — Why Book Direct (vs. Uber Black / Lyft)</w:t>
      </w:r>
    </w:p>
    <w:p>
      <w:pPr>
        <w:spacing w:after="160"/>
      </w:pPr>
      <w:r>
        <w:rPr>
          <w:i/>
          <w:iCs/>
          <w:color w:val="555555"/>
        </w:rPr>
        <w:t xml:space="preserve">Why: this pillar serves your goal directly. No competitor can write this credibly because none of them also run an Uber Black business to compare against — you can, so own it.</w:t>
      </w:r>
    </w:p>
    <w:p>
      <w:pPr>
        <w:pStyle w:val="ListParagraph"/>
        <w:numPr>
          <w:ilvl w:val="0"/>
          <w:numId w:val="2"/>
        </w:numPr>
        <w:spacing w:after="80"/>
      </w:pPr>
      <w:r>
        <w:t xml:space="preserve">Uber Black vs. private car service: what actually changes for you</w:t>
      </w:r>
    </w:p>
    <w:p>
      <w:pPr>
        <w:pStyle w:val="ListParagraph"/>
        <w:numPr>
          <w:ilvl w:val="0"/>
          <w:numId w:val="2"/>
        </w:numPr>
        <w:spacing w:after="80"/>
      </w:pPr>
      <w:r>
        <w:t xml:space="preserve">No surge pricing — how flat-rate direct booking works</w:t>
      </w:r>
    </w:p>
    <w:p>
      <w:pPr>
        <w:pStyle w:val="ListParagraph"/>
        <w:numPr>
          <w:ilvl w:val="0"/>
          <w:numId w:val="2"/>
        </w:numPr>
        <w:spacing w:after="80"/>
      </w:pPr>
      <w:r>
        <w:t xml:space="preserve">Meet the driver: an owner-operator trust/behind-the-scenes post</w:t>
      </w:r>
    </w:p>
    <w:p>
      <w:pPr>
        <w:pStyle w:val="ListParagraph"/>
        <w:numPr>
          <w:ilvl w:val="0"/>
          <w:numId w:val="2"/>
        </w:numPr>
        <w:spacing w:after="80"/>
      </w:pPr>
      <w:r>
        <w:t xml:space="preserve">Direct-booking referral incentive announcement</w:t>
      </w:r>
    </w:p>
    <w:p>
      <w:r>
        <w:br w:type="page"/>
      </w:r>
    </w:p>
    <w:p>
      <w:pPr>
        <w:pStyle w:val="Heading1"/>
        <w:spacing w:after="180" w:before="380"/>
      </w:pPr>
      <w:r>
        <w:t xml:space="preserve">5. Priority Topics</w:t>
      </w:r>
    </w:p>
    <w:p>
      <w:pPr>
        <w:spacing w:after="160"/>
      </w:pPr>
      <w:r>
        <w:t xml:space="preserve">Ranked using customer impact (40%), fit with the direct-booking goal (30%), search potential (20%), and effort required (10%). 10 is highest.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1400"/>
        <w:gridCol w:w="1660"/>
        <w:gridCol w:w="1600"/>
      </w:tblGrid>
      <w:tr>
        <w:trPr>
          <w:tblHeader/>
        </w:trPr>
        <w:tc>
          <w:tcPr>
            <w:tcW w:type="dxa" w:w="3800"/>
            <w:shd w:fill="1A1A1A" w:val="clear"/>
            <w:tcMar>
              <w:top w:type="dxa" w:w="80"/>
              <w:left w:type="dxa" w:w="100"/>
              <w:bottom w:type="dxa" w:w="80"/>
              <w:right w:type="dxa" w:w="100"/>
            </w:tcMar>
            <w:vAlign w:val="center"/>
          </w:tcPr>
          <w:p>
            <w:pPr>
              <w:jc w:val="left"/>
            </w:pPr>
            <w:r>
              <w:rPr>
                <w:b/>
                <w:bCs/>
                <w:color w:val="FFFFFF"/>
                <w:sz w:val="18"/>
                <w:szCs w:val="18"/>
              </w:rPr>
              <w:t xml:space="preserve">Topic</w:t>
            </w:r>
          </w:p>
        </w:tc>
        <w:tc>
          <w:tcPr>
            <w:tcW w:type="dxa" w:w="900"/>
            <w:shd w:fill="1A1A1A" w:val="clear"/>
            <w:tcMar>
              <w:top w:type="dxa" w:w="80"/>
              <w:left w:type="dxa" w:w="100"/>
              <w:bottom w:type="dxa" w:w="80"/>
              <w:right w:type="dxa" w:w="100"/>
            </w:tcMar>
            <w:vAlign w:val="center"/>
          </w:tcPr>
          <w:p>
            <w:pPr>
              <w:jc w:val="left"/>
            </w:pPr>
            <w:r>
              <w:rPr>
                <w:b/>
                <w:bCs/>
                <w:color w:val="FFFFFF"/>
                <w:sz w:val="18"/>
                <w:szCs w:val="18"/>
              </w:rPr>
              <w:t xml:space="preserve">Pillar</w:t>
            </w:r>
          </w:p>
        </w:tc>
        <w:tc>
          <w:tcPr>
            <w:tcW w:type="dxa" w:w="1400"/>
            <w:shd w:fill="1A1A1A" w:val="clear"/>
            <w:tcMar>
              <w:top w:type="dxa" w:w="80"/>
              <w:left w:type="dxa" w:w="100"/>
              <w:bottom w:type="dxa" w:w="80"/>
              <w:right w:type="dxa" w:w="100"/>
            </w:tcMar>
            <w:vAlign w:val="center"/>
          </w:tcPr>
          <w:p>
            <w:pPr>
              <w:jc w:val="left"/>
            </w:pPr>
            <w:r>
              <w:rPr>
                <w:b/>
                <w:bCs/>
                <w:color w:val="FFFFFF"/>
                <w:sz w:val="18"/>
                <w:szCs w:val="18"/>
              </w:rPr>
              <w:t xml:space="preserve">Type</w:t>
            </w:r>
          </w:p>
        </w:tc>
        <w:tc>
          <w:tcPr>
            <w:tcW w:type="dxa" w:w="1660"/>
            <w:shd w:fill="1A1A1A" w:val="clear"/>
            <w:tcMar>
              <w:top w:type="dxa" w:w="80"/>
              <w:left w:type="dxa" w:w="100"/>
              <w:bottom w:type="dxa" w:w="80"/>
              <w:right w:type="dxa" w:w="100"/>
            </w:tcMar>
            <w:vAlign w:val="center"/>
          </w:tcPr>
          <w:p>
            <w:pPr>
              <w:jc w:val="left"/>
            </w:pPr>
            <w:r>
              <w:rPr>
                <w:b/>
                <w:bCs/>
                <w:color w:val="FFFFFF"/>
                <w:sz w:val="18"/>
                <w:szCs w:val="18"/>
              </w:rPr>
              <w:t xml:space="preserve">Buyer Stage</w:t>
            </w:r>
          </w:p>
        </w:tc>
        <w:tc>
          <w:tcPr>
            <w:tcW w:type="dxa" w:w="1600"/>
            <w:shd w:fill="1A1A1A" w:val="clear"/>
            <w:tcMar>
              <w:top w:type="dxa" w:w="80"/>
              <w:left w:type="dxa" w:w="100"/>
              <w:bottom w:type="dxa" w:w="80"/>
              <w:right w:type="dxa" w:w="100"/>
            </w:tcMar>
            <w:vAlign w:val="center"/>
          </w:tcPr>
          <w:p>
            <w:pPr>
              <w:jc w:val="left"/>
            </w:pPr>
            <w:r>
              <w:rPr>
                <w:b/>
                <w:bCs/>
                <w:color w:val="FFFFFF"/>
                <w:sz w:val="18"/>
                <w:szCs w:val="18"/>
              </w:rPr>
              <w:t xml:space="preserve">Score</w:t>
            </w:r>
          </w:p>
        </w:tc>
      </w:tr>
      <w:tr>
        <w:tc>
          <w:tcPr>
            <w:tcW w:type="dxa" w:w="3800"/>
            <w:shd w:fill="F2F0EA" w:val="clear"/>
            <w:tcMar>
              <w:top w:type="dxa" w:w="80"/>
              <w:left w:type="dxa" w:w="100"/>
              <w:bottom w:type="dxa" w:w="80"/>
              <w:right w:type="dxa" w:w="100"/>
            </w:tcMar>
            <w:vAlign w:val="center"/>
          </w:tcPr>
          <w:p>
            <w:pPr>
              <w:jc w:val="left"/>
            </w:pPr>
            <w:r>
              <w:rPr>
                <w:b w:val="false"/>
                <w:bCs w:val="false"/>
                <w:sz w:val="18"/>
                <w:szCs w:val="18"/>
              </w:rPr>
              <w:t xml:space="preserve">SAN Airport transfer guide (by terminal)</w:t>
            </w:r>
          </w:p>
        </w:tc>
        <w:tc>
          <w:tcPr>
            <w:tcW w:type="dxa" w:w="900"/>
            <w:shd w:fill="F2F0EA" w:val="clear"/>
            <w:tcMar>
              <w:top w:type="dxa" w:w="80"/>
              <w:left w:type="dxa" w:w="100"/>
              <w:bottom w:type="dxa" w:w="80"/>
              <w:right w:type="dxa" w:w="100"/>
            </w:tcMar>
            <w:vAlign w:val="center"/>
          </w:tcPr>
          <w:p>
            <w:pPr>
              <w:jc w:val="left"/>
            </w:pPr>
            <w:r>
              <w:rPr>
                <w:b w:val="false"/>
                <w:bCs w:val="false"/>
                <w:sz w:val="18"/>
                <w:szCs w:val="18"/>
              </w:rPr>
              <w:t xml:space="preserve">A</w:t>
            </w:r>
          </w:p>
        </w:tc>
        <w:tc>
          <w:tcPr>
            <w:tcW w:type="dxa" w:w="1400"/>
            <w:shd w:fill="F2F0EA" w:val="clear"/>
            <w:tcMar>
              <w:top w:type="dxa" w:w="80"/>
              <w:left w:type="dxa" w:w="100"/>
              <w:bottom w:type="dxa" w:w="80"/>
              <w:right w:type="dxa" w:w="100"/>
            </w:tcMar>
            <w:vAlign w:val="center"/>
          </w:tcPr>
          <w:p>
            <w:pPr>
              <w:jc w:val="left"/>
            </w:pPr>
            <w:r>
              <w:rPr>
                <w:b w:val="false"/>
                <w:bCs w:val="false"/>
                <w:sz w:val="18"/>
                <w:szCs w:val="18"/>
              </w:rPr>
              <w:t xml:space="preserve">Searchable</w:t>
            </w:r>
          </w:p>
        </w:tc>
        <w:tc>
          <w:tcPr>
            <w:tcW w:type="dxa" w:w="1660"/>
            <w:shd w:fill="F2F0EA" w:val="clear"/>
            <w:tcMar>
              <w:top w:type="dxa" w:w="80"/>
              <w:left w:type="dxa" w:w="100"/>
              <w:bottom w:type="dxa" w:w="80"/>
              <w:right w:type="dxa" w:w="100"/>
            </w:tcMar>
            <w:vAlign w:val="center"/>
          </w:tcPr>
          <w:p>
            <w:pPr>
              <w:jc w:val="left"/>
            </w:pPr>
            <w:r>
              <w:rPr>
                <w:b w:val="false"/>
                <w:bCs w:val="false"/>
                <w:sz w:val="18"/>
                <w:szCs w:val="18"/>
              </w:rPr>
              <w:t xml:space="preserve">Decision</w:t>
            </w:r>
          </w:p>
        </w:tc>
        <w:tc>
          <w:tcPr>
            <w:tcW w:type="dxa" w:w="1600"/>
            <w:shd w:fill="F2F0EA" w:val="clear"/>
            <w:tcMar>
              <w:top w:type="dxa" w:w="80"/>
              <w:left w:type="dxa" w:w="100"/>
              <w:bottom w:type="dxa" w:w="80"/>
              <w:right w:type="dxa" w:w="100"/>
            </w:tcMar>
            <w:vAlign w:val="center"/>
          </w:tcPr>
          <w:p>
            <w:pPr>
              <w:jc w:val="left"/>
            </w:pPr>
            <w:r>
              <w:rPr>
                <w:b w:val="false"/>
                <w:bCs w:val="false"/>
                <w:sz w:val="18"/>
                <w:szCs w:val="18"/>
              </w:rPr>
              <w:t xml:space="preserve">8.6</w:t>
            </w:r>
          </w:p>
        </w:tc>
      </w:tr>
      <w:tr>
        <w:tc>
          <w:tcPr>
            <w:tcW w:type="dxa" w:w="3800"/>
            <w:shd w:fill="FFFFFF" w:val="clear"/>
            <w:tcMar>
              <w:top w:type="dxa" w:w="80"/>
              <w:left w:type="dxa" w:w="100"/>
              <w:bottom w:type="dxa" w:w="80"/>
              <w:right w:type="dxa" w:w="100"/>
            </w:tcMar>
            <w:vAlign w:val="center"/>
          </w:tcPr>
          <w:p>
            <w:pPr>
              <w:jc w:val="left"/>
            </w:pPr>
            <w:r>
              <w:rPr>
                <w:b w:val="false"/>
                <w:bCs w:val="false"/>
                <w:sz w:val="18"/>
                <w:szCs w:val="18"/>
              </w:rPr>
              <w:t xml:space="preserve">Uber Black vs. private car service (San Diego)</w:t>
            </w:r>
          </w:p>
        </w:tc>
        <w:tc>
          <w:tcPr>
            <w:tcW w:type="dxa" w:w="900"/>
            <w:shd w:fill="FFFFFF" w:val="clear"/>
            <w:tcMar>
              <w:top w:type="dxa" w:w="80"/>
              <w:left w:type="dxa" w:w="100"/>
              <w:bottom w:type="dxa" w:w="80"/>
              <w:right w:type="dxa" w:w="100"/>
            </w:tcMar>
            <w:vAlign w:val="center"/>
          </w:tcPr>
          <w:p>
            <w:pPr>
              <w:jc w:val="left"/>
            </w:pPr>
            <w:r>
              <w:rPr>
                <w:b w:val="false"/>
                <w:bCs w:val="false"/>
                <w:sz w:val="18"/>
                <w:szCs w:val="18"/>
              </w:rPr>
              <w:t xml:space="preserve">D</w:t>
            </w:r>
          </w:p>
        </w:tc>
        <w:tc>
          <w:tcPr>
            <w:tcW w:type="dxa" w:w="1400"/>
            <w:shd w:fill="FFFFFF" w:val="clear"/>
            <w:tcMar>
              <w:top w:type="dxa" w:w="80"/>
              <w:left w:type="dxa" w:w="100"/>
              <w:bottom w:type="dxa" w:w="80"/>
              <w:right w:type="dxa" w:w="100"/>
            </w:tcMar>
            <w:vAlign w:val="center"/>
          </w:tcPr>
          <w:p>
            <w:pPr>
              <w:jc w:val="left"/>
            </w:pPr>
            <w:r>
              <w:rPr>
                <w:b w:val="false"/>
                <w:bCs w:val="false"/>
                <w:sz w:val="18"/>
                <w:szCs w:val="18"/>
              </w:rPr>
              <w:t xml:space="preserve">Both</w:t>
            </w:r>
          </w:p>
        </w:tc>
        <w:tc>
          <w:tcPr>
            <w:tcW w:type="dxa" w:w="1660"/>
            <w:shd w:fill="FFFFFF" w:val="clear"/>
            <w:tcMar>
              <w:top w:type="dxa" w:w="80"/>
              <w:left w:type="dxa" w:w="100"/>
              <w:bottom w:type="dxa" w:w="80"/>
              <w:right w:type="dxa" w:w="100"/>
            </w:tcMar>
            <w:vAlign w:val="center"/>
          </w:tcPr>
          <w:p>
            <w:pPr>
              <w:jc w:val="left"/>
            </w:pPr>
            <w:r>
              <w:rPr>
                <w:b w:val="false"/>
                <w:bCs w:val="false"/>
                <w:sz w:val="18"/>
                <w:szCs w:val="18"/>
              </w:rPr>
              <w:t xml:space="preserve">Consideration</w:t>
            </w:r>
          </w:p>
        </w:tc>
        <w:tc>
          <w:tcPr>
            <w:tcW w:type="dxa" w:w="1600"/>
            <w:shd w:fill="FFFFFF" w:val="clear"/>
            <w:tcMar>
              <w:top w:type="dxa" w:w="80"/>
              <w:left w:type="dxa" w:w="100"/>
              <w:bottom w:type="dxa" w:w="80"/>
              <w:right w:type="dxa" w:w="100"/>
            </w:tcMar>
            <w:vAlign w:val="center"/>
          </w:tcPr>
          <w:p>
            <w:pPr>
              <w:jc w:val="left"/>
            </w:pPr>
            <w:r>
              <w:rPr>
                <w:b w:val="false"/>
                <w:bCs w:val="false"/>
                <w:sz w:val="18"/>
                <w:szCs w:val="18"/>
              </w:rPr>
              <w:t xml:space="preserve">8.5</w:t>
            </w:r>
          </w:p>
        </w:tc>
      </w:tr>
      <w:tr>
        <w:tc>
          <w:tcPr>
            <w:tcW w:type="dxa" w:w="3800"/>
            <w:shd w:fill="F2F0EA" w:val="clear"/>
            <w:tcMar>
              <w:top w:type="dxa" w:w="80"/>
              <w:left w:type="dxa" w:w="100"/>
              <w:bottom w:type="dxa" w:w="80"/>
              <w:right w:type="dxa" w:w="100"/>
            </w:tcMar>
            <w:vAlign w:val="center"/>
          </w:tcPr>
          <w:p>
            <w:pPr>
              <w:jc w:val="left"/>
            </w:pPr>
            <w:r>
              <w:rPr>
                <w:b w:val="false"/>
                <w:bCs w:val="false"/>
                <w:sz w:val="18"/>
                <w:szCs w:val="18"/>
              </w:rPr>
              <w:t xml:space="preserve">San Diego to LAX: price &amp; time guide</w:t>
            </w:r>
          </w:p>
        </w:tc>
        <w:tc>
          <w:tcPr>
            <w:tcW w:type="dxa" w:w="900"/>
            <w:shd w:fill="F2F0EA" w:val="clear"/>
            <w:tcMar>
              <w:top w:type="dxa" w:w="80"/>
              <w:left w:type="dxa" w:w="100"/>
              <w:bottom w:type="dxa" w:w="80"/>
              <w:right w:type="dxa" w:w="100"/>
            </w:tcMar>
            <w:vAlign w:val="center"/>
          </w:tcPr>
          <w:p>
            <w:pPr>
              <w:jc w:val="left"/>
            </w:pPr>
            <w:r>
              <w:rPr>
                <w:b w:val="false"/>
                <w:bCs w:val="false"/>
                <w:sz w:val="18"/>
                <w:szCs w:val="18"/>
              </w:rPr>
              <w:t xml:space="preserve">A</w:t>
            </w:r>
          </w:p>
        </w:tc>
        <w:tc>
          <w:tcPr>
            <w:tcW w:type="dxa" w:w="1400"/>
            <w:shd w:fill="F2F0EA" w:val="clear"/>
            <w:tcMar>
              <w:top w:type="dxa" w:w="80"/>
              <w:left w:type="dxa" w:w="100"/>
              <w:bottom w:type="dxa" w:w="80"/>
              <w:right w:type="dxa" w:w="100"/>
            </w:tcMar>
            <w:vAlign w:val="center"/>
          </w:tcPr>
          <w:p>
            <w:pPr>
              <w:jc w:val="left"/>
            </w:pPr>
            <w:r>
              <w:rPr>
                <w:b w:val="false"/>
                <w:bCs w:val="false"/>
                <w:sz w:val="18"/>
                <w:szCs w:val="18"/>
              </w:rPr>
              <w:t xml:space="preserve">Searchable</w:t>
            </w:r>
          </w:p>
        </w:tc>
        <w:tc>
          <w:tcPr>
            <w:tcW w:type="dxa" w:w="1660"/>
            <w:shd w:fill="F2F0EA" w:val="clear"/>
            <w:tcMar>
              <w:top w:type="dxa" w:w="80"/>
              <w:left w:type="dxa" w:w="100"/>
              <w:bottom w:type="dxa" w:w="80"/>
              <w:right w:type="dxa" w:w="100"/>
            </w:tcMar>
            <w:vAlign w:val="center"/>
          </w:tcPr>
          <w:p>
            <w:pPr>
              <w:jc w:val="left"/>
            </w:pPr>
            <w:r>
              <w:rPr>
                <w:b w:val="false"/>
                <w:bCs w:val="false"/>
                <w:sz w:val="18"/>
                <w:szCs w:val="18"/>
              </w:rPr>
              <w:t xml:space="preserve">Consideration</w:t>
            </w:r>
          </w:p>
        </w:tc>
        <w:tc>
          <w:tcPr>
            <w:tcW w:type="dxa" w:w="1600"/>
            <w:shd w:fill="F2F0EA" w:val="clear"/>
            <w:tcMar>
              <w:top w:type="dxa" w:w="80"/>
              <w:left w:type="dxa" w:w="100"/>
              <w:bottom w:type="dxa" w:w="80"/>
              <w:right w:type="dxa" w:w="100"/>
            </w:tcMar>
            <w:vAlign w:val="center"/>
          </w:tcPr>
          <w:p>
            <w:pPr>
              <w:jc w:val="left"/>
            </w:pPr>
            <w:r>
              <w:rPr>
                <w:b w:val="false"/>
                <w:bCs w:val="false"/>
                <w:sz w:val="18"/>
                <w:szCs w:val="18"/>
              </w:rPr>
              <w:t xml:space="preserve">7.8</w:t>
            </w:r>
          </w:p>
        </w:tc>
      </w:tr>
      <w:tr>
        <w:tc>
          <w:tcPr>
            <w:tcW w:type="dxa" w:w="3800"/>
            <w:shd w:fill="FFFFFF" w:val="clear"/>
            <w:tcMar>
              <w:top w:type="dxa" w:w="80"/>
              <w:left w:type="dxa" w:w="100"/>
              <w:bottom w:type="dxa" w:w="80"/>
              <w:right w:type="dxa" w:w="100"/>
            </w:tcMar>
            <w:vAlign w:val="center"/>
          </w:tcPr>
          <w:p>
            <w:pPr>
              <w:jc w:val="left"/>
            </w:pPr>
            <w:r>
              <w:rPr>
                <w:b w:val="false"/>
                <w:bCs w:val="false"/>
                <w:sz w:val="18"/>
                <w:szCs w:val="18"/>
              </w:rPr>
              <w:t xml:space="preserve">How corporate car accounts work</w:t>
            </w:r>
          </w:p>
        </w:tc>
        <w:tc>
          <w:tcPr>
            <w:tcW w:type="dxa" w:w="900"/>
            <w:shd w:fill="FFFFFF" w:val="clear"/>
            <w:tcMar>
              <w:top w:type="dxa" w:w="80"/>
              <w:left w:type="dxa" w:w="100"/>
              <w:bottom w:type="dxa" w:w="80"/>
              <w:right w:type="dxa" w:w="100"/>
            </w:tcMar>
            <w:vAlign w:val="center"/>
          </w:tcPr>
          <w:p>
            <w:pPr>
              <w:jc w:val="left"/>
            </w:pPr>
            <w:r>
              <w:rPr>
                <w:b w:val="false"/>
                <w:bCs w:val="false"/>
                <w:sz w:val="18"/>
                <w:szCs w:val="18"/>
              </w:rPr>
              <w:t xml:space="preserve">B</w:t>
            </w:r>
          </w:p>
        </w:tc>
        <w:tc>
          <w:tcPr>
            <w:tcW w:type="dxa" w:w="1400"/>
            <w:shd w:fill="FFFFFF" w:val="clear"/>
            <w:tcMar>
              <w:top w:type="dxa" w:w="80"/>
              <w:left w:type="dxa" w:w="100"/>
              <w:bottom w:type="dxa" w:w="80"/>
              <w:right w:type="dxa" w:w="100"/>
            </w:tcMar>
            <w:vAlign w:val="center"/>
          </w:tcPr>
          <w:p>
            <w:pPr>
              <w:jc w:val="left"/>
            </w:pPr>
            <w:r>
              <w:rPr>
                <w:b w:val="false"/>
                <w:bCs w:val="false"/>
                <w:sz w:val="18"/>
                <w:szCs w:val="18"/>
              </w:rPr>
              <w:t xml:space="preserve">Searchable</w:t>
            </w:r>
          </w:p>
        </w:tc>
        <w:tc>
          <w:tcPr>
            <w:tcW w:type="dxa" w:w="1660"/>
            <w:shd w:fill="FFFFFF" w:val="clear"/>
            <w:tcMar>
              <w:top w:type="dxa" w:w="80"/>
              <w:left w:type="dxa" w:w="100"/>
              <w:bottom w:type="dxa" w:w="80"/>
              <w:right w:type="dxa" w:w="100"/>
            </w:tcMar>
            <w:vAlign w:val="center"/>
          </w:tcPr>
          <w:p>
            <w:pPr>
              <w:jc w:val="left"/>
            </w:pPr>
            <w:r>
              <w:rPr>
                <w:b w:val="false"/>
                <w:bCs w:val="false"/>
                <w:sz w:val="18"/>
                <w:szCs w:val="18"/>
              </w:rPr>
              <w:t xml:space="preserve">Decision</w:t>
            </w:r>
          </w:p>
        </w:tc>
        <w:tc>
          <w:tcPr>
            <w:tcW w:type="dxa" w:w="1600"/>
            <w:shd w:fill="FFFFFF" w:val="clear"/>
            <w:tcMar>
              <w:top w:type="dxa" w:w="80"/>
              <w:left w:type="dxa" w:w="100"/>
              <w:bottom w:type="dxa" w:w="80"/>
              <w:right w:type="dxa" w:w="100"/>
            </w:tcMar>
            <w:vAlign w:val="center"/>
          </w:tcPr>
          <w:p>
            <w:pPr>
              <w:jc w:val="left"/>
            </w:pPr>
            <w:r>
              <w:rPr>
                <w:b w:val="false"/>
                <w:bCs w:val="false"/>
                <w:sz w:val="18"/>
                <w:szCs w:val="18"/>
              </w:rPr>
              <w:t xml:space="preserve">7.1</w:t>
            </w:r>
          </w:p>
        </w:tc>
      </w:tr>
      <w:tr>
        <w:tc>
          <w:tcPr>
            <w:tcW w:type="dxa" w:w="3800"/>
            <w:shd w:fill="F2F0EA" w:val="clear"/>
            <w:tcMar>
              <w:top w:type="dxa" w:w="80"/>
              <w:left w:type="dxa" w:w="100"/>
              <w:bottom w:type="dxa" w:w="80"/>
              <w:right w:type="dxa" w:w="100"/>
            </w:tcMar>
            <w:vAlign w:val="center"/>
          </w:tcPr>
          <w:p>
            <w:pPr>
              <w:jc w:val="left"/>
            </w:pPr>
            <w:r>
              <w:rPr>
                <w:b w:val="false"/>
                <w:bCs w:val="false"/>
                <w:sz w:val="18"/>
                <w:szCs w:val="18"/>
              </w:rPr>
              <w:t xml:space="preserve">Temecula wine tour guide (Sprinter van)</w:t>
            </w:r>
          </w:p>
        </w:tc>
        <w:tc>
          <w:tcPr>
            <w:tcW w:type="dxa" w:w="900"/>
            <w:shd w:fill="F2F0EA" w:val="clear"/>
            <w:tcMar>
              <w:top w:type="dxa" w:w="80"/>
              <w:left w:type="dxa" w:w="100"/>
              <w:bottom w:type="dxa" w:w="80"/>
              <w:right w:type="dxa" w:w="100"/>
            </w:tcMar>
            <w:vAlign w:val="center"/>
          </w:tcPr>
          <w:p>
            <w:pPr>
              <w:jc w:val="left"/>
            </w:pPr>
            <w:r>
              <w:rPr>
                <w:b w:val="false"/>
                <w:bCs w:val="false"/>
                <w:sz w:val="18"/>
                <w:szCs w:val="18"/>
              </w:rPr>
              <w:t xml:space="preserve">C</w:t>
            </w:r>
          </w:p>
        </w:tc>
        <w:tc>
          <w:tcPr>
            <w:tcW w:type="dxa" w:w="1400"/>
            <w:shd w:fill="F2F0EA" w:val="clear"/>
            <w:tcMar>
              <w:top w:type="dxa" w:w="80"/>
              <w:left w:type="dxa" w:w="100"/>
              <w:bottom w:type="dxa" w:w="80"/>
              <w:right w:type="dxa" w:w="100"/>
            </w:tcMar>
            <w:vAlign w:val="center"/>
          </w:tcPr>
          <w:p>
            <w:pPr>
              <w:jc w:val="left"/>
            </w:pPr>
            <w:r>
              <w:rPr>
                <w:b w:val="false"/>
                <w:bCs w:val="false"/>
                <w:sz w:val="18"/>
                <w:szCs w:val="18"/>
              </w:rPr>
              <w:t xml:space="preserve">Shareable</w:t>
            </w:r>
          </w:p>
        </w:tc>
        <w:tc>
          <w:tcPr>
            <w:tcW w:type="dxa" w:w="1660"/>
            <w:shd w:fill="F2F0EA" w:val="clear"/>
            <w:tcMar>
              <w:top w:type="dxa" w:w="80"/>
              <w:left w:type="dxa" w:w="100"/>
              <w:bottom w:type="dxa" w:w="80"/>
              <w:right w:type="dxa" w:w="100"/>
            </w:tcMar>
            <w:vAlign w:val="center"/>
          </w:tcPr>
          <w:p>
            <w:pPr>
              <w:jc w:val="left"/>
            </w:pPr>
            <w:r>
              <w:rPr>
                <w:b w:val="false"/>
                <w:bCs w:val="false"/>
                <w:sz w:val="18"/>
                <w:szCs w:val="18"/>
              </w:rPr>
              <w:t xml:space="preserve">Awareness</w:t>
            </w:r>
          </w:p>
        </w:tc>
        <w:tc>
          <w:tcPr>
            <w:tcW w:type="dxa" w:w="1600"/>
            <w:shd w:fill="F2F0EA" w:val="clear"/>
            <w:tcMar>
              <w:top w:type="dxa" w:w="80"/>
              <w:left w:type="dxa" w:w="100"/>
              <w:bottom w:type="dxa" w:w="80"/>
              <w:right w:type="dxa" w:w="100"/>
            </w:tcMar>
            <w:vAlign w:val="center"/>
          </w:tcPr>
          <w:p>
            <w:pPr>
              <w:jc w:val="left"/>
            </w:pPr>
            <w:r>
              <w:rPr>
                <w:b w:val="false"/>
                <w:bCs w:val="false"/>
                <w:sz w:val="18"/>
                <w:szCs w:val="18"/>
              </w:rPr>
              <w:t xml:space="preserve">7.1</w:t>
            </w:r>
          </w:p>
        </w:tc>
      </w:tr>
      <w:tr>
        <w:tc>
          <w:tcPr>
            <w:tcW w:type="dxa" w:w="3800"/>
            <w:shd w:fill="FFFFFF" w:val="clear"/>
            <w:tcMar>
              <w:top w:type="dxa" w:w="80"/>
              <w:left w:type="dxa" w:w="100"/>
              <w:bottom w:type="dxa" w:w="80"/>
              <w:right w:type="dxa" w:w="100"/>
            </w:tcMar>
            <w:vAlign w:val="center"/>
          </w:tcPr>
          <w:p>
            <w:pPr>
              <w:jc w:val="left"/>
            </w:pPr>
            <w:r>
              <w:rPr>
                <w:b w:val="false"/>
                <w:bCs w:val="false"/>
                <w:sz w:val="18"/>
                <w:szCs w:val="18"/>
              </w:rPr>
              <w:t xml:space="preserve">Wedding transportation checklist</w:t>
            </w:r>
          </w:p>
        </w:tc>
        <w:tc>
          <w:tcPr>
            <w:tcW w:type="dxa" w:w="900"/>
            <w:shd w:fill="FFFFFF" w:val="clear"/>
            <w:tcMar>
              <w:top w:type="dxa" w:w="80"/>
              <w:left w:type="dxa" w:w="100"/>
              <w:bottom w:type="dxa" w:w="80"/>
              <w:right w:type="dxa" w:w="100"/>
            </w:tcMar>
            <w:vAlign w:val="center"/>
          </w:tcPr>
          <w:p>
            <w:pPr>
              <w:jc w:val="left"/>
            </w:pPr>
            <w:r>
              <w:rPr>
                <w:b w:val="false"/>
                <w:bCs w:val="false"/>
                <w:sz w:val="18"/>
                <w:szCs w:val="18"/>
              </w:rPr>
              <w:t xml:space="preserve">C</w:t>
            </w:r>
          </w:p>
        </w:tc>
        <w:tc>
          <w:tcPr>
            <w:tcW w:type="dxa" w:w="1400"/>
            <w:shd w:fill="FFFFFF" w:val="clear"/>
            <w:tcMar>
              <w:top w:type="dxa" w:w="80"/>
              <w:left w:type="dxa" w:w="100"/>
              <w:bottom w:type="dxa" w:w="80"/>
              <w:right w:type="dxa" w:w="100"/>
            </w:tcMar>
            <w:vAlign w:val="center"/>
          </w:tcPr>
          <w:p>
            <w:pPr>
              <w:jc w:val="left"/>
            </w:pPr>
            <w:r>
              <w:rPr>
                <w:b w:val="false"/>
                <w:bCs w:val="false"/>
                <w:sz w:val="18"/>
                <w:szCs w:val="18"/>
              </w:rPr>
              <w:t xml:space="preserve">Both</w:t>
            </w:r>
          </w:p>
        </w:tc>
        <w:tc>
          <w:tcPr>
            <w:tcW w:type="dxa" w:w="1660"/>
            <w:shd w:fill="FFFFFF" w:val="clear"/>
            <w:tcMar>
              <w:top w:type="dxa" w:w="80"/>
              <w:left w:type="dxa" w:w="100"/>
              <w:bottom w:type="dxa" w:w="80"/>
              <w:right w:type="dxa" w:w="100"/>
            </w:tcMar>
            <w:vAlign w:val="center"/>
          </w:tcPr>
          <w:p>
            <w:pPr>
              <w:jc w:val="left"/>
            </w:pPr>
            <w:r>
              <w:rPr>
                <w:b w:val="false"/>
                <w:bCs w:val="false"/>
                <w:sz w:val="18"/>
                <w:szCs w:val="18"/>
              </w:rPr>
              <w:t xml:space="preserve">Awareness</w:t>
            </w:r>
          </w:p>
        </w:tc>
        <w:tc>
          <w:tcPr>
            <w:tcW w:type="dxa" w:w="1600"/>
            <w:shd w:fill="FFFFFF" w:val="clear"/>
            <w:tcMar>
              <w:top w:type="dxa" w:w="80"/>
              <w:left w:type="dxa" w:w="100"/>
              <w:bottom w:type="dxa" w:w="80"/>
              <w:right w:type="dxa" w:w="100"/>
            </w:tcMar>
            <w:vAlign w:val="center"/>
          </w:tcPr>
          <w:p>
            <w:pPr>
              <w:jc w:val="left"/>
            </w:pPr>
            <w:r>
              <w:rPr>
                <w:b w:val="false"/>
                <w:bCs w:val="false"/>
                <w:sz w:val="18"/>
                <w:szCs w:val="18"/>
              </w:rPr>
              <w:t xml:space="preserve">6.9</w:t>
            </w:r>
          </w:p>
        </w:tc>
      </w:tr>
      <w:tr>
        <w:tc>
          <w:tcPr>
            <w:tcW w:type="dxa" w:w="3800"/>
            <w:shd w:fill="F2F0EA" w:val="clear"/>
            <w:tcMar>
              <w:top w:type="dxa" w:w="80"/>
              <w:left w:type="dxa" w:w="100"/>
              <w:bottom w:type="dxa" w:w="80"/>
              <w:right w:type="dxa" w:w="100"/>
            </w:tcMar>
            <w:vAlign w:val="center"/>
          </w:tcPr>
          <w:p>
            <w:pPr>
              <w:jc w:val="left"/>
            </w:pPr>
            <w:r>
              <w:rPr>
                <w:b w:val="false"/>
                <w:bCs w:val="false"/>
                <w:sz w:val="18"/>
                <w:szCs w:val="18"/>
              </w:rPr>
              <w:t xml:space="preserve">CBX transfer guide (bilingual) — test</w:t>
            </w:r>
          </w:p>
        </w:tc>
        <w:tc>
          <w:tcPr>
            <w:tcW w:type="dxa" w:w="900"/>
            <w:shd w:fill="F2F0EA" w:val="clear"/>
            <w:tcMar>
              <w:top w:type="dxa" w:w="80"/>
              <w:left w:type="dxa" w:w="100"/>
              <w:bottom w:type="dxa" w:w="80"/>
              <w:right w:type="dxa" w:w="100"/>
            </w:tcMar>
            <w:vAlign w:val="center"/>
          </w:tcPr>
          <w:p>
            <w:pPr>
              <w:jc w:val="left"/>
            </w:pPr>
            <w:r>
              <w:rPr>
                <w:b w:val="false"/>
                <w:bCs w:val="false"/>
                <w:sz w:val="18"/>
                <w:szCs w:val="18"/>
              </w:rPr>
              <w:t xml:space="preserve">A</w:t>
            </w:r>
          </w:p>
        </w:tc>
        <w:tc>
          <w:tcPr>
            <w:tcW w:type="dxa" w:w="1400"/>
            <w:shd w:fill="F2F0EA" w:val="clear"/>
            <w:tcMar>
              <w:top w:type="dxa" w:w="80"/>
              <w:left w:type="dxa" w:w="100"/>
              <w:bottom w:type="dxa" w:w="80"/>
              <w:right w:type="dxa" w:w="100"/>
            </w:tcMar>
            <w:vAlign w:val="center"/>
          </w:tcPr>
          <w:p>
            <w:pPr>
              <w:jc w:val="left"/>
            </w:pPr>
            <w:r>
              <w:rPr>
                <w:b w:val="false"/>
                <w:bCs w:val="false"/>
                <w:sz w:val="18"/>
                <w:szCs w:val="18"/>
              </w:rPr>
              <w:t xml:space="preserve">Searchable</w:t>
            </w:r>
          </w:p>
        </w:tc>
        <w:tc>
          <w:tcPr>
            <w:tcW w:type="dxa" w:w="1660"/>
            <w:shd w:fill="F2F0EA" w:val="clear"/>
            <w:tcMar>
              <w:top w:type="dxa" w:w="80"/>
              <w:left w:type="dxa" w:w="100"/>
              <w:bottom w:type="dxa" w:w="80"/>
              <w:right w:type="dxa" w:w="100"/>
            </w:tcMar>
            <w:vAlign w:val="center"/>
          </w:tcPr>
          <w:p>
            <w:pPr>
              <w:jc w:val="left"/>
            </w:pPr>
            <w:r>
              <w:rPr>
                <w:b w:val="false"/>
                <w:bCs w:val="false"/>
                <w:sz w:val="18"/>
                <w:szCs w:val="18"/>
              </w:rPr>
              <w:t xml:space="preserve">Awareness</w:t>
            </w:r>
          </w:p>
        </w:tc>
        <w:tc>
          <w:tcPr>
            <w:tcW w:type="dxa" w:w="1600"/>
            <w:shd w:fill="F2F0EA" w:val="clear"/>
            <w:tcMar>
              <w:top w:type="dxa" w:w="80"/>
              <w:left w:type="dxa" w:w="100"/>
              <w:bottom w:type="dxa" w:w="80"/>
              <w:right w:type="dxa" w:w="100"/>
            </w:tcMar>
            <w:vAlign w:val="center"/>
          </w:tcPr>
          <w:p>
            <w:pPr>
              <w:jc w:val="left"/>
            </w:pPr>
            <w:r>
              <w:rPr>
                <w:b w:val="false"/>
                <w:bCs w:val="false"/>
                <w:sz w:val="18"/>
                <w:szCs w:val="18"/>
              </w:rPr>
              <w:t xml:space="preserve">6.9</w:t>
            </w:r>
          </w:p>
        </w:tc>
      </w:tr>
      <w:tr>
        <w:tc>
          <w:tcPr>
            <w:tcW w:type="dxa" w:w="3800"/>
            <w:shd w:fill="FFFFFF" w:val="clear"/>
            <w:tcMar>
              <w:top w:type="dxa" w:w="80"/>
              <w:left w:type="dxa" w:w="100"/>
              <w:bottom w:type="dxa" w:w="80"/>
              <w:right w:type="dxa" w:w="100"/>
            </w:tcMar>
            <w:vAlign w:val="center"/>
          </w:tcPr>
          <w:p>
            <w:pPr>
              <w:jc w:val="left"/>
            </w:pPr>
            <w:r>
              <w:rPr>
                <w:b w:val="false"/>
                <w:bCs w:val="false"/>
                <w:sz w:val="18"/>
                <w:szCs w:val="18"/>
              </w:rPr>
              <w:t xml:space="preserve">No surge pricing / flat-rate explainer</w:t>
            </w:r>
          </w:p>
        </w:tc>
        <w:tc>
          <w:tcPr>
            <w:tcW w:type="dxa" w:w="900"/>
            <w:shd w:fill="FFFFFF" w:val="clear"/>
            <w:tcMar>
              <w:top w:type="dxa" w:w="80"/>
              <w:left w:type="dxa" w:w="100"/>
              <w:bottom w:type="dxa" w:w="80"/>
              <w:right w:type="dxa" w:w="100"/>
            </w:tcMar>
            <w:vAlign w:val="center"/>
          </w:tcPr>
          <w:p>
            <w:pPr>
              <w:jc w:val="left"/>
            </w:pPr>
            <w:r>
              <w:rPr>
                <w:b w:val="false"/>
                <w:bCs w:val="false"/>
                <w:sz w:val="18"/>
                <w:szCs w:val="18"/>
              </w:rPr>
              <w:t xml:space="preserve">D</w:t>
            </w:r>
          </w:p>
        </w:tc>
        <w:tc>
          <w:tcPr>
            <w:tcW w:type="dxa" w:w="1400"/>
            <w:shd w:fill="FFFFFF" w:val="clear"/>
            <w:tcMar>
              <w:top w:type="dxa" w:w="80"/>
              <w:left w:type="dxa" w:w="100"/>
              <w:bottom w:type="dxa" w:w="80"/>
              <w:right w:type="dxa" w:w="100"/>
            </w:tcMar>
            <w:vAlign w:val="center"/>
          </w:tcPr>
          <w:p>
            <w:pPr>
              <w:jc w:val="left"/>
            </w:pPr>
            <w:r>
              <w:rPr>
                <w:b w:val="false"/>
                <w:bCs w:val="false"/>
                <w:sz w:val="18"/>
                <w:szCs w:val="18"/>
              </w:rPr>
              <w:t xml:space="preserve">Searchable</w:t>
            </w:r>
          </w:p>
        </w:tc>
        <w:tc>
          <w:tcPr>
            <w:tcW w:type="dxa" w:w="1660"/>
            <w:shd w:fill="FFFFFF" w:val="clear"/>
            <w:tcMar>
              <w:top w:type="dxa" w:w="80"/>
              <w:left w:type="dxa" w:w="100"/>
              <w:bottom w:type="dxa" w:w="80"/>
              <w:right w:type="dxa" w:w="100"/>
            </w:tcMar>
            <w:vAlign w:val="center"/>
          </w:tcPr>
          <w:p>
            <w:pPr>
              <w:jc w:val="left"/>
            </w:pPr>
            <w:r>
              <w:rPr>
                <w:b w:val="false"/>
                <w:bCs w:val="false"/>
                <w:sz w:val="18"/>
                <w:szCs w:val="18"/>
              </w:rPr>
              <w:t xml:space="preserve">Decision</w:t>
            </w:r>
          </w:p>
        </w:tc>
        <w:tc>
          <w:tcPr>
            <w:tcW w:type="dxa" w:w="1600"/>
            <w:shd w:fill="FFFFFF" w:val="clear"/>
            <w:tcMar>
              <w:top w:type="dxa" w:w="80"/>
              <w:left w:type="dxa" w:w="100"/>
              <w:bottom w:type="dxa" w:w="80"/>
              <w:right w:type="dxa" w:w="100"/>
            </w:tcMar>
            <w:vAlign w:val="center"/>
          </w:tcPr>
          <w:p>
            <w:pPr>
              <w:jc w:val="left"/>
            </w:pPr>
            <w:r>
              <w:rPr>
                <w:b w:val="false"/>
                <w:bCs w:val="false"/>
                <w:sz w:val="18"/>
                <w:szCs w:val="18"/>
              </w:rPr>
              <w:t xml:space="preserve">6.7</w:t>
            </w:r>
          </w:p>
        </w:tc>
      </w:tr>
      <w:tr>
        <w:tc>
          <w:tcPr>
            <w:tcW w:type="dxa" w:w="3800"/>
            <w:shd w:fill="F2F0EA" w:val="clear"/>
            <w:tcMar>
              <w:top w:type="dxa" w:w="80"/>
              <w:left w:type="dxa" w:w="100"/>
              <w:bottom w:type="dxa" w:w="80"/>
              <w:right w:type="dxa" w:w="100"/>
            </w:tcMar>
            <w:vAlign w:val="center"/>
          </w:tcPr>
          <w:p>
            <w:pPr>
              <w:jc w:val="left"/>
            </w:pPr>
            <w:r>
              <w:rPr>
                <w:b w:val="false"/>
                <w:bCs w:val="false"/>
                <w:sz w:val="18"/>
                <w:szCs w:val="18"/>
              </w:rPr>
              <w:t xml:space="preserve">Stadium &amp; event-day transportation guide</w:t>
            </w:r>
          </w:p>
        </w:tc>
        <w:tc>
          <w:tcPr>
            <w:tcW w:type="dxa" w:w="900"/>
            <w:shd w:fill="F2F0EA" w:val="clear"/>
            <w:tcMar>
              <w:top w:type="dxa" w:w="80"/>
              <w:left w:type="dxa" w:w="100"/>
              <w:bottom w:type="dxa" w:w="80"/>
              <w:right w:type="dxa" w:w="100"/>
            </w:tcMar>
            <w:vAlign w:val="center"/>
          </w:tcPr>
          <w:p>
            <w:pPr>
              <w:jc w:val="left"/>
            </w:pPr>
            <w:r>
              <w:rPr>
                <w:b w:val="false"/>
                <w:bCs w:val="false"/>
                <w:sz w:val="18"/>
                <w:szCs w:val="18"/>
              </w:rPr>
              <w:t xml:space="preserve">C</w:t>
            </w:r>
          </w:p>
        </w:tc>
        <w:tc>
          <w:tcPr>
            <w:tcW w:type="dxa" w:w="1400"/>
            <w:shd w:fill="F2F0EA" w:val="clear"/>
            <w:tcMar>
              <w:top w:type="dxa" w:w="80"/>
              <w:left w:type="dxa" w:w="100"/>
              <w:bottom w:type="dxa" w:w="80"/>
              <w:right w:type="dxa" w:w="100"/>
            </w:tcMar>
            <w:vAlign w:val="center"/>
          </w:tcPr>
          <w:p>
            <w:pPr>
              <w:jc w:val="left"/>
            </w:pPr>
            <w:r>
              <w:rPr>
                <w:b w:val="false"/>
                <w:bCs w:val="false"/>
                <w:sz w:val="18"/>
                <w:szCs w:val="18"/>
              </w:rPr>
              <w:t xml:space="preserve">Shareable</w:t>
            </w:r>
          </w:p>
        </w:tc>
        <w:tc>
          <w:tcPr>
            <w:tcW w:type="dxa" w:w="1660"/>
            <w:shd w:fill="F2F0EA" w:val="clear"/>
            <w:tcMar>
              <w:top w:type="dxa" w:w="80"/>
              <w:left w:type="dxa" w:w="100"/>
              <w:bottom w:type="dxa" w:w="80"/>
              <w:right w:type="dxa" w:w="100"/>
            </w:tcMar>
            <w:vAlign w:val="center"/>
          </w:tcPr>
          <w:p>
            <w:pPr>
              <w:jc w:val="left"/>
            </w:pPr>
            <w:r>
              <w:rPr>
                <w:b w:val="false"/>
                <w:bCs w:val="false"/>
                <w:sz w:val="18"/>
                <w:szCs w:val="18"/>
              </w:rPr>
              <w:t xml:space="preserve">Awareness</w:t>
            </w:r>
          </w:p>
        </w:tc>
        <w:tc>
          <w:tcPr>
            <w:tcW w:type="dxa" w:w="1600"/>
            <w:shd w:fill="F2F0EA" w:val="clear"/>
            <w:tcMar>
              <w:top w:type="dxa" w:w="80"/>
              <w:left w:type="dxa" w:w="100"/>
              <w:bottom w:type="dxa" w:w="80"/>
              <w:right w:type="dxa" w:w="100"/>
            </w:tcMar>
            <w:vAlign w:val="center"/>
          </w:tcPr>
          <w:p>
            <w:pPr>
              <w:jc w:val="left"/>
            </w:pPr>
            <w:r>
              <w:rPr>
                <w:b w:val="false"/>
                <w:bCs w:val="false"/>
                <w:sz w:val="18"/>
                <w:szCs w:val="18"/>
              </w:rPr>
              <w:t xml:space="preserve">5.7</w:t>
            </w:r>
          </w:p>
        </w:tc>
      </w:tr>
      <w:tr>
        <w:tc>
          <w:tcPr>
            <w:tcW w:type="dxa" w:w="3800"/>
            <w:shd w:fill="FFFFFF" w:val="clear"/>
            <w:tcMar>
              <w:top w:type="dxa" w:w="80"/>
              <w:left w:type="dxa" w:w="100"/>
              <w:bottom w:type="dxa" w:w="80"/>
              <w:right w:type="dxa" w:w="100"/>
            </w:tcMar>
            <w:vAlign w:val="center"/>
          </w:tcPr>
          <w:p>
            <w:pPr>
              <w:jc w:val="left"/>
            </w:pPr>
            <w:r>
              <w:rPr>
                <w:b w:val="false"/>
                <w:bCs w:val="false"/>
                <w:sz w:val="18"/>
                <w:szCs w:val="18"/>
              </w:rPr>
              <w:t xml:space="preserve">Meet the driver: owner-operator trust post</w:t>
            </w:r>
          </w:p>
        </w:tc>
        <w:tc>
          <w:tcPr>
            <w:tcW w:type="dxa" w:w="900"/>
            <w:shd w:fill="FFFFFF" w:val="clear"/>
            <w:tcMar>
              <w:top w:type="dxa" w:w="80"/>
              <w:left w:type="dxa" w:w="100"/>
              <w:bottom w:type="dxa" w:w="80"/>
              <w:right w:type="dxa" w:w="100"/>
            </w:tcMar>
            <w:vAlign w:val="center"/>
          </w:tcPr>
          <w:p>
            <w:pPr>
              <w:jc w:val="left"/>
            </w:pPr>
            <w:r>
              <w:rPr>
                <w:b w:val="false"/>
                <w:bCs w:val="false"/>
                <w:sz w:val="18"/>
                <w:szCs w:val="18"/>
              </w:rPr>
              <w:t xml:space="preserve">D</w:t>
            </w:r>
          </w:p>
        </w:tc>
        <w:tc>
          <w:tcPr>
            <w:tcW w:type="dxa" w:w="1400"/>
            <w:shd w:fill="FFFFFF" w:val="clear"/>
            <w:tcMar>
              <w:top w:type="dxa" w:w="80"/>
              <w:left w:type="dxa" w:w="100"/>
              <w:bottom w:type="dxa" w:w="80"/>
              <w:right w:type="dxa" w:w="100"/>
            </w:tcMar>
            <w:vAlign w:val="center"/>
          </w:tcPr>
          <w:p>
            <w:pPr>
              <w:jc w:val="left"/>
            </w:pPr>
            <w:r>
              <w:rPr>
                <w:b w:val="false"/>
                <w:bCs w:val="false"/>
                <w:sz w:val="18"/>
                <w:szCs w:val="18"/>
              </w:rPr>
              <w:t xml:space="preserve">Shareable</w:t>
            </w:r>
          </w:p>
        </w:tc>
        <w:tc>
          <w:tcPr>
            <w:tcW w:type="dxa" w:w="1660"/>
            <w:shd w:fill="FFFFFF" w:val="clear"/>
            <w:tcMar>
              <w:top w:type="dxa" w:w="80"/>
              <w:left w:type="dxa" w:w="100"/>
              <w:bottom w:type="dxa" w:w="80"/>
              <w:right w:type="dxa" w:w="100"/>
            </w:tcMar>
            <w:vAlign w:val="center"/>
          </w:tcPr>
          <w:p>
            <w:pPr>
              <w:jc w:val="left"/>
            </w:pPr>
            <w:r>
              <w:rPr>
                <w:b w:val="false"/>
                <w:bCs w:val="false"/>
                <w:sz w:val="18"/>
                <w:szCs w:val="18"/>
              </w:rPr>
              <w:t xml:space="preserve">Awareness</w:t>
            </w:r>
          </w:p>
        </w:tc>
        <w:tc>
          <w:tcPr>
            <w:tcW w:type="dxa" w:w="1600"/>
            <w:shd w:fill="FFFFFF" w:val="clear"/>
            <w:tcMar>
              <w:top w:type="dxa" w:w="80"/>
              <w:left w:type="dxa" w:w="100"/>
              <w:bottom w:type="dxa" w:w="80"/>
              <w:right w:type="dxa" w:w="100"/>
            </w:tcMar>
            <w:vAlign w:val="center"/>
          </w:tcPr>
          <w:p>
            <w:pPr>
              <w:jc w:val="left"/>
            </w:pPr>
            <w:r>
              <w:rPr>
                <w:b w:val="false"/>
                <w:bCs w:val="false"/>
                <w:sz w:val="18"/>
                <w:szCs w:val="18"/>
              </w:rPr>
              <w:t xml:space="preserve">4.8</w:t>
            </w:r>
          </w:p>
        </w:tc>
      </w:tr>
    </w:tbl>
    <w:p>
      <w:pPr>
        <w:spacing w:after="160"/>
      </w:pPr>
    </w:p>
    <w:p>
      <w:pPr>
        <w:spacing w:after="160"/>
      </w:pPr>
      <w:r>
        <w:rPr>
          <w:i/>
          <w:iCs/>
          <w:color w:val="555555"/>
          <w:sz w:val="19"/>
          <w:szCs w:val="19"/>
        </w:rPr>
        <w:t xml:space="preserve">Note on CBX: San Diego's Cross Border Xpress bridge to Tijuana airport (cheaper flights, growing demand) is not currently a listed service, but no local competitor is writing bilingual content for it either. Worth one test post before committing to it as a standing offering.</w:t>
      </w:r>
    </w:p>
    <w:p>
      <w:r>
        <w:br w:type="page"/>
      </w:r>
    </w:p>
    <w:p>
      <w:pPr>
        <w:pStyle w:val="Heading1"/>
        <w:spacing w:after="180" w:before="380"/>
      </w:pPr>
      <w:r>
        <w:t xml:space="preserve">6. 90-Day Content Calendar</w:t>
      </w:r>
    </w:p>
    <w:p>
      <w:pPr>
        <w:spacing w:after="160"/>
      </w:pPr>
      <w:r>
        <w:t xml:space="preserve">Built for a solo operator: 2 blog posts a month, 3 social posts a week, each blog repurposed into 3–4 social posts so nothing is written twice.</w:t>
      </w:r>
    </w:p>
    <w:p>
      <w:pPr>
        <w:pStyle w:val="Heading2"/>
        <w:spacing w:after="120" w:before="260"/>
      </w:pPr>
      <w:r>
        <w:t xml:space="preserve">Month 1 — Foundation</w:t>
      </w:r>
    </w:p>
    <w:p>
      <w:pPr>
        <w:pStyle w:val="ListParagraph"/>
        <w:numPr>
          <w:ilvl w:val="0"/>
          <w:numId w:val="2"/>
        </w:numPr>
        <w:spacing w:after="80"/>
      </w:pPr>
      <w:r>
        <w:t xml:space="preserve">Set up / claim Google Business Profile (categories: airport shuttle, limousine service, corporate transportation)</w:t>
      </w:r>
    </w:p>
    <w:p>
      <w:pPr>
        <w:pStyle w:val="ListParagraph"/>
        <w:numPr>
          <w:ilvl w:val="0"/>
          <w:numId w:val="2"/>
        </w:numPr>
        <w:spacing w:after="80"/>
      </w:pPr>
      <w:r>
        <w:t xml:space="preserve">Blog: “SAN Airport Transfer Guide” (Pillar A) — cornerstone piece, link from Services page</w:t>
      </w:r>
    </w:p>
    <w:p>
      <w:pPr>
        <w:pStyle w:val="ListParagraph"/>
        <w:numPr>
          <w:ilvl w:val="0"/>
          <w:numId w:val="2"/>
        </w:numPr>
        <w:spacing w:after="80"/>
      </w:pPr>
      <w:r>
        <w:t xml:space="preserve">Blog: “Uber Black vs. Private Car Service in San Diego” (Pillar D)</w:t>
      </w:r>
    </w:p>
    <w:p>
      <w:pPr>
        <w:pStyle w:val="ListParagraph"/>
        <w:numPr>
          <w:ilvl w:val="0"/>
          <w:numId w:val="2"/>
        </w:numPr>
        <w:spacing w:after="80"/>
      </w:pPr>
      <w:r>
        <w:t xml:space="preserve">Social (3x/week): brand intro, vehicle showcase, first client testimonial repost</w:t>
      </w:r>
    </w:p>
    <w:p>
      <w:pPr>
        <w:pStyle w:val="Heading2"/>
        <w:spacing w:after="120" w:before="260"/>
      </w:pPr>
      <w:r>
        <w:t xml:space="preserve">Month 2 — Corporate + Weddings</w:t>
      </w:r>
    </w:p>
    <w:p>
      <w:pPr>
        <w:pStyle w:val="ListParagraph"/>
        <w:numPr>
          <w:ilvl w:val="0"/>
          <w:numId w:val="2"/>
        </w:numPr>
        <w:spacing w:after="80"/>
      </w:pPr>
      <w:r>
        <w:t xml:space="preserve">Blog: “How Corporate Car Accounts Work” (Pillar B)</w:t>
      </w:r>
    </w:p>
    <w:p>
      <w:pPr>
        <w:pStyle w:val="ListParagraph"/>
        <w:numPr>
          <w:ilvl w:val="0"/>
          <w:numId w:val="2"/>
        </w:numPr>
        <w:spacing w:after="80"/>
      </w:pPr>
      <w:r>
        <w:t xml:space="preserve">Blog: “Wedding Transportation Planning Checklist” (Pillar C, published EN/ES)</w:t>
      </w:r>
    </w:p>
    <w:p>
      <w:pPr>
        <w:pStyle w:val="ListParagraph"/>
        <w:numPr>
          <w:ilvl w:val="0"/>
          <w:numId w:val="2"/>
        </w:numPr>
        <w:spacing w:after="80"/>
      </w:pPr>
      <w:r>
        <w:t xml:space="preserve">Social: corporate-day behind-the-scenes, wedding-season posts, launch referral incentive</w:t>
      </w:r>
    </w:p>
    <w:p>
      <w:pPr>
        <w:pStyle w:val="ListParagraph"/>
        <w:numPr>
          <w:ilvl w:val="0"/>
          <w:numId w:val="2"/>
        </w:numPr>
        <w:spacing w:after="80"/>
      </w:pPr>
      <w:r>
        <w:t xml:space="preserve">Outreach: 3–5 San Diego wedding planners/venues for a partner link or feature</w:t>
      </w:r>
    </w:p>
    <w:p>
      <w:pPr>
        <w:pStyle w:val="Heading2"/>
        <w:spacing w:after="120" w:before="260"/>
      </w:pPr>
      <w:r>
        <w:t xml:space="preserve">Month 3 — Airport Depth + Wine Tours</w:t>
      </w:r>
    </w:p>
    <w:p>
      <w:pPr>
        <w:pStyle w:val="ListParagraph"/>
        <w:numPr>
          <w:ilvl w:val="0"/>
          <w:numId w:val="2"/>
        </w:numPr>
        <w:spacing w:after="80"/>
      </w:pPr>
      <w:r>
        <w:t xml:space="preserve">Blog: “San Diego to LAX: Price &amp; Time Guide” (Pillar A)</w:t>
      </w:r>
    </w:p>
    <w:p>
      <w:pPr>
        <w:pStyle w:val="ListParagraph"/>
        <w:numPr>
          <w:ilvl w:val="0"/>
          <w:numId w:val="2"/>
        </w:numPr>
        <w:spacing w:after="80"/>
      </w:pPr>
      <w:r>
        <w:t xml:space="preserve">Blog: “Temecula Wine Tour Guide” (Pillar C) — pair with 2 winery partner outreach emails</w:t>
      </w:r>
    </w:p>
    <w:p>
      <w:pPr>
        <w:pStyle w:val="ListParagraph"/>
        <w:numPr>
          <w:ilvl w:val="0"/>
          <w:numId w:val="2"/>
        </w:numPr>
        <w:spacing w:after="80"/>
      </w:pPr>
      <w:r>
        <w:t xml:space="preserve">Social: wine-tour behind-the-scenes, client story, CBX test post if pursuing that opportunity</w:t>
      </w:r>
    </w:p>
    <w:p>
      <w:pPr>
        <w:pStyle w:val="ListParagraph"/>
        <w:numPr>
          <w:ilvl w:val="0"/>
          <w:numId w:val="2"/>
        </w:numPr>
        <w:spacing w:after="80"/>
      </w:pPr>
      <w:r>
        <w:t xml:space="preserve">Review checkpoint: which posts drove direct bookings? Double down on that pillar next quarter</w:t>
      </w:r>
    </w:p>
    <w:p>
      <w:r>
        <w:br w:type="page"/>
      </w:r>
    </w:p>
    <w:p>
      <w:pPr>
        <w:pStyle w:val="Heading1"/>
        <w:spacing w:after="180" w:before="380"/>
      </w:pPr>
      <w:r>
        <w:t xml:space="preserve">7. Local SEO &amp; Distribution</w:t>
      </w:r>
    </w:p>
    <w:p>
      <w:pPr>
        <w:pStyle w:val="Heading2"/>
        <w:spacing w:after="120" w:before="260"/>
      </w:pPr>
      <w:r>
        <w:t xml:space="preserve">Quick wins</w:t>
      </w:r>
    </w:p>
    <w:p>
      <w:pPr>
        <w:pStyle w:val="ListParagraph"/>
        <w:numPr>
          <w:ilvl w:val="0"/>
          <w:numId w:val="2"/>
        </w:numPr>
        <w:spacing w:after="80"/>
      </w:pPr>
      <w:r>
        <w:t xml:space="preserve">Google Business Profile: full categories, service area, photos of the fleet, weekly posts</w:t>
      </w:r>
    </w:p>
    <w:p>
      <w:pPr>
        <w:pStyle w:val="ListParagraph"/>
        <w:numPr>
          <w:ilvl w:val="0"/>
          <w:numId w:val="2"/>
        </w:numPr>
        <w:spacing w:after="80"/>
      </w:pPr>
      <w:r>
        <w:t xml:space="preserve">Ask for a review by text right after every ride — aim for volume, not just the 4.9★ average</w:t>
      </w:r>
    </w:p>
    <w:p>
      <w:pPr>
        <w:pStyle w:val="ListParagraph"/>
        <w:numPr>
          <w:ilvl w:val="0"/>
          <w:numId w:val="2"/>
        </w:numPr>
        <w:spacing w:after="80"/>
      </w:pPr>
      <w:r>
        <w:t xml:space="preserve">Add FAQ schema to the Services page answering: booking lead time, meet-and-greet process, pricing/what's included, cancellation policy, driver vetting, pets — these are the exact questions people ask before booking a black car service</w:t>
      </w:r>
    </w:p>
    <w:p>
      <w:pPr>
        <w:pStyle w:val="ListParagraph"/>
        <w:numPr>
          <w:ilvl w:val="0"/>
          <w:numId w:val="2"/>
        </w:numPr>
        <w:spacing w:after="80"/>
      </w:pPr>
      <w:r>
        <w:t xml:space="preserve">List on Yelp, TripAdvisor San Diego, and (for the events line) The Knot / WeddingWire</w:t>
      </w:r>
    </w:p>
    <w:p>
      <w:pPr>
        <w:pStyle w:val="Heading2"/>
        <w:spacing w:after="120" w:before="260"/>
      </w:pPr>
      <w:r>
        <w:t xml:space="preserve">Distribution beyond the website</w:t>
      </w:r>
    </w:p>
    <w:p>
      <w:pPr>
        <w:pStyle w:val="ListParagraph"/>
        <w:numPr>
          <w:ilvl w:val="0"/>
          <w:numId w:val="2"/>
        </w:numPr>
        <w:spacing w:after="80"/>
      </w:pPr>
      <w:r>
        <w:t xml:space="preserve">Instagram/Facebook: tag venues, wineries, and hotels in relevant posts so their audiences see you</w:t>
      </w:r>
    </w:p>
    <w:p>
      <w:pPr>
        <w:pStyle w:val="ListParagraph"/>
        <w:numPr>
          <w:ilvl w:val="0"/>
          <w:numId w:val="2"/>
        </w:numPr>
        <w:spacing w:after="80"/>
      </w:pPr>
      <w:r>
        <w:t xml:space="preserve">Hotel concierge relationships — a one-pager left with 3–5 SD hotel concierges near the airport and downtown</w:t>
      </w:r>
    </w:p>
    <w:p>
      <w:pPr>
        <w:pStyle w:val="ListParagraph"/>
        <w:numPr>
          <w:ilvl w:val="0"/>
          <w:numId w:val="2"/>
        </w:numPr>
        <w:spacing w:after="80"/>
      </w:pPr>
      <w:r>
        <w:t xml:space="preserve">Nextdoor and San Diego community Facebook groups (English and Spanish-language groups)</w:t>
      </w:r>
    </w:p>
    <w:p>
      <w:pPr>
        <w:pStyle w:val="ListParagraph"/>
        <w:numPr>
          <w:ilvl w:val="0"/>
          <w:numId w:val="2"/>
        </w:numPr>
        <w:spacing w:after="80"/>
      </w:pPr>
      <w:r>
        <w:t xml:space="preserve">LinkedIn (personal profile) for the corporate-account pitch — executives searching for reliable transport are there, not on Instagram</w:t>
      </w:r>
    </w:p>
    <w:p>
      <w:pPr>
        <w:pStyle w:val="Heading1"/>
        <w:spacing w:after="180" w:before="380"/>
      </w:pPr>
      <w:r>
        <w:t xml:space="preserve">8. Measurement</w:t>
      </w:r>
    </w:p>
    <w:p>
      <w:pPr>
        <w:pStyle w:val="ListParagraph"/>
        <w:numPr>
          <w:ilvl w:val="0"/>
          <w:numId w:val="2"/>
        </w:numPr>
        <w:spacing w:after="80"/>
      </w:pPr>
      <w:r>
        <w:t xml:space="preserve">Add a “How did you hear about us?” field to the booking form to track content-driven bookings</w:t>
      </w:r>
    </w:p>
    <w:p>
      <w:pPr>
        <w:pStyle w:val="ListParagraph"/>
        <w:numPr>
          <w:ilvl w:val="0"/>
          <w:numId w:val="2"/>
        </w:numPr>
        <w:spacing w:after="80"/>
      </w:pPr>
      <w:r>
        <w:t xml:space="preserve">Track direct/private booking revenue as its own line against Uber/Lyft dispatch revenue, week over week</w:t>
      </w:r>
    </w:p>
    <w:p>
      <w:pPr>
        <w:pStyle w:val="ListParagraph"/>
        <w:numPr>
          <w:ilvl w:val="0"/>
          <w:numId w:val="2"/>
        </w:numPr>
        <w:spacing w:after="80"/>
      </w:pPr>
      <w:r>
        <w:t xml:space="preserve">Watch which blog posts and social posts precede a spike in booking-page traffic or phone calls</w:t>
      </w:r>
    </w:p>
    <w:p>
      <w:pPr>
        <w:pStyle w:val="ListParagraph"/>
        <w:numPr>
          <w:ilvl w:val="0"/>
          <w:numId w:val="2"/>
        </w:numPr>
        <w:spacing w:after="80"/>
      </w:pPr>
      <w:r>
        <w:t xml:space="preserve">Quarterly: re-run the priority scoring table — kill what isn't converting, double down on what is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80"/>
    </w:pPr>
    <w:rPr>
      <w:rFonts w:ascii="Calibri" w:cs="Calibri" w:eastAsia="Calibri" w:hAnsi="Calibri"/>
      <w:b/>
      <w:bCs/>
      <w:color w:val="9A7B2F"/>
      <w:sz w:val="32"/>
      <w:szCs w:val="32"/>
    </w:rPr>
  </w:style>
  <w:style w:type="paragraph" w:styleId="Heading2">
    <w:name w:val="Heading 2"/>
    <w:basedOn w:val="Normal"/>
    <w:next w:val="Normal"/>
    <w:qFormat/>
    <w:pPr>
      <w:spacing w:after="120" w:before="260"/>
    </w:pPr>
    <w:rPr>
      <w:rFonts w:ascii="Calibri" w:cs="Calibri" w:eastAsia="Calibri" w:hAnsi="Calibri"/>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2026-07-10T19:51:56.924Z</dcterms:created>
  <dcterms:modified xsi:type="dcterms:W3CDTF">2026-07-10T19:51:56.924Z</dcterms:modified>
</cp:coreProperties>
</file>

<file path=docProps/custom.xml><?xml version="1.0" encoding="utf-8"?>
<Properties xmlns="http://schemas.openxmlformats.org/officeDocument/2006/custom-properties" xmlns:vt="http://schemas.openxmlformats.org/officeDocument/2006/docPropsVTypes"/>
</file>