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300" w:lineRule="auto"/>
        <w:jc w:val="center"/>
      </w:pPr>
      <w:r>
        <w:rPr>
          <w:rFonts w:ascii="Calibri" w:hAnsi="Calibri"/>
          <w:b/>
          <w:i w:val="0"/>
          <w:color w:val="2E74B5"/>
          <w:sz w:val="20"/>
        </w:rPr>
        <w:t>DOCUMENT DE PILOTAGE</w:t>
      </w:r>
    </w:p>
    <w:p>
      <w:pPr>
        <w:spacing w:after="360"/>
        <w:jc w:val="center"/>
      </w:pPr>
      <w:r>
        <w:drawing>
          <wp:inline xmlns:a="http://schemas.openxmlformats.org/drawingml/2006/main" xmlns:pic="http://schemas.openxmlformats.org/drawingml/2006/picture">
            <wp:extent cx="960120" cy="835660"/>
            <wp:docPr id="1" name="Picture 1"/>
            <wp:cNvGraphicFramePr>
              <a:graphicFrameLocks noChangeAspect="1"/>
            </wp:cNvGraphicFramePr>
            <a:graphic>
              <a:graphicData uri="http://schemas.openxmlformats.org/drawingml/2006/picture">
                <pic:pic>
                  <pic:nvPicPr>
                    <pic:cNvPr id="0" name="logo-madgi.jpg"/>
                    <pic:cNvPicPr/>
                  </pic:nvPicPr>
                  <pic:blipFill>
                    <a:blip r:embed="rId11"/>
                    <a:stretch>
                      <a:fillRect/>
                    </a:stretch>
                  </pic:blipFill>
                  <pic:spPr>
                    <a:xfrm>
                      <a:off x="0" y="0"/>
                      <a:ext cx="960120" cy="835660"/>
                    </a:xfrm>
                    <a:prstGeom prst="rect"/>
                  </pic:spPr>
                </pic:pic>
              </a:graphicData>
            </a:graphic>
          </wp:inline>
        </w:drawing>
      </w:r>
    </w:p>
    <w:p>
      <w:pPr>
        <w:keepNext w:val="0"/>
        <w:spacing w:before="0" w:after="80" w:line="300" w:lineRule="auto"/>
        <w:jc w:val="center"/>
      </w:pPr>
      <w:r>
        <w:rPr>
          <w:rFonts w:ascii="Calibri" w:hAnsi="Calibri"/>
          <w:b/>
          <w:i w:val="0"/>
          <w:color w:val="17365D"/>
          <w:sz w:val="54"/>
        </w:rPr>
        <w:t>PLAN DE FINALISATION</w:t>
      </w:r>
    </w:p>
    <w:p>
      <w:pPr>
        <w:keepNext w:val="0"/>
        <w:spacing w:before="0" w:after="200" w:line="300" w:lineRule="auto"/>
        <w:jc w:val="center"/>
      </w:pPr>
      <w:r>
        <w:rPr>
          <w:rFonts w:ascii="Calibri" w:hAnsi="Calibri"/>
          <w:b/>
          <w:i w:val="0"/>
          <w:color w:val="2E74B5"/>
          <w:sz w:val="34"/>
        </w:rPr>
        <w:t>MADGI — Épargne Santé Retraite</w:t>
      </w:r>
    </w:p>
    <w:p>
      <w:pPr>
        <w:keepNext w:val="0"/>
        <w:spacing w:before="0" w:after="440" w:line="300" w:lineRule="auto"/>
        <w:jc w:val="center"/>
      </w:pPr>
      <w:r>
        <w:rPr>
          <w:rFonts w:ascii="Calibri" w:hAnsi="Calibri"/>
          <w:b w:val="0"/>
          <w:i/>
          <w:color w:val="666666"/>
          <w:sz w:val="25"/>
        </w:rPr>
        <w:t>Comparaison entre le planning cible et les fonctionnalités déjà disponibles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7FA"/>
          </w:tcPr>
          <w:p>
            <w:pPr>
              <w:spacing w:after="40" w:line="276" w:lineRule="auto"/>
            </w:pPr>
            <w:r/>
            <w:r>
              <w:rPr>
                <w:rFonts w:ascii="Calibri" w:hAnsi="Calibri"/>
                <w:b/>
                <w:i w:val="0"/>
                <w:color w:val="17365D"/>
                <w:sz w:val="21"/>
              </w:rPr>
              <w:t xml:space="preserve">OBJECTIF. </w:t>
            </w:r>
            <w:r>
              <w:rPr>
                <w:rFonts w:ascii="Calibri" w:hAnsi="Calibri"/>
                <w:b w:val="0"/>
                <w:i w:val="0"/>
                <w:color w:val="000000"/>
                <w:sz w:val="21"/>
              </w:rPr>
              <w:t>Servir de boussole commune au Chef de Service ESR, à l’actuaire, à la DSI, aux équipes financières et au développeur jusqu’à la recette et la mise en production.</w:t>
            </w:r>
          </w:p>
        </w:tc>
      </w:tr>
    </w:tbl>
    <w:p>
      <w:pPr>
        <w:spacing w:after="20"/>
      </w:pPr>
    </w:p>
    <w:p>
      <w:pPr>
        <w:keepNext w:val="0"/>
        <w:spacing w:before="360" w:after="80" w:line="300" w:lineRule="auto"/>
        <w:jc w:val="center"/>
      </w:pPr>
      <w:r>
        <w:rPr>
          <w:rFonts w:ascii="Calibri" w:hAnsi="Calibri"/>
          <w:b/>
          <w:i w:val="0"/>
          <w:color w:val="666666"/>
          <w:sz w:val="20"/>
        </w:rPr>
        <w:t>Version 1.0  |  Situation analysée au 25 juillet 2026</w:t>
      </w:r>
    </w:p>
    <w:p>
      <w:pPr>
        <w:keepNext w:val="0"/>
        <w:spacing w:before="0" w:after="0" w:line="300" w:lineRule="auto"/>
        <w:jc w:val="center"/>
      </w:pPr>
      <w:r>
        <w:rPr>
          <w:rFonts w:ascii="Calibri" w:hAnsi="Calibri"/>
          <w:b w:val="0"/>
          <w:i w:val="0"/>
          <w:color w:val="666666"/>
          <w:sz w:val="19"/>
        </w:rPr>
        <w:t>Périmètre : application, documents métier, classeurs actuariels et exigences de réunion</w:t>
      </w:r>
    </w:p>
    <w:p>
      <w:r>
        <w:br w:type="page"/>
      </w:r>
    </w:p>
    <w:p>
      <w:pPr>
        <w:pStyle w:val="Heading1"/>
        <w:keepNext/>
      </w:pPr>
      <w:r>
        <w:rPr>
          <w:rFonts w:ascii="Calibri" w:hAnsi="Calibri"/>
          <w:b/>
          <w:i w:val="0"/>
          <w:color w:val="2E74B5"/>
          <w:sz w:val="32"/>
        </w:rPr>
        <w:t>1. Mode d’emploi de la boussole</w:t>
      </w:r>
    </w:p>
    <w:p>
      <w:pPr>
        <w:keepNext w:val="0"/>
        <w:spacing w:before="0" w:after="120" w:line="300" w:lineRule="auto"/>
        <w:jc w:val="left"/>
      </w:pPr>
      <w:r>
        <w:rPr>
          <w:rFonts w:ascii="Calibri" w:hAnsi="Calibri"/>
          <w:b w:val="0"/>
          <w:i w:val="0"/>
          <w:color w:val="000000"/>
          <w:sz w:val="22"/>
        </w:rPr>
        <w:t>Ce document distingue ce qui existe réellement dans l’application, ce qui est seulement documenté, ce qui reste à développer et ce qui ne peut pas avancer sans décision formelle.</w:t>
      </w:r>
    </w:p>
    <w:tbl>
      <w:tblPr>
        <w:tblW w:type="dxa" w:w="9360"/>
        <w:jc w:val="left"/>
        <w:tblLayout w:type="fixed"/>
        <w:tblLook w:firstColumn="1" w:firstRow="1" w:lastColumn="0" w:lastRow="0" w:noHBand="0" w:noVBand="1" w:val="04A0"/>
        <w:tblInd w:w="120" w:type="dxa"/>
      </w:tblPr>
      <w:tblGrid>
        <w:gridCol w:w="1872"/>
        <w:gridCol w:w="7488"/>
      </w:tblGrid>
      <w:tr>
        <w:tc>
          <w:tcPr>
            <w:tcW w:type="dxa" w:w="1872"/>
            <w:tcMar>
              <w:top w:w="80" w:type="dxa"/>
              <w:start w:w="120" w:type="dxa"/>
              <w:bottom w:w="80" w:type="dxa"/>
              <w:end w:w="120" w:type="dxa"/>
            </w:tcMar>
            <w:shd w:fill="E2F0D9"/>
            <w:vAlign w:val="center"/>
          </w:tcPr>
          <w:p>
            <w:pPr>
              <w:spacing w:before="0" w:after="0" w:line="259" w:lineRule="auto"/>
              <w:jc w:val="center"/>
            </w:pPr>
            <w:r/>
            <w:r>
              <w:rPr>
                <w:rFonts w:ascii="Calibri" w:hAnsi="Calibri"/>
                <w:b/>
                <w:i w:val="0"/>
                <w:color w:val="2E7D32"/>
                <w:sz w:val="18"/>
              </w:rPr>
              <w:t>DISPONIBLE</w:t>
            </w:r>
          </w:p>
        </w:tc>
        <w:tc>
          <w:tcPr>
            <w:tcW w:type="dxa" w:w="7488"/>
            <w:tcMar>
              <w:top w:w="80" w:type="dxa"/>
              <w:start w:w="120" w:type="dxa"/>
              <w:bottom w:w="80" w:type="dxa"/>
              <w:end w:w="120" w:type="dxa"/>
            </w:tcMar>
            <w:vAlign w:val="center"/>
          </w:tcPr>
          <w:p>
            <w:pPr>
              <w:spacing w:before="0" w:after="0" w:line="259" w:lineRule="auto"/>
              <w:jc w:val="left"/>
            </w:pPr>
            <w:r/>
            <w:r>
              <w:rPr>
                <w:rFonts w:ascii="Calibri" w:hAnsi="Calibri"/>
                <w:b w:val="0"/>
                <w:i w:val="0"/>
                <w:color w:val="000000"/>
                <w:sz w:val="19"/>
              </w:rPr>
              <w:t>fonction utilisable ou document de référence exploitable.</w:t>
            </w:r>
          </w:p>
        </w:tc>
      </w:tr>
    </w:tbl>
    <w:tbl>
      <w:tblPr>
        <w:tblW w:type="dxa" w:w="9360"/>
        <w:jc w:val="left"/>
        <w:tblLayout w:type="fixed"/>
        <w:tblLook w:firstColumn="1" w:firstRow="1" w:lastColumn="0" w:lastRow="0" w:noHBand="0" w:noVBand="1" w:val="04A0"/>
        <w:tblInd w:w="120" w:type="dxa"/>
      </w:tblPr>
      <w:tblGrid>
        <w:gridCol w:w="1872"/>
        <w:gridCol w:w="7488"/>
      </w:tblGrid>
      <w:tr>
        <w:tc>
          <w:tcPr>
            <w:tcW w:type="dxa" w:w="1872"/>
            <w:tcMar>
              <w:top w:w="80" w:type="dxa"/>
              <w:start w:w="120" w:type="dxa"/>
              <w:bottom w:w="80" w:type="dxa"/>
              <w:end w:w="120" w:type="dxa"/>
            </w:tcMar>
            <w:shd w:fill="FFF2CC"/>
            <w:vAlign w:val="center"/>
          </w:tcPr>
          <w:p>
            <w:pPr>
              <w:spacing w:before="0" w:after="0" w:line="259" w:lineRule="auto"/>
              <w:jc w:val="center"/>
            </w:pPr>
            <w:r/>
            <w:r>
              <w:rPr>
                <w:rFonts w:ascii="Calibri" w:hAnsi="Calibri"/>
                <w:b/>
                <w:i w:val="0"/>
                <w:color w:val="B26A00"/>
                <w:sz w:val="18"/>
              </w:rPr>
              <w:t>PARTIEL</w:t>
            </w:r>
          </w:p>
        </w:tc>
        <w:tc>
          <w:tcPr>
            <w:tcW w:type="dxa" w:w="7488"/>
            <w:tcMar>
              <w:top w:w="80" w:type="dxa"/>
              <w:start w:w="120" w:type="dxa"/>
              <w:bottom w:w="80" w:type="dxa"/>
              <w:end w:w="120" w:type="dxa"/>
            </w:tcMar>
            <w:vAlign w:val="center"/>
          </w:tcPr>
          <w:p>
            <w:pPr>
              <w:spacing w:before="0" w:after="0" w:line="259" w:lineRule="auto"/>
              <w:jc w:val="left"/>
            </w:pPr>
            <w:r/>
            <w:r>
              <w:rPr>
                <w:rFonts w:ascii="Calibri" w:hAnsi="Calibri"/>
                <w:b w:val="0"/>
                <w:i w:val="0"/>
                <w:color w:val="000000"/>
                <w:sz w:val="19"/>
              </w:rPr>
              <w:t>socle existant, mais contrôle, workflow ou calcul incomplet.</w:t>
            </w:r>
          </w:p>
        </w:tc>
      </w:tr>
    </w:tbl>
    <w:tbl>
      <w:tblPr>
        <w:tblW w:type="dxa" w:w="9360"/>
        <w:jc w:val="left"/>
        <w:tblLayout w:type="fixed"/>
        <w:tblLook w:firstColumn="1" w:firstRow="1" w:lastColumn="0" w:lastRow="0" w:noHBand="0" w:noVBand="1" w:val="04A0"/>
        <w:tblInd w:w="120" w:type="dxa"/>
      </w:tblPr>
      <w:tblGrid>
        <w:gridCol w:w="1872"/>
        <w:gridCol w:w="7488"/>
      </w:tblGrid>
      <w:tr>
        <w:tc>
          <w:tcPr>
            <w:tcW w:type="dxa" w:w="1872"/>
            <w:tcMar>
              <w:top w:w="80" w:type="dxa"/>
              <w:start w:w="120" w:type="dxa"/>
              <w:bottom w:w="80" w:type="dxa"/>
              <w:end w:w="120" w:type="dxa"/>
            </w:tcMar>
            <w:shd w:fill="FCE4D6"/>
            <w:vAlign w:val="center"/>
          </w:tcPr>
          <w:p>
            <w:pPr>
              <w:spacing w:before="0" w:after="0" w:line="259" w:lineRule="auto"/>
              <w:jc w:val="center"/>
            </w:pPr>
            <w:r/>
            <w:r>
              <w:rPr>
                <w:rFonts w:ascii="Calibri" w:hAnsi="Calibri"/>
                <w:b/>
                <w:i w:val="0"/>
                <w:color w:val="C00000"/>
                <w:sz w:val="18"/>
              </w:rPr>
              <w:t>ABSENT</w:t>
            </w:r>
          </w:p>
        </w:tc>
        <w:tc>
          <w:tcPr>
            <w:tcW w:type="dxa" w:w="7488"/>
            <w:tcMar>
              <w:top w:w="80" w:type="dxa"/>
              <w:start w:w="120" w:type="dxa"/>
              <w:bottom w:w="80" w:type="dxa"/>
              <w:end w:w="120" w:type="dxa"/>
            </w:tcMar>
            <w:vAlign w:val="center"/>
          </w:tcPr>
          <w:p>
            <w:pPr>
              <w:spacing w:before="0" w:after="0" w:line="259" w:lineRule="auto"/>
              <w:jc w:val="left"/>
            </w:pPr>
            <w:r/>
            <w:r>
              <w:rPr>
                <w:rFonts w:ascii="Calibri" w:hAnsi="Calibri"/>
                <w:b w:val="0"/>
                <w:i w:val="0"/>
                <w:color w:val="000000"/>
                <w:sz w:val="19"/>
              </w:rPr>
              <w:t>fonction ou livrable à construire.</w:t>
            </w:r>
          </w:p>
        </w:tc>
      </w:tr>
    </w:tbl>
    <w:tbl>
      <w:tblPr>
        <w:tblW w:type="dxa" w:w="9360"/>
        <w:jc w:val="left"/>
        <w:tblLayout w:type="fixed"/>
        <w:tblLook w:firstColumn="1" w:firstRow="1" w:lastColumn="0" w:lastRow="0" w:noHBand="0" w:noVBand="1" w:val="04A0"/>
        <w:tblInd w:w="120" w:type="dxa"/>
      </w:tblPr>
      <w:tblGrid>
        <w:gridCol w:w="1872"/>
        <w:gridCol w:w="7488"/>
      </w:tblGrid>
      <w:tr>
        <w:tc>
          <w:tcPr>
            <w:tcW w:type="dxa" w:w="187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8"/>
              </w:rPr>
              <w:t>ARBITRAGE</w:t>
            </w:r>
          </w:p>
        </w:tc>
        <w:tc>
          <w:tcPr>
            <w:tcW w:type="dxa" w:w="7488"/>
            <w:tcMar>
              <w:top w:w="80" w:type="dxa"/>
              <w:start w:w="120" w:type="dxa"/>
              <w:bottom w:w="80" w:type="dxa"/>
              <w:end w:w="120" w:type="dxa"/>
            </w:tcMar>
            <w:vAlign w:val="center"/>
          </w:tcPr>
          <w:p>
            <w:pPr>
              <w:spacing w:before="0" w:after="0" w:line="259" w:lineRule="auto"/>
              <w:jc w:val="left"/>
            </w:pPr>
            <w:r/>
            <w:r>
              <w:rPr>
                <w:rFonts w:ascii="Calibri" w:hAnsi="Calibri"/>
                <w:b w:val="0"/>
                <w:i w:val="0"/>
                <w:color w:val="000000"/>
                <w:sz w:val="19"/>
              </w:rPr>
              <w:t>décision obligatoire avant implémentation définitive.</w:t>
            </w:r>
          </w:p>
        </w:tc>
      </w:tr>
    </w:tbl>
    <w:p>
      <w:pPr>
        <w:keepNext w:val="0"/>
        <w:spacing w:before="0" w:after="20" w:line="300" w:lineRule="auto"/>
        <w:jc w:val="left"/>
      </w:pPr>
      <w:r>
        <w:rPr>
          <w:rFonts w:ascii="Calibri" w:hAnsi="Calibri"/>
          <w:b w:val="0"/>
          <w:i w:val="0"/>
          <w:color w:val="000000"/>
          <w:sz w:val="22"/>
        </w:rPr>
      </w:r>
    </w:p>
    <w:p>
      <w:pPr>
        <w:pStyle w:val="Heading1"/>
        <w:keepNext/>
      </w:pPr>
      <w:r>
        <w:rPr>
          <w:rFonts w:ascii="Calibri" w:hAnsi="Calibri"/>
          <w:b/>
          <w:i w:val="0"/>
          <w:color w:val="2E74B5"/>
          <w:sz w:val="32"/>
        </w:rPr>
        <w:t>2. Résumé exécutif</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pPr>
              <w:spacing w:after="40" w:line="276" w:lineRule="auto"/>
            </w:pPr>
            <w:r/>
            <w:r>
              <w:rPr>
                <w:rFonts w:ascii="Calibri" w:hAnsi="Calibri"/>
                <w:b/>
                <w:i w:val="0"/>
                <w:color w:val="B26A00"/>
                <w:sz w:val="21"/>
              </w:rPr>
              <w:t xml:space="preserve">CONSTAT. </w:t>
            </w:r>
            <w:r>
              <w:rPr>
                <w:rFonts w:ascii="Calibri" w:hAnsi="Calibri"/>
                <w:b w:val="0"/>
                <w:i w:val="0"/>
                <w:color w:val="000000"/>
                <w:sz w:val="21"/>
              </w:rPr>
              <w:t>Le projet possède un socle applicatif solide : adhérents, bénéficiaires, cotisations, précomptes, paiements, prestations, rentes, comptes ESR, paramètres, utilisateurs et audit. La finalisation dépend surtout du gel des règles financières, du moteur actuariel complet, des workflows de validation, des échanges APS/DGI et des documents officiels.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168"/>
        <w:gridCol w:w="1440"/>
        <w:gridCol w:w="4752"/>
      </w:tblGrid>
      <w:tr>
        <w:trPr>
          <w:tblHeader w:val="true"/>
        </w:trPr>
        <w:tc>
          <w:tcPr>
            <w:tcW w:type="dxa" w:w="3168"/>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Lot</w:t>
            </w:r>
          </w:p>
        </w:tc>
        <w:tc>
          <w:tcPr>
            <w:tcW w:type="dxa" w:w="1440"/>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Estimation</w:t>
            </w:r>
          </w:p>
        </w:tc>
        <w:tc>
          <w:tcPr>
            <w:tcW w:type="dxa" w:w="475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Lecture</w:t>
            </w:r>
          </w:p>
        </w:tc>
      </w:tr>
      <w:tr>
        <w:trPr>
          <w:cantSplit/>
        </w:trPr>
        <w:tc>
          <w:tcPr>
            <w:tcW w:type="dxa" w:w="3168"/>
            <w:vAlign w:val="center"/>
          </w:tcPr>
          <w:p>
            <w:pPr>
              <w:spacing w:before="0" w:after="0" w:line="259" w:lineRule="auto"/>
              <w:jc w:val="left"/>
            </w:pPr>
            <w:r/>
            <w:r>
              <w:rPr>
                <w:rFonts w:ascii="Calibri" w:hAnsi="Calibri"/>
                <w:b w:val="0"/>
                <w:i w:val="0"/>
                <w:color w:val="000000"/>
                <w:sz w:val="18"/>
              </w:rPr>
              <w:t>Arbitrage et cadrage</w:t>
            </w:r>
          </w:p>
        </w:tc>
        <w:tc>
          <w:tcPr>
            <w:tcW w:type="dxa" w:w="1440"/>
            <w:vAlign w:val="center"/>
          </w:tcPr>
          <w:p>
            <w:pPr>
              <w:spacing w:before="0" w:after="0" w:line="259" w:lineRule="auto"/>
              <w:jc w:val="left"/>
            </w:pPr>
            <w:r/>
            <w:r>
              <w:rPr>
                <w:rFonts w:ascii="Calibri" w:hAnsi="Calibri"/>
                <w:b w:val="0"/>
                <w:i w:val="0"/>
                <w:color w:val="000000"/>
                <w:sz w:val="18"/>
              </w:rPr>
              <w:t>50 %</w:t>
            </w:r>
          </w:p>
        </w:tc>
        <w:tc>
          <w:tcPr>
            <w:tcW w:type="dxa" w:w="4752"/>
            <w:vAlign w:val="center"/>
          </w:tcPr>
          <w:p>
            <w:pPr>
              <w:spacing w:before="0" w:after="0" w:line="259" w:lineRule="auto"/>
              <w:jc w:val="left"/>
            </w:pPr>
            <w:r/>
            <w:r>
              <w:rPr>
                <w:rFonts w:ascii="Calibri" w:hAnsi="Calibri"/>
                <w:b w:val="0"/>
                <w:i w:val="0"/>
                <w:color w:val="000000"/>
                <w:sz w:val="18"/>
              </w:rPr>
              <w:t>Sources disponibles, contradictions non tranchées.</w:t>
            </w:r>
          </w:p>
        </w:tc>
      </w:tr>
      <w:tr>
        <w:trPr>
          <w:cantSplit/>
        </w:trPr>
        <w:tc>
          <w:tcPr>
            <w:tcW w:type="dxa" w:w="3168"/>
            <w:vAlign w:val="center"/>
          </w:tcPr>
          <w:p>
            <w:pPr>
              <w:spacing w:before="0" w:after="0" w:line="259" w:lineRule="auto"/>
              <w:jc w:val="left"/>
            </w:pPr>
            <w:r/>
            <w:r>
              <w:rPr>
                <w:rFonts w:ascii="Calibri" w:hAnsi="Calibri"/>
                <w:b w:val="0"/>
                <w:i w:val="0"/>
                <w:color w:val="000000"/>
                <w:sz w:val="18"/>
              </w:rPr>
              <w:t>Moteur actuariel</w:t>
            </w:r>
          </w:p>
        </w:tc>
        <w:tc>
          <w:tcPr>
            <w:tcW w:type="dxa" w:w="1440"/>
            <w:vAlign w:val="center"/>
          </w:tcPr>
          <w:p>
            <w:pPr>
              <w:spacing w:before="0" w:after="0" w:line="259" w:lineRule="auto"/>
              <w:jc w:val="left"/>
            </w:pPr>
            <w:r/>
            <w:r>
              <w:rPr>
                <w:rFonts w:ascii="Calibri" w:hAnsi="Calibri"/>
                <w:b w:val="0"/>
                <w:i w:val="0"/>
                <w:color w:val="000000"/>
                <w:sz w:val="18"/>
              </w:rPr>
              <w:t>40 %</w:t>
            </w:r>
          </w:p>
        </w:tc>
        <w:tc>
          <w:tcPr>
            <w:tcW w:type="dxa" w:w="4752"/>
            <w:vAlign w:val="center"/>
          </w:tcPr>
          <w:p>
            <w:pPr>
              <w:spacing w:before="0" w:after="0" w:line="259" w:lineRule="auto"/>
              <w:jc w:val="left"/>
            </w:pPr>
            <w:r/>
            <w:r>
              <w:rPr>
                <w:rFonts w:ascii="Calibri" w:hAnsi="Calibri"/>
                <w:b w:val="0"/>
                <w:i w:val="0"/>
                <w:color w:val="000000"/>
                <w:sz w:val="18"/>
              </w:rPr>
              <w:t>Cotisation avancée ; PM, rachat, décès et rente incomplets.</w:t>
            </w:r>
          </w:p>
        </w:tc>
      </w:tr>
      <w:tr>
        <w:trPr>
          <w:cantSplit/>
        </w:trPr>
        <w:tc>
          <w:tcPr>
            <w:tcW w:type="dxa" w:w="3168"/>
            <w:vAlign w:val="center"/>
          </w:tcPr>
          <w:p>
            <w:pPr>
              <w:spacing w:before="0" w:after="0" w:line="259" w:lineRule="auto"/>
              <w:jc w:val="left"/>
            </w:pPr>
            <w:r/>
            <w:r>
              <w:rPr>
                <w:rFonts w:ascii="Calibri" w:hAnsi="Calibri"/>
                <w:b w:val="0"/>
                <w:i w:val="0"/>
                <w:color w:val="000000"/>
                <w:sz w:val="18"/>
              </w:rPr>
              <w:t>Adhérents et bénéficiaires</w:t>
            </w:r>
          </w:p>
        </w:tc>
        <w:tc>
          <w:tcPr>
            <w:tcW w:type="dxa" w:w="1440"/>
            <w:vAlign w:val="center"/>
          </w:tcPr>
          <w:p>
            <w:pPr>
              <w:spacing w:before="0" w:after="0" w:line="259" w:lineRule="auto"/>
              <w:jc w:val="left"/>
            </w:pPr>
            <w:r/>
            <w:r>
              <w:rPr>
                <w:rFonts w:ascii="Calibri" w:hAnsi="Calibri"/>
                <w:b w:val="0"/>
                <w:i w:val="0"/>
                <w:color w:val="000000"/>
                <w:sz w:val="18"/>
              </w:rPr>
              <w:t>75 %</w:t>
            </w:r>
          </w:p>
        </w:tc>
        <w:tc>
          <w:tcPr>
            <w:tcW w:type="dxa" w:w="4752"/>
            <w:vAlign w:val="center"/>
          </w:tcPr>
          <w:p>
            <w:pPr>
              <w:spacing w:before="0" w:after="0" w:line="259" w:lineRule="auto"/>
              <w:jc w:val="left"/>
            </w:pPr>
            <w:r/>
            <w:r>
              <w:rPr>
                <w:rFonts w:ascii="Calibri" w:hAnsi="Calibri"/>
                <w:b w:val="0"/>
                <w:i w:val="0"/>
                <w:color w:val="000000"/>
                <w:sz w:val="18"/>
              </w:rPr>
              <w:t>Fonctions principales présentes ; documents à finaliser.</w:t>
            </w:r>
          </w:p>
        </w:tc>
      </w:tr>
      <w:tr>
        <w:trPr>
          <w:cantSplit/>
        </w:trPr>
        <w:tc>
          <w:tcPr>
            <w:tcW w:type="dxa" w:w="3168"/>
            <w:vAlign w:val="center"/>
          </w:tcPr>
          <w:p>
            <w:pPr>
              <w:spacing w:before="0" w:after="0" w:line="259" w:lineRule="auto"/>
              <w:jc w:val="left"/>
            </w:pPr>
            <w:r/>
            <w:r>
              <w:rPr>
                <w:rFonts w:ascii="Calibri" w:hAnsi="Calibri"/>
                <w:b w:val="0"/>
                <w:i w:val="0"/>
                <w:color w:val="000000"/>
                <w:sz w:val="18"/>
              </w:rPr>
              <w:t>Précomptes</w:t>
            </w:r>
          </w:p>
        </w:tc>
        <w:tc>
          <w:tcPr>
            <w:tcW w:type="dxa" w:w="1440"/>
            <w:vAlign w:val="center"/>
          </w:tcPr>
          <w:p>
            <w:pPr>
              <w:spacing w:before="0" w:after="0" w:line="259" w:lineRule="auto"/>
              <w:jc w:val="left"/>
            </w:pPr>
            <w:r/>
            <w:r>
              <w:rPr>
                <w:rFonts w:ascii="Calibri" w:hAnsi="Calibri"/>
                <w:b w:val="0"/>
                <w:i w:val="0"/>
                <w:color w:val="000000"/>
                <w:sz w:val="18"/>
              </w:rPr>
              <w:t>60 %</w:t>
            </w:r>
          </w:p>
        </w:tc>
        <w:tc>
          <w:tcPr>
            <w:tcW w:type="dxa" w:w="4752"/>
            <w:vAlign w:val="center"/>
          </w:tcPr>
          <w:p>
            <w:pPr>
              <w:spacing w:before="0" w:after="0" w:line="259" w:lineRule="auto"/>
              <w:jc w:val="left"/>
            </w:pPr>
            <w:r/>
            <w:r>
              <w:rPr>
                <w:rFonts w:ascii="Calibri" w:hAnsi="Calibri"/>
                <w:b w:val="0"/>
                <w:i w:val="0"/>
                <w:color w:val="000000"/>
                <w:sz w:val="18"/>
              </w:rPr>
              <w:t>Génération présente ; formats officiels et retour DGI manquent.</w:t>
            </w:r>
          </w:p>
        </w:tc>
      </w:tr>
      <w:tr>
        <w:trPr>
          <w:cantSplit/>
        </w:trPr>
        <w:tc>
          <w:tcPr>
            <w:tcW w:type="dxa" w:w="3168"/>
            <w:vAlign w:val="center"/>
          </w:tcPr>
          <w:p>
            <w:pPr>
              <w:spacing w:before="0" w:after="0" w:line="259" w:lineRule="auto"/>
              <w:jc w:val="left"/>
            </w:pPr>
            <w:r/>
            <w:r>
              <w:rPr>
                <w:rFonts w:ascii="Calibri" w:hAnsi="Calibri"/>
                <w:b w:val="0"/>
                <w:i w:val="0"/>
                <w:color w:val="000000"/>
                <w:sz w:val="18"/>
              </w:rPr>
              <w:t>Paiements</w:t>
            </w:r>
          </w:p>
        </w:tc>
        <w:tc>
          <w:tcPr>
            <w:tcW w:type="dxa" w:w="1440"/>
            <w:vAlign w:val="center"/>
          </w:tcPr>
          <w:p>
            <w:pPr>
              <w:spacing w:before="0" w:after="0" w:line="259" w:lineRule="auto"/>
              <w:jc w:val="left"/>
            </w:pPr>
            <w:r/>
            <w:r>
              <w:rPr>
                <w:rFonts w:ascii="Calibri" w:hAnsi="Calibri"/>
                <w:b w:val="0"/>
                <w:i w:val="0"/>
                <w:color w:val="000000"/>
                <w:sz w:val="18"/>
              </w:rPr>
              <w:t>45 %</w:t>
            </w:r>
          </w:p>
        </w:tc>
        <w:tc>
          <w:tcPr>
            <w:tcW w:type="dxa" w:w="4752"/>
            <w:vAlign w:val="center"/>
          </w:tcPr>
          <w:p>
            <w:pPr>
              <w:spacing w:before="0" w:after="0" w:line="259" w:lineRule="auto"/>
              <w:jc w:val="left"/>
            </w:pPr>
            <w:r/>
            <w:r>
              <w:rPr>
                <w:rFonts w:ascii="Calibri" w:hAnsi="Calibri"/>
                <w:b w:val="0"/>
                <w:i w:val="0"/>
                <w:color w:val="000000"/>
                <w:sz w:val="18"/>
              </w:rPr>
              <w:t>Saisie présente ; reçus et validations manquent.</w:t>
            </w:r>
          </w:p>
        </w:tc>
      </w:tr>
      <w:tr>
        <w:trPr>
          <w:cantSplit/>
        </w:trPr>
        <w:tc>
          <w:tcPr>
            <w:tcW w:type="dxa" w:w="3168"/>
            <w:vAlign w:val="center"/>
          </w:tcPr>
          <w:p>
            <w:pPr>
              <w:spacing w:before="0" w:after="0" w:line="259" w:lineRule="auto"/>
              <w:jc w:val="left"/>
            </w:pPr>
            <w:r/>
            <w:r>
              <w:rPr>
                <w:rFonts w:ascii="Calibri" w:hAnsi="Calibri"/>
                <w:b w:val="0"/>
                <w:i w:val="0"/>
                <w:color w:val="000000"/>
                <w:sz w:val="18"/>
              </w:rPr>
              <w:t>Prestations et rentes</w:t>
            </w:r>
          </w:p>
        </w:tc>
        <w:tc>
          <w:tcPr>
            <w:tcW w:type="dxa" w:w="1440"/>
            <w:vAlign w:val="center"/>
          </w:tcPr>
          <w:p>
            <w:pPr>
              <w:spacing w:before="0" w:after="0" w:line="259" w:lineRule="auto"/>
              <w:jc w:val="left"/>
            </w:pPr>
            <w:r/>
            <w:r>
              <w:rPr>
                <w:rFonts w:ascii="Calibri" w:hAnsi="Calibri"/>
                <w:b w:val="0"/>
                <w:i w:val="0"/>
                <w:color w:val="000000"/>
                <w:sz w:val="18"/>
              </w:rPr>
              <w:t>35 %</w:t>
            </w:r>
          </w:p>
        </w:tc>
        <w:tc>
          <w:tcPr>
            <w:tcW w:type="dxa" w:w="4752"/>
            <w:vAlign w:val="center"/>
          </w:tcPr>
          <w:p>
            <w:pPr>
              <w:spacing w:before="0" w:after="0" w:line="259" w:lineRule="auto"/>
              <w:jc w:val="left"/>
            </w:pPr>
            <w:r/>
            <w:r>
              <w:rPr>
                <w:rFonts w:ascii="Calibri" w:hAnsi="Calibri"/>
                <w:b w:val="0"/>
                <w:i w:val="0"/>
                <w:color w:val="000000"/>
                <w:sz w:val="18"/>
              </w:rPr>
              <w:t>Écrans présents ; workflows et calculs automatiques manquent.</w:t>
            </w:r>
          </w:p>
        </w:tc>
      </w:tr>
      <w:tr>
        <w:trPr>
          <w:cantSplit/>
        </w:trPr>
        <w:tc>
          <w:tcPr>
            <w:tcW w:type="dxa" w:w="3168"/>
            <w:vAlign w:val="center"/>
          </w:tcPr>
          <w:p>
            <w:pPr>
              <w:spacing w:before="0" w:after="0" w:line="259" w:lineRule="auto"/>
              <w:jc w:val="left"/>
            </w:pPr>
            <w:r/>
            <w:r>
              <w:rPr>
                <w:rFonts w:ascii="Calibri" w:hAnsi="Calibri"/>
                <w:b w:val="0"/>
                <w:i w:val="0"/>
                <w:color w:val="000000"/>
                <w:sz w:val="18"/>
              </w:rPr>
              <w:t>Reporting</w:t>
            </w:r>
          </w:p>
        </w:tc>
        <w:tc>
          <w:tcPr>
            <w:tcW w:type="dxa" w:w="1440"/>
            <w:vAlign w:val="center"/>
          </w:tcPr>
          <w:p>
            <w:pPr>
              <w:spacing w:before="0" w:after="0" w:line="259" w:lineRule="auto"/>
              <w:jc w:val="left"/>
            </w:pPr>
            <w:r/>
            <w:r>
              <w:rPr>
                <w:rFonts w:ascii="Calibri" w:hAnsi="Calibri"/>
                <w:b w:val="0"/>
                <w:i w:val="0"/>
                <w:color w:val="000000"/>
                <w:sz w:val="18"/>
              </w:rPr>
              <w:t>30 %</w:t>
            </w:r>
          </w:p>
        </w:tc>
        <w:tc>
          <w:tcPr>
            <w:tcW w:type="dxa" w:w="4752"/>
            <w:vAlign w:val="center"/>
          </w:tcPr>
          <w:p>
            <w:pPr>
              <w:spacing w:before="0" w:after="0" w:line="259" w:lineRule="auto"/>
              <w:jc w:val="left"/>
            </w:pPr>
            <w:r/>
            <w:r>
              <w:rPr>
                <w:rFonts w:ascii="Calibri" w:hAnsi="Calibri"/>
                <w:b w:val="0"/>
                <w:i w:val="0"/>
                <w:color w:val="000000"/>
                <w:sz w:val="18"/>
              </w:rPr>
              <w:t>Dashboard présent ; états réglementaires à construire.</w:t>
            </w:r>
          </w:p>
        </w:tc>
      </w:tr>
      <w:tr>
        <w:trPr>
          <w:cantSplit/>
        </w:trPr>
        <w:tc>
          <w:tcPr>
            <w:tcW w:type="dxa" w:w="3168"/>
            <w:vAlign w:val="center"/>
          </w:tcPr>
          <w:p>
            <w:pPr>
              <w:spacing w:before="0" w:after="0" w:line="259" w:lineRule="auto"/>
              <w:jc w:val="left"/>
            </w:pPr>
            <w:r/>
            <w:r>
              <w:rPr>
                <w:rFonts w:ascii="Calibri" w:hAnsi="Calibri"/>
                <w:b w:val="0"/>
                <w:i w:val="0"/>
                <w:color w:val="000000"/>
                <w:sz w:val="18"/>
              </w:rPr>
              <w:t>Sécurité et audit</w:t>
            </w:r>
          </w:p>
        </w:tc>
        <w:tc>
          <w:tcPr>
            <w:tcW w:type="dxa" w:w="1440"/>
            <w:vAlign w:val="center"/>
          </w:tcPr>
          <w:p>
            <w:pPr>
              <w:spacing w:before="0" w:after="0" w:line="259" w:lineRule="auto"/>
              <w:jc w:val="left"/>
            </w:pPr>
            <w:r/>
            <w:r>
              <w:rPr>
                <w:rFonts w:ascii="Calibri" w:hAnsi="Calibri"/>
                <w:b w:val="0"/>
                <w:i w:val="0"/>
                <w:color w:val="000000"/>
                <w:sz w:val="18"/>
              </w:rPr>
              <w:t>70 %</w:t>
            </w:r>
          </w:p>
        </w:tc>
        <w:tc>
          <w:tcPr>
            <w:tcW w:type="dxa" w:w="4752"/>
            <w:vAlign w:val="center"/>
          </w:tcPr>
          <w:p>
            <w:pPr>
              <w:spacing w:before="0" w:after="0" w:line="259" w:lineRule="auto"/>
              <w:jc w:val="left"/>
            </w:pPr>
            <w:r/>
            <w:r>
              <w:rPr>
                <w:rFonts w:ascii="Calibri" w:hAnsi="Calibri"/>
                <w:b w:val="0"/>
                <w:i w:val="0"/>
                <w:color w:val="000000"/>
                <w:sz w:val="18"/>
              </w:rPr>
              <w:t>Bonne base ; homologation et exploitation à compléter.</w:t>
            </w:r>
          </w:p>
        </w:tc>
      </w:tr>
      <w:tr>
        <w:trPr>
          <w:cantSplit/>
        </w:trPr>
        <w:tc>
          <w:tcPr>
            <w:tcW w:type="dxa" w:w="3168"/>
            <w:vAlign w:val="center"/>
          </w:tcPr>
          <w:p>
            <w:pPr>
              <w:spacing w:before="0" w:after="0" w:line="259" w:lineRule="auto"/>
              <w:jc w:val="left"/>
            </w:pPr>
            <w:r/>
            <w:r>
              <w:rPr>
                <w:rFonts w:ascii="Calibri" w:hAnsi="Calibri"/>
                <w:b w:val="0"/>
                <w:i w:val="0"/>
                <w:color w:val="000000"/>
                <w:sz w:val="18"/>
              </w:rPr>
              <w:t>Migration</w:t>
            </w:r>
          </w:p>
        </w:tc>
        <w:tc>
          <w:tcPr>
            <w:tcW w:type="dxa" w:w="1440"/>
            <w:vAlign w:val="center"/>
          </w:tcPr>
          <w:p>
            <w:pPr>
              <w:spacing w:before="0" w:after="0" w:line="259" w:lineRule="auto"/>
              <w:jc w:val="left"/>
            </w:pPr>
            <w:r/>
            <w:r>
              <w:rPr>
                <w:rFonts w:ascii="Calibri" w:hAnsi="Calibri"/>
                <w:b w:val="0"/>
                <w:i w:val="0"/>
                <w:color w:val="000000"/>
                <w:sz w:val="18"/>
              </w:rPr>
              <w:t>15 %</w:t>
            </w:r>
          </w:p>
        </w:tc>
        <w:tc>
          <w:tcPr>
            <w:tcW w:type="dxa" w:w="4752"/>
            <w:vAlign w:val="center"/>
          </w:tcPr>
          <w:p>
            <w:pPr>
              <w:spacing w:before="0" w:after="0" w:line="259" w:lineRule="auto"/>
              <w:jc w:val="left"/>
            </w:pPr>
            <w:r/>
            <w:r>
              <w:rPr>
                <w:rFonts w:ascii="Calibri" w:hAnsi="Calibri"/>
                <w:b w:val="0"/>
                <w:i w:val="0"/>
                <w:color w:val="000000"/>
                <w:sz w:val="18"/>
              </w:rPr>
              <w:t>Sources reçues ; processus d’import non finalisé.</w:t>
            </w:r>
          </w:p>
        </w:tc>
      </w:tr>
      <w:tr>
        <w:trPr>
          <w:cantSplit/>
        </w:trPr>
        <w:tc>
          <w:tcPr>
            <w:tcW w:type="dxa" w:w="3168"/>
            <w:vAlign w:val="center"/>
          </w:tcPr>
          <w:p>
            <w:pPr>
              <w:spacing w:before="0" w:after="0" w:line="259" w:lineRule="auto"/>
              <w:jc w:val="left"/>
            </w:pPr>
            <w:r/>
            <w:r>
              <w:rPr>
                <w:rFonts w:ascii="Calibri" w:hAnsi="Calibri"/>
                <w:b w:val="0"/>
                <w:i w:val="0"/>
                <w:color w:val="000000"/>
                <w:sz w:val="18"/>
              </w:rPr>
              <w:t>Documentation/déploiement</w:t>
            </w:r>
          </w:p>
        </w:tc>
        <w:tc>
          <w:tcPr>
            <w:tcW w:type="dxa" w:w="1440"/>
            <w:vAlign w:val="center"/>
          </w:tcPr>
          <w:p>
            <w:pPr>
              <w:spacing w:before="0" w:after="0" w:line="259" w:lineRule="auto"/>
              <w:jc w:val="left"/>
            </w:pPr>
            <w:r/>
            <w:r>
              <w:rPr>
                <w:rFonts w:ascii="Calibri" w:hAnsi="Calibri"/>
                <w:b w:val="0"/>
                <w:i w:val="0"/>
                <w:color w:val="000000"/>
                <w:sz w:val="18"/>
              </w:rPr>
              <w:t>30 %</w:t>
            </w:r>
          </w:p>
        </w:tc>
        <w:tc>
          <w:tcPr>
            <w:tcW w:type="dxa" w:w="4752"/>
            <w:vAlign w:val="center"/>
          </w:tcPr>
          <w:p>
            <w:pPr>
              <w:spacing w:before="0" w:after="0" w:line="259" w:lineRule="auto"/>
              <w:jc w:val="left"/>
            </w:pPr>
            <w:r/>
            <w:r>
              <w:rPr>
                <w:rFonts w:ascii="Calibri" w:hAnsi="Calibri"/>
                <w:b w:val="0"/>
                <w:i w:val="0"/>
                <w:color w:val="000000"/>
                <w:sz w:val="18"/>
              </w:rPr>
              <w:t>Configuration partielle ; PRA et guides manquent.</w:t>
            </w:r>
          </w:p>
        </w:tc>
      </w:tr>
    </w:tbl>
    <w:p>
      <w:pPr>
        <w:spacing w:after="40"/>
      </w:pPr>
    </w:p>
    <w:p>
      <w:pPr>
        <w:keepNext w:val="0"/>
        <w:spacing w:before="0" w:after="120" w:line="300" w:lineRule="auto"/>
        <w:jc w:val="left"/>
      </w:pPr>
      <w:r>
        <w:rPr>
          <w:rFonts w:ascii="Calibri" w:hAnsi="Calibri"/>
          <w:b/>
          <w:i w:val="0"/>
          <w:color w:val="17365D"/>
          <w:sz w:val="21"/>
        </w:rPr>
        <w:t>Durée cible : 6 semaines avec disponibilité régulière des décideurs et de l’actuaire ; 7 à 8 semaines avec un seul développeur ou des validations différées.</w:t>
      </w:r>
    </w:p>
    <w:p>
      <w:r>
        <w:br w:type="page"/>
      </w:r>
    </w:p>
    <w:p>
      <w:pPr>
        <w:pStyle w:val="Heading1"/>
        <w:keepNext/>
      </w:pPr>
      <w:r>
        <w:rPr>
          <w:rFonts w:ascii="Calibri" w:hAnsi="Calibri"/>
          <w:b/>
          <w:i w:val="0"/>
          <w:color w:val="2E74B5"/>
          <w:sz w:val="32"/>
        </w:rPr>
        <w:t>3. Décisions bloquantes à prendre</w:t>
      </w:r>
    </w:p>
    <w:p>
      <w:pPr>
        <w:keepNext w:val="0"/>
        <w:spacing w:before="0" w:after="120" w:line="300" w:lineRule="auto"/>
        <w:jc w:val="left"/>
      </w:pPr>
      <w:r>
        <w:rPr>
          <w:rFonts w:ascii="Calibri" w:hAnsi="Calibri"/>
          <w:b w:val="0"/>
          <w:i w:val="0"/>
          <w:color w:val="000000"/>
          <w:sz w:val="22"/>
        </w:rPr>
        <w:t>Ces décisions constituent la porte d’entrée du planning. Aucun développement financier définitif ne doit être validé avant leur signature.</w:t>
      </w:r>
    </w:p>
    <w:tbl>
      <w:tblPr>
        <w:tblStyle w:val="TableGrid"/>
        <w:tblW w:type="dxa" w:w="9360"/>
        <w:jc w:val="left"/>
        <w:tblLayout w:type="fixed"/>
        <w:tblLook w:firstColumn="1" w:firstRow="1" w:lastColumn="0" w:lastRow="0" w:noHBand="0" w:noVBand="1" w:val="04A0"/>
        <w:tblInd w:w="120" w:type="dxa"/>
      </w:tblPr>
      <w:tblGrid>
        <w:gridCol w:w="1512"/>
        <w:gridCol w:w="3816"/>
        <w:gridCol w:w="1656"/>
        <w:gridCol w:w="936"/>
        <w:gridCol w:w="1440"/>
      </w:tblGrid>
      <w:tr>
        <w:trPr>
          <w:tblHeader w:val="true"/>
        </w:trPr>
        <w:tc>
          <w:tcPr>
            <w:tcW w:type="dxa" w:w="151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Sujet</w:t>
            </w:r>
          </w:p>
        </w:tc>
        <w:tc>
          <w:tcPr>
            <w:tcW w:type="dxa" w:w="381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Décision attendue</w:t>
            </w:r>
          </w:p>
        </w:tc>
        <w:tc>
          <w:tcPr>
            <w:tcW w:type="dxa" w:w="165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Responsable</w:t>
            </w:r>
          </w:p>
        </w:tc>
        <w:tc>
          <w:tcPr>
            <w:tcW w:type="dxa" w:w="93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Échéance</w:t>
            </w:r>
          </w:p>
        </w:tc>
        <w:tc>
          <w:tcPr>
            <w:tcW w:type="dxa" w:w="1440"/>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État</w:t>
            </w:r>
          </w:p>
        </w:tc>
      </w:tr>
      <w:tr>
        <w:trPr>
          <w:cantSplit/>
        </w:trPr>
        <w:tc>
          <w:tcPr>
            <w:tcW w:type="dxa" w:w="1512"/>
            <w:vAlign w:val="center"/>
          </w:tcPr>
          <w:p>
            <w:pPr>
              <w:spacing w:before="0" w:after="0" w:line="259" w:lineRule="auto"/>
              <w:jc w:val="left"/>
            </w:pPr>
            <w:r/>
            <w:r>
              <w:rPr>
                <w:rFonts w:ascii="Calibri" w:hAnsi="Calibri"/>
                <w:b w:val="0"/>
                <w:i w:val="0"/>
                <w:color w:val="000000"/>
                <w:sz w:val="16"/>
              </w:rPr>
              <w:t>Rachat</w:t>
            </w:r>
          </w:p>
        </w:tc>
        <w:tc>
          <w:tcPr>
            <w:tcW w:type="dxa" w:w="3816"/>
            <w:vAlign w:val="center"/>
          </w:tcPr>
          <w:p>
            <w:pPr>
              <w:spacing w:before="0" w:after="0" w:line="259" w:lineRule="auto"/>
              <w:jc w:val="left"/>
            </w:pPr>
            <w:r/>
            <w:r>
              <w:rPr>
                <w:rFonts w:ascii="Calibri" w:hAnsi="Calibri"/>
                <w:b w:val="0"/>
                <w:i w:val="0"/>
                <w:color w:val="000000"/>
                <w:sz w:val="16"/>
              </w:rPr>
              <w:t>Après 2 ans ? Retenue totale 5 % ou 10 % ? Résiliation identique au rachat ?</w:t>
            </w:r>
          </w:p>
        </w:tc>
        <w:tc>
          <w:tcPr>
            <w:tcW w:type="dxa" w:w="1656"/>
            <w:vAlign w:val="center"/>
          </w:tcPr>
          <w:p>
            <w:pPr>
              <w:spacing w:before="0" w:after="0" w:line="259" w:lineRule="auto"/>
              <w:jc w:val="left"/>
            </w:pPr>
            <w:r/>
            <w:r>
              <w:rPr>
                <w:rFonts w:ascii="Calibri" w:hAnsi="Calibri"/>
                <w:b w:val="0"/>
                <w:i w:val="0"/>
                <w:color w:val="000000"/>
                <w:sz w:val="16"/>
              </w:rPr>
              <w:t>Chef ESR + Actuaire</w:t>
            </w:r>
          </w:p>
        </w:tc>
        <w:tc>
          <w:tcPr>
            <w:tcW w:type="dxa" w:w="936"/>
            <w:vAlign w:val="center"/>
          </w:tcPr>
          <w:p>
            <w:pPr>
              <w:spacing w:before="0" w:after="0" w:line="259" w:lineRule="auto"/>
              <w:jc w:val="left"/>
            </w:pPr>
            <w:r/>
            <w:r>
              <w:rPr>
                <w:rFonts w:ascii="Calibri" w:hAnsi="Calibri"/>
                <w:b w:val="0"/>
                <w:i w:val="0"/>
                <w:color w:val="000000"/>
                <w:sz w:val="16"/>
              </w:rPr>
              <w:t>S1</w:t>
            </w:r>
          </w:p>
        </w:tc>
        <w:tc>
          <w:tcPr>
            <w:tcW w:type="dxa" w:w="1440"/>
            <w:vAlign w:val="center"/>
          </w:tcPr>
          <w:p>
            <w:pPr>
              <w:spacing w:before="0" w:after="0" w:line="259" w:lineRule="auto"/>
              <w:jc w:val="left"/>
            </w:pPr>
            <w:r/>
            <w:r>
              <w:rPr>
                <w:rFonts w:ascii="Calibri" w:hAnsi="Calibri"/>
                <w:b w:val="0"/>
                <w:i w:val="0"/>
                <w:color w:val="000000"/>
                <w:sz w:val="16"/>
              </w:rPr>
              <w:t>À décider</w:t>
            </w:r>
          </w:p>
        </w:tc>
      </w:tr>
      <w:tr>
        <w:trPr>
          <w:cantSplit/>
        </w:trPr>
        <w:tc>
          <w:tcPr>
            <w:tcW w:type="dxa" w:w="1512"/>
            <w:vAlign w:val="center"/>
          </w:tcPr>
          <w:p>
            <w:pPr>
              <w:spacing w:before="0" w:after="0" w:line="259" w:lineRule="auto"/>
              <w:jc w:val="left"/>
            </w:pPr>
            <w:r/>
            <w:r>
              <w:rPr>
                <w:rFonts w:ascii="Calibri" w:hAnsi="Calibri"/>
                <w:b w:val="0"/>
                <w:i w:val="0"/>
                <w:color w:val="000000"/>
                <w:sz w:val="16"/>
              </w:rPr>
              <w:t>Décès avant retraite</w:t>
            </w:r>
          </w:p>
        </w:tc>
        <w:tc>
          <w:tcPr>
            <w:tcW w:type="dxa" w:w="3816"/>
            <w:vAlign w:val="center"/>
          </w:tcPr>
          <w:p>
            <w:pPr>
              <w:spacing w:before="0" w:after="0" w:line="259" w:lineRule="auto"/>
              <w:jc w:val="left"/>
            </w:pPr>
            <w:r/>
            <w:r>
              <w:rPr>
                <w:rFonts w:ascii="Calibri" w:hAnsi="Calibri"/>
                <w:b w:val="0"/>
                <w:i w:val="0"/>
                <w:color w:val="000000"/>
                <w:sz w:val="16"/>
              </w:rPr>
              <w:t>Versement de 95 % ou 100 % de l’épargne constituée ?</w:t>
            </w:r>
          </w:p>
        </w:tc>
        <w:tc>
          <w:tcPr>
            <w:tcW w:type="dxa" w:w="1656"/>
            <w:vAlign w:val="center"/>
          </w:tcPr>
          <w:p>
            <w:pPr>
              <w:spacing w:before="0" w:after="0" w:line="259" w:lineRule="auto"/>
              <w:jc w:val="left"/>
            </w:pPr>
            <w:r/>
            <w:r>
              <w:rPr>
                <w:rFonts w:ascii="Calibri" w:hAnsi="Calibri"/>
                <w:b w:val="0"/>
                <w:i w:val="0"/>
                <w:color w:val="000000"/>
                <w:sz w:val="16"/>
              </w:rPr>
              <w:t>Chef ESR + Actuaire</w:t>
            </w:r>
          </w:p>
        </w:tc>
        <w:tc>
          <w:tcPr>
            <w:tcW w:type="dxa" w:w="936"/>
            <w:vAlign w:val="center"/>
          </w:tcPr>
          <w:p>
            <w:pPr>
              <w:spacing w:before="0" w:after="0" w:line="259" w:lineRule="auto"/>
              <w:jc w:val="left"/>
            </w:pPr>
            <w:r/>
            <w:r>
              <w:rPr>
                <w:rFonts w:ascii="Calibri" w:hAnsi="Calibri"/>
                <w:b w:val="0"/>
                <w:i w:val="0"/>
                <w:color w:val="000000"/>
                <w:sz w:val="16"/>
              </w:rPr>
              <w:t>S1</w:t>
            </w:r>
          </w:p>
        </w:tc>
        <w:tc>
          <w:tcPr>
            <w:tcW w:type="dxa" w:w="1440"/>
            <w:vAlign w:val="center"/>
          </w:tcPr>
          <w:p>
            <w:pPr>
              <w:spacing w:before="0" w:after="0" w:line="259" w:lineRule="auto"/>
              <w:jc w:val="left"/>
            </w:pPr>
            <w:r/>
            <w:r>
              <w:rPr>
                <w:rFonts w:ascii="Calibri" w:hAnsi="Calibri"/>
                <w:b w:val="0"/>
                <w:i w:val="0"/>
                <w:color w:val="000000"/>
                <w:sz w:val="16"/>
              </w:rPr>
              <w:t>À décider</w:t>
            </w:r>
          </w:p>
        </w:tc>
      </w:tr>
      <w:tr>
        <w:trPr>
          <w:cantSplit/>
        </w:trPr>
        <w:tc>
          <w:tcPr>
            <w:tcW w:type="dxa" w:w="1512"/>
            <w:vAlign w:val="center"/>
          </w:tcPr>
          <w:p>
            <w:pPr>
              <w:spacing w:before="0" w:after="0" w:line="259" w:lineRule="auto"/>
              <w:jc w:val="left"/>
            </w:pPr>
            <w:r/>
            <w:r>
              <w:rPr>
                <w:rFonts w:ascii="Calibri" w:hAnsi="Calibri"/>
                <w:b w:val="0"/>
                <w:i w:val="0"/>
                <w:color w:val="000000"/>
                <w:sz w:val="16"/>
              </w:rPr>
              <w:t>Décès pendant rente</w:t>
            </w:r>
          </w:p>
        </w:tc>
        <w:tc>
          <w:tcPr>
            <w:tcW w:type="dxa" w:w="3816"/>
            <w:vAlign w:val="center"/>
          </w:tcPr>
          <w:p>
            <w:pPr>
              <w:spacing w:before="0" w:after="0" w:line="259" w:lineRule="auto"/>
              <w:jc w:val="left"/>
            </w:pPr>
            <w:r/>
            <w:r>
              <w:rPr>
                <w:rFonts w:ascii="Calibri" w:hAnsi="Calibri"/>
                <w:b w:val="0"/>
                <w:i w:val="0"/>
                <w:color w:val="000000"/>
                <w:sz w:val="16"/>
              </w:rPr>
              <w:t>Date d’arrêt, trimestre du décès et calcul du capital restant dû.</w:t>
            </w:r>
          </w:p>
        </w:tc>
        <w:tc>
          <w:tcPr>
            <w:tcW w:type="dxa" w:w="1656"/>
            <w:vAlign w:val="center"/>
          </w:tcPr>
          <w:p>
            <w:pPr>
              <w:spacing w:before="0" w:after="0" w:line="259" w:lineRule="auto"/>
              <w:jc w:val="left"/>
            </w:pPr>
            <w:r/>
            <w:r>
              <w:rPr>
                <w:rFonts w:ascii="Calibri" w:hAnsi="Calibri"/>
                <w:b w:val="0"/>
                <w:i w:val="0"/>
                <w:color w:val="000000"/>
                <w:sz w:val="16"/>
              </w:rPr>
              <w:t>Actuaire</w:t>
            </w:r>
          </w:p>
        </w:tc>
        <w:tc>
          <w:tcPr>
            <w:tcW w:type="dxa" w:w="936"/>
            <w:vAlign w:val="center"/>
          </w:tcPr>
          <w:p>
            <w:pPr>
              <w:spacing w:before="0" w:after="0" w:line="259" w:lineRule="auto"/>
              <w:jc w:val="left"/>
            </w:pPr>
            <w:r/>
            <w:r>
              <w:rPr>
                <w:rFonts w:ascii="Calibri" w:hAnsi="Calibri"/>
                <w:b w:val="0"/>
                <w:i w:val="0"/>
                <w:color w:val="000000"/>
                <w:sz w:val="16"/>
              </w:rPr>
              <w:t>S1</w:t>
            </w:r>
          </w:p>
        </w:tc>
        <w:tc>
          <w:tcPr>
            <w:tcW w:type="dxa" w:w="1440"/>
            <w:vAlign w:val="center"/>
          </w:tcPr>
          <w:p>
            <w:pPr>
              <w:spacing w:before="0" w:after="0" w:line="259" w:lineRule="auto"/>
              <w:jc w:val="left"/>
            </w:pPr>
            <w:r/>
            <w:r>
              <w:rPr>
                <w:rFonts w:ascii="Calibri" w:hAnsi="Calibri"/>
                <w:b w:val="0"/>
                <w:i w:val="0"/>
                <w:color w:val="000000"/>
                <w:sz w:val="16"/>
              </w:rPr>
              <w:t>À décider</w:t>
            </w:r>
          </w:p>
        </w:tc>
      </w:tr>
      <w:tr>
        <w:trPr>
          <w:cantSplit/>
        </w:trPr>
        <w:tc>
          <w:tcPr>
            <w:tcW w:type="dxa" w:w="1512"/>
            <w:vAlign w:val="center"/>
          </w:tcPr>
          <w:p>
            <w:pPr>
              <w:spacing w:before="0" w:after="0" w:line="259" w:lineRule="auto"/>
              <w:jc w:val="left"/>
            </w:pPr>
            <w:r/>
            <w:r>
              <w:rPr>
                <w:rFonts w:ascii="Calibri" w:hAnsi="Calibri"/>
                <w:b w:val="0"/>
                <w:i w:val="0"/>
                <w:color w:val="000000"/>
                <w:sz w:val="16"/>
              </w:rPr>
              <w:t>Couverture retraite</w:t>
            </w:r>
          </w:p>
        </w:tc>
        <w:tc>
          <w:tcPr>
            <w:tcW w:type="dxa" w:w="3816"/>
            <w:vAlign w:val="center"/>
          </w:tcPr>
          <w:p>
            <w:pPr>
              <w:spacing w:before="0" w:after="0" w:line="259" w:lineRule="auto"/>
              <w:jc w:val="left"/>
            </w:pPr>
            <w:r/>
            <w:r>
              <w:rPr>
                <w:rFonts w:ascii="Calibri" w:hAnsi="Calibri"/>
                <w:b w:val="0"/>
                <w:i w:val="0"/>
                <w:color w:val="000000"/>
                <w:sz w:val="16"/>
              </w:rPr>
              <w:t>Séparer remboursement des soins à 80 % et paiement de la cotisation maladie.</w:t>
            </w:r>
          </w:p>
        </w:tc>
        <w:tc>
          <w:tcPr>
            <w:tcW w:type="dxa" w:w="1656"/>
            <w:vAlign w:val="center"/>
          </w:tcPr>
          <w:p>
            <w:pPr>
              <w:spacing w:before="0" w:after="0" w:line="259" w:lineRule="auto"/>
              <w:jc w:val="left"/>
            </w:pPr>
            <w:r/>
            <w:r>
              <w:rPr>
                <w:rFonts w:ascii="Calibri" w:hAnsi="Calibri"/>
                <w:b w:val="0"/>
                <w:i w:val="0"/>
                <w:color w:val="000000"/>
                <w:sz w:val="16"/>
              </w:rPr>
              <w:t>Chef ESR</w:t>
            </w:r>
          </w:p>
        </w:tc>
        <w:tc>
          <w:tcPr>
            <w:tcW w:type="dxa" w:w="936"/>
            <w:vAlign w:val="center"/>
          </w:tcPr>
          <w:p>
            <w:pPr>
              <w:spacing w:before="0" w:after="0" w:line="259" w:lineRule="auto"/>
              <w:jc w:val="left"/>
            </w:pPr>
            <w:r/>
            <w:r>
              <w:rPr>
                <w:rFonts w:ascii="Calibri" w:hAnsi="Calibri"/>
                <w:b w:val="0"/>
                <w:i w:val="0"/>
                <w:color w:val="000000"/>
                <w:sz w:val="16"/>
              </w:rPr>
              <w:t>S1</w:t>
            </w:r>
          </w:p>
        </w:tc>
        <w:tc>
          <w:tcPr>
            <w:tcW w:type="dxa" w:w="1440"/>
            <w:vAlign w:val="center"/>
          </w:tcPr>
          <w:p>
            <w:pPr>
              <w:spacing w:before="0" w:after="0" w:line="259" w:lineRule="auto"/>
              <w:jc w:val="left"/>
            </w:pPr>
            <w:r/>
            <w:r>
              <w:rPr>
                <w:rFonts w:ascii="Calibri" w:hAnsi="Calibri"/>
                <w:b w:val="0"/>
                <w:i w:val="0"/>
                <w:color w:val="000000"/>
                <w:sz w:val="16"/>
              </w:rPr>
              <w:t>À décider</w:t>
            </w:r>
          </w:p>
        </w:tc>
      </w:tr>
      <w:tr>
        <w:trPr>
          <w:cantSplit/>
        </w:trPr>
        <w:tc>
          <w:tcPr>
            <w:tcW w:type="dxa" w:w="1512"/>
            <w:vAlign w:val="center"/>
          </w:tcPr>
          <w:p>
            <w:pPr>
              <w:spacing w:before="0" w:after="0" w:line="259" w:lineRule="auto"/>
              <w:jc w:val="left"/>
            </w:pPr>
            <w:r/>
            <w:r>
              <w:rPr>
                <w:rFonts w:ascii="Calibri" w:hAnsi="Calibri"/>
                <w:b w:val="0"/>
                <w:i w:val="0"/>
                <w:color w:val="000000"/>
                <w:sz w:val="16"/>
              </w:rPr>
              <w:t>Âge de retraite</w:t>
            </w:r>
          </w:p>
        </w:tc>
        <w:tc>
          <w:tcPr>
            <w:tcW w:type="dxa" w:w="3816"/>
            <w:vAlign w:val="center"/>
          </w:tcPr>
          <w:p>
            <w:pPr>
              <w:spacing w:before="0" w:after="0" w:line="259" w:lineRule="auto"/>
              <w:jc w:val="left"/>
            </w:pPr>
            <w:r/>
            <w:r>
              <w:rPr>
                <w:rFonts w:ascii="Calibri" w:hAnsi="Calibri"/>
                <w:b w:val="0"/>
                <w:i w:val="0"/>
                <w:color w:val="000000"/>
                <w:sz w:val="16"/>
              </w:rPr>
              <w:t>Grille officielle par grade et règles d’évolution.</w:t>
            </w:r>
          </w:p>
        </w:tc>
        <w:tc>
          <w:tcPr>
            <w:tcW w:type="dxa" w:w="1656"/>
            <w:vAlign w:val="center"/>
          </w:tcPr>
          <w:p>
            <w:pPr>
              <w:spacing w:before="0" w:after="0" w:line="259" w:lineRule="auto"/>
              <w:jc w:val="left"/>
            </w:pPr>
            <w:r/>
            <w:r>
              <w:rPr>
                <w:rFonts w:ascii="Calibri" w:hAnsi="Calibri"/>
                <w:b w:val="0"/>
                <w:i w:val="0"/>
                <w:color w:val="000000"/>
                <w:sz w:val="16"/>
              </w:rPr>
              <w:t>RH/ESR</w:t>
            </w:r>
          </w:p>
        </w:tc>
        <w:tc>
          <w:tcPr>
            <w:tcW w:type="dxa" w:w="936"/>
            <w:vAlign w:val="center"/>
          </w:tcPr>
          <w:p>
            <w:pPr>
              <w:spacing w:before="0" w:after="0" w:line="259" w:lineRule="auto"/>
              <w:jc w:val="left"/>
            </w:pPr>
            <w:r/>
            <w:r>
              <w:rPr>
                <w:rFonts w:ascii="Calibri" w:hAnsi="Calibri"/>
                <w:b w:val="0"/>
                <w:i w:val="0"/>
                <w:color w:val="000000"/>
                <w:sz w:val="16"/>
              </w:rPr>
              <w:t>S1</w:t>
            </w:r>
          </w:p>
        </w:tc>
        <w:tc>
          <w:tcPr>
            <w:tcW w:type="dxa" w:w="1440"/>
            <w:vAlign w:val="center"/>
          </w:tcPr>
          <w:p>
            <w:pPr>
              <w:spacing w:before="0" w:after="0" w:line="259" w:lineRule="auto"/>
              <w:jc w:val="left"/>
            </w:pPr>
            <w:r/>
            <w:r>
              <w:rPr>
                <w:rFonts w:ascii="Calibri" w:hAnsi="Calibri"/>
                <w:b w:val="0"/>
                <w:i w:val="0"/>
                <w:color w:val="000000"/>
                <w:sz w:val="16"/>
              </w:rPr>
              <w:t>À décider</w:t>
            </w:r>
          </w:p>
        </w:tc>
      </w:tr>
      <w:tr>
        <w:trPr>
          <w:cantSplit/>
        </w:trPr>
        <w:tc>
          <w:tcPr>
            <w:tcW w:type="dxa" w:w="1512"/>
            <w:vAlign w:val="center"/>
          </w:tcPr>
          <w:p>
            <w:pPr>
              <w:spacing w:before="0" w:after="0" w:line="259" w:lineRule="auto"/>
              <w:jc w:val="left"/>
            </w:pPr>
            <w:r/>
            <w:r>
              <w:rPr>
                <w:rFonts w:ascii="Calibri" w:hAnsi="Calibri"/>
                <w:b w:val="0"/>
                <w:i w:val="0"/>
                <w:color w:val="000000"/>
                <w:sz w:val="16"/>
              </w:rPr>
              <w:t>Architecture</w:t>
            </w:r>
          </w:p>
        </w:tc>
        <w:tc>
          <w:tcPr>
            <w:tcW w:type="dxa" w:w="3816"/>
            <w:vAlign w:val="center"/>
          </w:tcPr>
          <w:p>
            <w:pPr>
              <w:spacing w:before="0" w:after="0" w:line="259" w:lineRule="auto"/>
              <w:jc w:val="left"/>
            </w:pPr>
            <w:r/>
            <w:r>
              <w:rPr>
                <w:rFonts w:ascii="Calibri" w:hAnsi="Calibri"/>
                <w:b w:val="0"/>
                <w:i w:val="0"/>
                <w:color w:val="000000"/>
                <w:sz w:val="16"/>
              </w:rPr>
              <w:t>Maintien React/Express/Supabase ou réécriture WebDev/HFSQL.</w:t>
            </w:r>
          </w:p>
        </w:tc>
        <w:tc>
          <w:tcPr>
            <w:tcW w:type="dxa" w:w="1656"/>
            <w:vAlign w:val="center"/>
          </w:tcPr>
          <w:p>
            <w:pPr>
              <w:spacing w:before="0" w:after="0" w:line="259" w:lineRule="auto"/>
              <w:jc w:val="left"/>
            </w:pPr>
            <w:r/>
            <w:r>
              <w:rPr>
                <w:rFonts w:ascii="Calibri" w:hAnsi="Calibri"/>
                <w:b w:val="0"/>
                <w:i w:val="0"/>
                <w:color w:val="000000"/>
                <w:sz w:val="16"/>
              </w:rPr>
              <w:t>Direction + DSI</w:t>
            </w:r>
          </w:p>
        </w:tc>
        <w:tc>
          <w:tcPr>
            <w:tcW w:type="dxa" w:w="936"/>
            <w:vAlign w:val="center"/>
          </w:tcPr>
          <w:p>
            <w:pPr>
              <w:spacing w:before="0" w:after="0" w:line="259" w:lineRule="auto"/>
              <w:jc w:val="left"/>
            </w:pPr>
            <w:r/>
            <w:r>
              <w:rPr>
                <w:rFonts w:ascii="Calibri" w:hAnsi="Calibri"/>
                <w:b w:val="0"/>
                <w:i w:val="0"/>
                <w:color w:val="000000"/>
                <w:sz w:val="16"/>
              </w:rPr>
              <w:t>S1</w:t>
            </w:r>
          </w:p>
        </w:tc>
        <w:tc>
          <w:tcPr>
            <w:tcW w:type="dxa" w:w="1440"/>
            <w:vAlign w:val="center"/>
          </w:tcPr>
          <w:p>
            <w:pPr>
              <w:spacing w:before="0" w:after="0" w:line="259" w:lineRule="auto"/>
              <w:jc w:val="left"/>
            </w:pPr>
            <w:r/>
            <w:r>
              <w:rPr>
                <w:rFonts w:ascii="Calibri" w:hAnsi="Calibri"/>
                <w:b w:val="0"/>
                <w:i w:val="0"/>
                <w:color w:val="000000"/>
                <w:sz w:val="16"/>
              </w:rPr>
              <w:t>À décider</w:t>
            </w:r>
          </w:p>
        </w:tc>
      </w:tr>
      <w:tr>
        <w:trPr>
          <w:cantSplit/>
        </w:trPr>
        <w:tc>
          <w:tcPr>
            <w:tcW w:type="dxa" w:w="1512"/>
            <w:vAlign w:val="center"/>
          </w:tcPr>
          <w:p>
            <w:pPr>
              <w:spacing w:before="0" w:after="0" w:line="259" w:lineRule="auto"/>
              <w:jc w:val="left"/>
            </w:pPr>
            <w:r/>
            <w:r>
              <w:rPr>
                <w:rFonts w:ascii="Calibri" w:hAnsi="Calibri"/>
                <w:b w:val="0"/>
                <w:i w:val="0"/>
                <w:color w:val="000000"/>
                <w:sz w:val="16"/>
              </w:rPr>
              <w:t>Placement</w:t>
            </w:r>
          </w:p>
        </w:tc>
        <w:tc>
          <w:tcPr>
            <w:tcW w:type="dxa" w:w="3816"/>
            <w:vAlign w:val="center"/>
          </w:tcPr>
          <w:p>
            <w:pPr>
              <w:spacing w:before="0" w:after="0" w:line="259" w:lineRule="auto"/>
              <w:jc w:val="left"/>
            </w:pPr>
            <w:r/>
            <w:r>
              <w:rPr>
                <w:rFonts w:ascii="Calibri" w:hAnsi="Calibri"/>
                <w:b w:val="0"/>
                <w:i w:val="0"/>
                <w:color w:val="000000"/>
                <w:sz w:val="16"/>
              </w:rPr>
              <w:t>Suivi simple en V1 ou gestion complète dans une V2.</w:t>
            </w:r>
          </w:p>
        </w:tc>
        <w:tc>
          <w:tcPr>
            <w:tcW w:type="dxa" w:w="1656"/>
            <w:vAlign w:val="center"/>
          </w:tcPr>
          <w:p>
            <w:pPr>
              <w:spacing w:before="0" w:after="0" w:line="259" w:lineRule="auto"/>
              <w:jc w:val="left"/>
            </w:pPr>
            <w:r/>
            <w:r>
              <w:rPr>
                <w:rFonts w:ascii="Calibri" w:hAnsi="Calibri"/>
                <w:b w:val="0"/>
                <w:i w:val="0"/>
                <w:color w:val="000000"/>
                <w:sz w:val="16"/>
              </w:rPr>
              <w:t>Direction + Finance</w:t>
            </w:r>
          </w:p>
        </w:tc>
        <w:tc>
          <w:tcPr>
            <w:tcW w:type="dxa" w:w="936"/>
            <w:vAlign w:val="center"/>
          </w:tcPr>
          <w:p>
            <w:pPr>
              <w:spacing w:before="0" w:after="0" w:line="259" w:lineRule="auto"/>
              <w:jc w:val="left"/>
            </w:pPr>
            <w:r/>
            <w:r>
              <w:rPr>
                <w:rFonts w:ascii="Calibri" w:hAnsi="Calibri"/>
                <w:b w:val="0"/>
                <w:i w:val="0"/>
                <w:color w:val="000000"/>
                <w:sz w:val="16"/>
              </w:rPr>
              <w:t>S1</w:t>
            </w:r>
          </w:p>
        </w:tc>
        <w:tc>
          <w:tcPr>
            <w:tcW w:type="dxa" w:w="1440"/>
            <w:vAlign w:val="center"/>
          </w:tcPr>
          <w:p>
            <w:pPr>
              <w:spacing w:before="0" w:after="0" w:line="259" w:lineRule="auto"/>
              <w:jc w:val="left"/>
            </w:pPr>
            <w:r/>
            <w:r>
              <w:rPr>
                <w:rFonts w:ascii="Calibri" w:hAnsi="Calibri"/>
                <w:b w:val="0"/>
                <w:i w:val="0"/>
                <w:color w:val="000000"/>
                <w:sz w:val="16"/>
              </w:rPr>
              <w:t>À décider</w:t>
            </w:r>
          </w:p>
        </w:tc>
      </w:tr>
    </w:tbl>
    <w:p>
      <w:pPr>
        <w:spacing w:after="40"/>
      </w:pPr>
    </w:p>
    <w:p>
      <w:pPr>
        <w:pStyle w:val="Heading1"/>
        <w:keepNext/>
      </w:pPr>
      <w:r>
        <w:rPr>
          <w:rFonts w:ascii="Calibri" w:hAnsi="Calibri"/>
          <w:b/>
          <w:i w:val="0"/>
          <w:color w:val="2E74B5"/>
          <w:sz w:val="32"/>
        </w:rPr>
        <w:t>4. Comparaison détaillée planning / existant</w:t>
      </w:r>
    </w:p>
    <w:p>
      <w:pPr>
        <w:keepNext w:val="0"/>
        <w:spacing w:before="0" w:after="120" w:line="300" w:lineRule="auto"/>
        <w:jc w:val="left"/>
      </w:pPr>
      <w:r>
        <w:rPr>
          <w:rFonts w:ascii="Calibri" w:hAnsi="Calibri"/>
          <w:b w:val="0"/>
          <w:i w:val="0"/>
          <w:color w:val="000000"/>
          <w:sz w:val="22"/>
        </w:rPr>
        <w:t>La matrice ci-dessous est la référence de suivi. Un élément PARTIEL ne peut passer à DISPONIBLE que lorsque son critère de validation métier, technique et documentaire est rempli.</w:t>
      </w:r>
    </w:p>
    <w:p>
      <w:pPr>
        <w:pStyle w:val="Heading2"/>
        <w:keepNext/>
      </w:pPr>
      <w:r>
        <w:rPr>
          <w:rFonts w:ascii="Calibri" w:hAnsi="Calibri"/>
          <w:b/>
          <w:i w:val="0"/>
          <w:color w:val="2E74B5"/>
          <w:sz w:val="26"/>
        </w:rPr>
        <w:t>A. Gouvernance, architecture et accès</w:t>
      </w:r>
    </w:p>
    <w:tbl>
      <w:tblPr>
        <w:tblStyle w:val="TableGrid"/>
        <w:tblW w:type="dxa" w:w="9360"/>
        <w:jc w:val="left"/>
        <w:tblLayout w:type="fixed"/>
        <w:tblLook w:firstColumn="1" w:firstRow="1" w:lastColumn="0" w:lastRow="0" w:noHBand="0" w:noVBand="1" w:val="04A0"/>
        <w:tblInd w:w="120" w:type="dxa"/>
      </w:tblPr>
      <w:tblGrid>
        <w:gridCol w:w="1757"/>
        <w:gridCol w:w="2376"/>
        <w:gridCol w:w="3139"/>
        <w:gridCol w:w="979"/>
        <w:gridCol w:w="1109"/>
      </w:tblGrid>
      <w:tr>
        <w:trPr>
          <w:tblHeader w:val="true"/>
        </w:trPr>
        <w:tc>
          <w:tcPr>
            <w:tcW w:type="dxa" w:w="175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Domaine</w:t>
            </w:r>
          </w:p>
        </w:tc>
        <w:tc>
          <w:tcPr>
            <w:tcW w:type="dxa" w:w="237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Déjà disponible</w:t>
            </w:r>
          </w:p>
        </w:tc>
        <w:tc>
          <w:tcPr>
            <w:tcW w:type="dxa" w:w="313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Reste à finaliser</w:t>
            </w:r>
          </w:p>
        </w:tc>
        <w:tc>
          <w:tcPr>
            <w:tcW w:type="dxa" w:w="97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Statut</w:t>
            </w:r>
          </w:p>
        </w:tc>
        <w:tc>
          <w:tcPr>
            <w:tcW w:type="dxa" w:w="110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Priorité</w:t>
            </w:r>
          </w:p>
        </w:tc>
      </w:tr>
      <w:tr>
        <w:trPr>
          <w:cantSplit/>
        </w:trPr>
        <w:tc>
          <w:tcPr>
            <w:tcW w:type="dxa" w:w="1757"/>
            <w:vAlign w:val="center"/>
          </w:tcPr>
          <w:p>
            <w:pPr>
              <w:spacing w:before="0" w:after="0" w:line="259" w:lineRule="auto"/>
              <w:jc w:val="left"/>
            </w:pPr>
            <w:r/>
            <w:r>
              <w:rPr>
                <w:rFonts w:ascii="Calibri" w:hAnsi="Calibri"/>
                <w:b w:val="0"/>
                <w:i w:val="0"/>
                <w:color w:val="000000"/>
                <w:sz w:val="15"/>
              </w:rPr>
              <w:t>Arbitrage métier</w:t>
            </w:r>
          </w:p>
        </w:tc>
        <w:tc>
          <w:tcPr>
            <w:tcW w:type="dxa" w:w="2376"/>
            <w:vAlign w:val="center"/>
          </w:tcPr>
          <w:p>
            <w:pPr>
              <w:spacing w:before="0" w:after="0" w:line="259" w:lineRule="auto"/>
              <w:jc w:val="left"/>
            </w:pPr>
            <w:r/>
            <w:r>
              <w:rPr>
                <w:rFonts w:ascii="Calibri" w:hAnsi="Calibri"/>
                <w:b w:val="0"/>
                <w:i w:val="0"/>
                <w:color w:val="000000"/>
                <w:sz w:val="15"/>
              </w:rPr>
              <w:t>Notes, contrats et classeurs reçus.</w:t>
            </w:r>
          </w:p>
        </w:tc>
        <w:tc>
          <w:tcPr>
            <w:tcW w:type="dxa" w:w="3139"/>
            <w:vAlign w:val="center"/>
          </w:tcPr>
          <w:p>
            <w:pPr>
              <w:spacing w:before="0" w:after="0" w:line="259" w:lineRule="auto"/>
              <w:jc w:val="left"/>
            </w:pPr>
            <w:r/>
            <w:r>
              <w:rPr>
                <w:rFonts w:ascii="Calibri" w:hAnsi="Calibri"/>
                <w:b w:val="0"/>
                <w:i w:val="0"/>
                <w:color w:val="000000"/>
                <w:sz w:val="15"/>
              </w:rPr>
              <w:t>Signer les règles : rachat, décès, invalidité, couverture et arrondis.</w:t>
            </w:r>
          </w:p>
        </w:tc>
        <w:tc>
          <w:tcPr>
            <w:tcW w:type="dxa" w:w="979"/>
            <w:vAlign w:val="center"/>
            <w:shd w:fill="E8EEF5"/>
          </w:tcPr>
          <w:p>
            <w:pPr>
              <w:spacing w:before="0" w:after="0" w:line="259" w:lineRule="auto"/>
              <w:jc w:val="center"/>
            </w:pPr>
            <w:r/>
            <w:r>
              <w:rPr>
                <w:rFonts w:ascii="Calibri" w:hAnsi="Calibri"/>
                <w:b/>
                <w:i w:val="0"/>
                <w:color w:val="17365D"/>
                <w:sz w:val="15"/>
              </w:rPr>
              <w:t>ARBITRAGE</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r>
        <w:trPr>
          <w:cantSplit/>
        </w:trPr>
        <w:tc>
          <w:tcPr>
            <w:tcW w:type="dxa" w:w="1757"/>
            <w:vAlign w:val="center"/>
          </w:tcPr>
          <w:p>
            <w:pPr>
              <w:spacing w:before="0" w:after="0" w:line="259" w:lineRule="auto"/>
              <w:jc w:val="left"/>
            </w:pPr>
            <w:r/>
            <w:r>
              <w:rPr>
                <w:rFonts w:ascii="Calibri" w:hAnsi="Calibri"/>
                <w:b w:val="0"/>
                <w:i w:val="0"/>
                <w:color w:val="000000"/>
                <w:sz w:val="15"/>
              </w:rPr>
              <w:t>Architecture</w:t>
            </w:r>
          </w:p>
        </w:tc>
        <w:tc>
          <w:tcPr>
            <w:tcW w:type="dxa" w:w="2376"/>
            <w:vAlign w:val="center"/>
          </w:tcPr>
          <w:p>
            <w:pPr>
              <w:spacing w:before="0" w:after="0" w:line="259" w:lineRule="auto"/>
              <w:jc w:val="left"/>
            </w:pPr>
            <w:r/>
            <w:r>
              <w:rPr>
                <w:rFonts w:ascii="Calibri" w:hAnsi="Calibri"/>
                <w:b w:val="0"/>
                <w:i w:val="0"/>
                <w:color w:val="000000"/>
                <w:sz w:val="15"/>
              </w:rPr>
              <w:t>React, Express/TypeScript, Supabase/PostgreSQL, connecteurs MySQL/SIAPS.</w:t>
            </w:r>
          </w:p>
        </w:tc>
        <w:tc>
          <w:tcPr>
            <w:tcW w:type="dxa" w:w="3139"/>
            <w:vAlign w:val="center"/>
          </w:tcPr>
          <w:p>
            <w:pPr>
              <w:spacing w:before="0" w:after="0" w:line="259" w:lineRule="auto"/>
              <w:jc w:val="left"/>
            </w:pPr>
            <w:r/>
            <w:r>
              <w:rPr>
                <w:rFonts w:ascii="Calibri" w:hAnsi="Calibri"/>
                <w:b w:val="0"/>
                <w:i w:val="0"/>
                <w:color w:val="000000"/>
                <w:sz w:val="15"/>
              </w:rPr>
              <w:t>Faire approuver l’écart avec l’exigence WebDev/HFSQL.</w:t>
            </w:r>
          </w:p>
        </w:tc>
        <w:tc>
          <w:tcPr>
            <w:tcW w:type="dxa" w:w="979"/>
            <w:vAlign w:val="center"/>
            <w:shd w:fill="E8EEF5"/>
          </w:tcPr>
          <w:p>
            <w:pPr>
              <w:spacing w:before="0" w:after="0" w:line="259" w:lineRule="auto"/>
              <w:jc w:val="center"/>
            </w:pPr>
            <w:r/>
            <w:r>
              <w:rPr>
                <w:rFonts w:ascii="Calibri" w:hAnsi="Calibri"/>
                <w:b/>
                <w:i w:val="0"/>
                <w:color w:val="17365D"/>
                <w:sz w:val="15"/>
              </w:rPr>
              <w:t>ARBITRAGE</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r>
        <w:trPr>
          <w:cantSplit/>
        </w:trPr>
        <w:tc>
          <w:tcPr>
            <w:tcW w:type="dxa" w:w="1757"/>
            <w:vAlign w:val="center"/>
          </w:tcPr>
          <w:p>
            <w:pPr>
              <w:spacing w:before="0" w:after="0" w:line="259" w:lineRule="auto"/>
              <w:jc w:val="left"/>
            </w:pPr>
            <w:r/>
            <w:r>
              <w:rPr>
                <w:rFonts w:ascii="Calibri" w:hAnsi="Calibri"/>
                <w:b w:val="0"/>
                <w:i w:val="0"/>
                <w:color w:val="000000"/>
                <w:sz w:val="15"/>
              </w:rPr>
              <w:t>Authentification</w:t>
            </w:r>
          </w:p>
        </w:tc>
        <w:tc>
          <w:tcPr>
            <w:tcW w:type="dxa" w:w="2376"/>
            <w:vAlign w:val="center"/>
          </w:tcPr>
          <w:p>
            <w:pPr>
              <w:spacing w:before="0" w:after="0" w:line="259" w:lineRule="auto"/>
              <w:jc w:val="left"/>
            </w:pPr>
            <w:r/>
            <w:r>
              <w:rPr>
                <w:rFonts w:ascii="Calibri" w:hAnsi="Calibri"/>
                <w:b w:val="0"/>
                <w:i w:val="0"/>
                <w:color w:val="000000"/>
                <w:sz w:val="15"/>
              </w:rPr>
              <w:t>Sessions, première connexion, réinitialisation et démo limitée au développement.</w:t>
            </w:r>
          </w:p>
        </w:tc>
        <w:tc>
          <w:tcPr>
            <w:tcW w:type="dxa" w:w="3139"/>
            <w:vAlign w:val="center"/>
          </w:tcPr>
          <w:p>
            <w:pPr>
              <w:spacing w:before="0" w:after="0" w:line="259" w:lineRule="auto"/>
              <w:jc w:val="left"/>
            </w:pPr>
            <w:r/>
            <w:r>
              <w:rPr>
                <w:rFonts w:ascii="Calibri" w:hAnsi="Calibri"/>
                <w:b w:val="0"/>
                <w:i w:val="0"/>
                <w:color w:val="000000"/>
                <w:sz w:val="15"/>
              </w:rPr>
              <w:t>Recette avec comptes réels et contrôle de configuration production.</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Profils et droits</w:t>
            </w:r>
          </w:p>
        </w:tc>
        <w:tc>
          <w:tcPr>
            <w:tcW w:type="dxa" w:w="2376"/>
            <w:vAlign w:val="center"/>
          </w:tcPr>
          <w:p>
            <w:pPr>
              <w:spacing w:before="0" w:after="0" w:line="259" w:lineRule="auto"/>
              <w:jc w:val="left"/>
            </w:pPr>
            <w:r/>
            <w:r>
              <w:rPr>
                <w:rFonts w:ascii="Calibri" w:hAnsi="Calibri"/>
                <w:b w:val="0"/>
                <w:i w:val="0"/>
                <w:color w:val="000000"/>
                <w:sz w:val="15"/>
              </w:rPr>
              <w:t>Adhérent, Gestionnaire, Administrateur et Superadmin.</w:t>
            </w:r>
          </w:p>
        </w:tc>
        <w:tc>
          <w:tcPr>
            <w:tcW w:type="dxa" w:w="3139"/>
            <w:vAlign w:val="center"/>
          </w:tcPr>
          <w:p>
            <w:pPr>
              <w:spacing w:before="0" w:after="0" w:line="259" w:lineRule="auto"/>
              <w:jc w:val="left"/>
            </w:pPr>
            <w:r/>
            <w:r>
              <w:rPr>
                <w:rFonts w:ascii="Calibri" w:hAnsi="Calibri"/>
                <w:b w:val="0"/>
                <w:i w:val="0"/>
                <w:color w:val="000000"/>
                <w:sz w:val="15"/>
              </w:rPr>
              <w:t>Valider et tester la matrice des autorisations par action.</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Utilisateurs</w:t>
            </w:r>
          </w:p>
        </w:tc>
        <w:tc>
          <w:tcPr>
            <w:tcW w:type="dxa" w:w="2376"/>
            <w:vAlign w:val="center"/>
          </w:tcPr>
          <w:p>
            <w:pPr>
              <w:spacing w:before="0" w:after="0" w:line="259" w:lineRule="auto"/>
              <w:jc w:val="left"/>
            </w:pPr>
            <w:r/>
            <w:r>
              <w:rPr>
                <w:rFonts w:ascii="Calibri" w:hAnsi="Calibri"/>
                <w:b w:val="0"/>
                <w:i w:val="0"/>
                <w:color w:val="000000"/>
                <w:sz w:val="15"/>
              </w:rPr>
              <w:t>Création, modification et gestion des accès.</w:t>
            </w:r>
          </w:p>
        </w:tc>
        <w:tc>
          <w:tcPr>
            <w:tcW w:type="dxa" w:w="3139"/>
            <w:vAlign w:val="center"/>
          </w:tcPr>
          <w:p>
            <w:pPr>
              <w:spacing w:before="0" w:after="0" w:line="259" w:lineRule="auto"/>
              <w:jc w:val="left"/>
            </w:pPr>
            <w:r/>
            <w:r>
              <w:rPr>
                <w:rFonts w:ascii="Calibri" w:hAnsi="Calibri"/>
                <w:b w:val="0"/>
                <w:i w:val="0"/>
                <w:color w:val="000000"/>
                <w:sz w:val="15"/>
              </w:rPr>
              <w:t>Tester activation, désactivation, réactivation et traçabilité.</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APS/SIAPS</w:t>
            </w:r>
          </w:p>
        </w:tc>
        <w:tc>
          <w:tcPr>
            <w:tcW w:type="dxa" w:w="2376"/>
            <w:vAlign w:val="center"/>
          </w:tcPr>
          <w:p>
            <w:pPr>
              <w:spacing w:before="0" w:after="0" w:line="259" w:lineRule="auto"/>
              <w:jc w:val="left"/>
            </w:pPr>
            <w:r/>
            <w:r>
              <w:rPr>
                <w:rFonts w:ascii="Calibri" w:hAnsi="Calibri"/>
                <w:b w:val="0"/>
                <w:i w:val="0"/>
                <w:color w:val="000000"/>
                <w:sz w:val="15"/>
              </w:rPr>
              <w:t>Recherche par matricule avec fallback MySQL/SIAPS.</w:t>
            </w:r>
          </w:p>
        </w:tc>
        <w:tc>
          <w:tcPr>
            <w:tcW w:type="dxa" w:w="3139"/>
            <w:vAlign w:val="center"/>
          </w:tcPr>
          <w:p>
            <w:pPr>
              <w:spacing w:before="0" w:after="0" w:line="259" w:lineRule="auto"/>
              <w:jc w:val="left"/>
            </w:pPr>
            <w:r/>
            <w:r>
              <w:rPr>
                <w:rFonts w:ascii="Calibri" w:hAnsi="Calibri"/>
                <w:b w:val="0"/>
                <w:i w:val="0"/>
                <w:color w:val="000000"/>
                <w:sz w:val="15"/>
              </w:rPr>
              <w:t>Recevoir accès, dictionnaire et données de test ; homologuer le connecteur.</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r>
        <w:trPr>
          <w:cantSplit/>
        </w:trPr>
        <w:tc>
          <w:tcPr>
            <w:tcW w:type="dxa" w:w="1757"/>
            <w:vAlign w:val="center"/>
          </w:tcPr>
          <w:p>
            <w:pPr>
              <w:spacing w:before="0" w:after="0" w:line="259" w:lineRule="auto"/>
              <w:jc w:val="left"/>
            </w:pPr>
            <w:r/>
            <w:r>
              <w:rPr>
                <w:rFonts w:ascii="Calibri" w:hAnsi="Calibri"/>
                <w:b w:val="0"/>
                <w:i w:val="0"/>
                <w:color w:val="000000"/>
                <w:sz w:val="15"/>
              </w:rPr>
              <w:t>Audit</w:t>
            </w:r>
          </w:p>
        </w:tc>
        <w:tc>
          <w:tcPr>
            <w:tcW w:type="dxa" w:w="2376"/>
            <w:vAlign w:val="center"/>
          </w:tcPr>
          <w:p>
            <w:pPr>
              <w:spacing w:before="0" w:after="0" w:line="259" w:lineRule="auto"/>
              <w:jc w:val="left"/>
            </w:pPr>
            <w:r/>
            <w:r>
              <w:rPr>
                <w:rFonts w:ascii="Calibri" w:hAnsi="Calibri"/>
                <w:b w:val="0"/>
                <w:i w:val="0"/>
                <w:color w:val="000000"/>
                <w:sz w:val="15"/>
              </w:rPr>
              <w:t>Page, API et journal d’audit disponibles.</w:t>
            </w:r>
          </w:p>
        </w:tc>
        <w:tc>
          <w:tcPr>
            <w:tcW w:type="dxa" w:w="3139"/>
            <w:vAlign w:val="center"/>
          </w:tcPr>
          <w:p>
            <w:pPr>
              <w:spacing w:before="0" w:after="0" w:line="259" w:lineRule="auto"/>
              <w:jc w:val="left"/>
            </w:pPr>
            <w:r/>
            <w:r>
              <w:rPr>
                <w:rFonts w:ascii="Calibri" w:hAnsi="Calibri"/>
                <w:b w:val="0"/>
                <w:i w:val="0"/>
                <w:color w:val="000000"/>
                <w:sz w:val="15"/>
              </w:rPr>
              <w:t>Couvrir calculs, validations, paiements et paramètres sensibles.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bl>
    <w:p>
      <w:pPr>
        <w:spacing w:after="40"/>
      </w:pPr>
    </w:p>
    <w:p>
      <w:pPr>
        <w:pStyle w:val="Heading2"/>
        <w:keepNext/>
      </w:pPr>
      <w:r>
        <w:rPr>
          <w:rFonts w:ascii="Calibri" w:hAnsi="Calibri"/>
          <w:b/>
          <w:i w:val="0"/>
          <w:color w:val="2E74B5"/>
          <w:sz w:val="26"/>
        </w:rPr>
        <w:t>B. Adhérents, bénéficiaires et paramètres</w:t>
      </w:r>
    </w:p>
    <w:tbl>
      <w:tblPr>
        <w:tblStyle w:val="TableGrid"/>
        <w:tblW w:type="dxa" w:w="9360"/>
        <w:jc w:val="left"/>
        <w:tblLayout w:type="fixed"/>
        <w:tblLook w:firstColumn="1" w:firstRow="1" w:lastColumn="0" w:lastRow="0" w:noHBand="0" w:noVBand="1" w:val="04A0"/>
        <w:tblInd w:w="120" w:type="dxa"/>
      </w:tblPr>
      <w:tblGrid>
        <w:gridCol w:w="1757"/>
        <w:gridCol w:w="2376"/>
        <w:gridCol w:w="3139"/>
        <w:gridCol w:w="979"/>
        <w:gridCol w:w="1109"/>
      </w:tblGrid>
      <w:tr>
        <w:trPr>
          <w:tblHeader w:val="true"/>
        </w:trPr>
        <w:tc>
          <w:tcPr>
            <w:tcW w:type="dxa" w:w="175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Domaine</w:t>
            </w:r>
          </w:p>
        </w:tc>
        <w:tc>
          <w:tcPr>
            <w:tcW w:type="dxa" w:w="237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Déjà disponible</w:t>
            </w:r>
          </w:p>
        </w:tc>
        <w:tc>
          <w:tcPr>
            <w:tcW w:type="dxa" w:w="313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Reste à finaliser</w:t>
            </w:r>
          </w:p>
        </w:tc>
        <w:tc>
          <w:tcPr>
            <w:tcW w:type="dxa" w:w="97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Statut</w:t>
            </w:r>
          </w:p>
        </w:tc>
        <w:tc>
          <w:tcPr>
            <w:tcW w:type="dxa" w:w="110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Priorité</w:t>
            </w:r>
          </w:p>
        </w:tc>
      </w:tr>
      <w:tr>
        <w:trPr>
          <w:cantSplit/>
        </w:trPr>
        <w:tc>
          <w:tcPr>
            <w:tcW w:type="dxa" w:w="1757"/>
            <w:vAlign w:val="center"/>
          </w:tcPr>
          <w:p>
            <w:pPr>
              <w:spacing w:before="0" w:after="0" w:line="259" w:lineRule="auto"/>
              <w:jc w:val="left"/>
            </w:pPr>
            <w:r/>
            <w:r>
              <w:rPr>
                <w:rFonts w:ascii="Calibri" w:hAnsi="Calibri"/>
                <w:b w:val="0"/>
                <w:i w:val="0"/>
                <w:color w:val="000000"/>
                <w:sz w:val="15"/>
              </w:rPr>
              <w:t>Adhérents</w:t>
            </w:r>
          </w:p>
        </w:tc>
        <w:tc>
          <w:tcPr>
            <w:tcW w:type="dxa" w:w="2376"/>
            <w:vAlign w:val="center"/>
          </w:tcPr>
          <w:p>
            <w:pPr>
              <w:spacing w:before="0" w:after="0" w:line="259" w:lineRule="auto"/>
              <w:jc w:val="left"/>
            </w:pPr>
            <w:r/>
            <w:r>
              <w:rPr>
                <w:rFonts w:ascii="Calibri" w:hAnsi="Calibri"/>
                <w:b w:val="0"/>
                <w:i w:val="0"/>
                <w:color w:val="000000"/>
                <w:sz w:val="15"/>
              </w:rPr>
              <w:t>Création, modification, recherche, statuts et adhésion en ligne.</w:t>
            </w:r>
          </w:p>
        </w:tc>
        <w:tc>
          <w:tcPr>
            <w:tcW w:type="dxa" w:w="3139"/>
            <w:vAlign w:val="center"/>
          </w:tcPr>
          <w:p>
            <w:pPr>
              <w:spacing w:before="0" w:after="0" w:line="259" w:lineRule="auto"/>
              <w:jc w:val="left"/>
            </w:pPr>
            <w:r/>
            <w:r>
              <w:rPr>
                <w:rFonts w:ascii="Calibri" w:hAnsi="Calibri"/>
                <w:b w:val="0"/>
                <w:i w:val="0"/>
                <w:color w:val="000000"/>
                <w:sz w:val="15"/>
              </w:rPr>
              <w:t>Contrôles doublons, historique complet et validations sensibles.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Bénéficiaires</w:t>
            </w:r>
          </w:p>
        </w:tc>
        <w:tc>
          <w:tcPr>
            <w:tcW w:type="dxa" w:w="2376"/>
            <w:vAlign w:val="center"/>
          </w:tcPr>
          <w:p>
            <w:pPr>
              <w:spacing w:before="0" w:after="0" w:line="259" w:lineRule="auto"/>
              <w:jc w:val="left"/>
            </w:pPr>
            <w:r/>
            <w:r>
              <w:rPr>
                <w:rFonts w:ascii="Calibri" w:hAnsi="Calibri"/>
                <w:b w:val="0"/>
                <w:i w:val="0"/>
                <w:color w:val="000000"/>
                <w:sz w:val="15"/>
              </w:rPr>
              <w:t>CRUD et contrôle de la répartition.</w:t>
            </w:r>
          </w:p>
        </w:tc>
        <w:tc>
          <w:tcPr>
            <w:tcW w:type="dxa" w:w="3139"/>
            <w:vAlign w:val="center"/>
          </w:tcPr>
          <w:p>
            <w:pPr>
              <w:spacing w:before="0" w:after="0" w:line="259" w:lineRule="auto"/>
              <w:jc w:val="left"/>
            </w:pPr>
            <w:r/>
            <w:r>
              <w:rPr>
                <w:rFonts w:ascii="Calibri" w:hAnsi="Calibri"/>
                <w:b w:val="0"/>
                <w:i w:val="0"/>
                <w:color w:val="000000"/>
                <w:sz w:val="15"/>
              </w:rPr>
              <w:t>Éligibilité, historisation et gel au départ à la retraite.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Bulletin d’adhésion</w:t>
            </w:r>
          </w:p>
        </w:tc>
        <w:tc>
          <w:tcPr>
            <w:tcW w:type="dxa" w:w="2376"/>
            <w:vAlign w:val="center"/>
          </w:tcPr>
          <w:p>
            <w:pPr>
              <w:spacing w:before="0" w:after="0" w:line="259" w:lineRule="auto"/>
              <w:jc w:val="left"/>
            </w:pPr>
            <w:r/>
            <w:r>
              <w:rPr>
                <w:rFonts w:ascii="Calibri" w:hAnsi="Calibri"/>
                <w:b w:val="0"/>
                <w:i w:val="0"/>
                <w:color w:val="000000"/>
                <w:sz w:val="15"/>
              </w:rPr>
              <w:t>Formulaire numérique et modèle papier reçus.</w:t>
            </w:r>
          </w:p>
        </w:tc>
        <w:tc>
          <w:tcPr>
            <w:tcW w:type="dxa" w:w="3139"/>
            <w:vAlign w:val="center"/>
          </w:tcPr>
          <w:p>
            <w:pPr>
              <w:spacing w:before="0" w:after="0" w:line="259" w:lineRule="auto"/>
              <w:jc w:val="left"/>
            </w:pPr>
            <w:r/>
            <w:r>
              <w:rPr>
                <w:rFonts w:ascii="Calibri" w:hAnsi="Calibri"/>
                <w:b w:val="0"/>
                <w:i w:val="0"/>
                <w:color w:val="000000"/>
                <w:sz w:val="15"/>
              </w:rPr>
              <w:t>PDF officiel, numéro, signatures et archivage.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Paramètres actuariels</w:t>
            </w:r>
          </w:p>
        </w:tc>
        <w:tc>
          <w:tcPr>
            <w:tcW w:type="dxa" w:w="2376"/>
            <w:vAlign w:val="center"/>
          </w:tcPr>
          <w:p>
            <w:pPr>
              <w:spacing w:before="0" w:after="0" w:line="259" w:lineRule="auto"/>
              <w:jc w:val="left"/>
            </w:pPr>
            <w:r/>
            <w:r>
              <w:rPr>
                <w:rFonts w:ascii="Calibri" w:hAnsi="Calibri"/>
                <w:b w:val="0"/>
                <w:i w:val="0"/>
                <w:color w:val="000000"/>
                <w:sz w:val="15"/>
              </w:rPr>
              <w:t>Taux, frais, âge maximal, grades et mortalité paramétrables.</w:t>
            </w:r>
          </w:p>
        </w:tc>
        <w:tc>
          <w:tcPr>
            <w:tcW w:type="dxa" w:w="3139"/>
            <w:vAlign w:val="center"/>
          </w:tcPr>
          <w:p>
            <w:pPr>
              <w:spacing w:before="0" w:after="0" w:line="259" w:lineRule="auto"/>
              <w:jc w:val="left"/>
            </w:pPr>
            <w:r/>
            <w:r>
              <w:rPr>
                <w:rFonts w:ascii="Calibri" w:hAnsi="Calibri"/>
                <w:b w:val="0"/>
                <w:i w:val="0"/>
                <w:color w:val="000000"/>
                <w:sz w:val="15"/>
              </w:rPr>
              <w:t>Versionner avec date d’effet et interdire les rétroactivités non autorisées.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Table CIMA F</w:t>
            </w:r>
          </w:p>
        </w:tc>
        <w:tc>
          <w:tcPr>
            <w:tcW w:type="dxa" w:w="2376"/>
            <w:vAlign w:val="center"/>
          </w:tcPr>
          <w:p>
            <w:pPr>
              <w:spacing w:before="0" w:after="0" w:line="259" w:lineRule="auto"/>
              <w:jc w:val="left"/>
            </w:pPr>
            <w:r/>
            <w:r>
              <w:rPr>
                <w:rFonts w:ascii="Calibri" w:hAnsi="Calibri"/>
                <w:b w:val="0"/>
                <w:i w:val="0"/>
                <w:color w:val="000000"/>
                <w:sz w:val="15"/>
              </w:rPr>
              <w:t>Table reçue et écran d’administration existant.</w:t>
            </w:r>
          </w:p>
        </w:tc>
        <w:tc>
          <w:tcPr>
            <w:tcW w:type="dxa" w:w="3139"/>
            <w:vAlign w:val="center"/>
          </w:tcPr>
          <w:p>
            <w:pPr>
              <w:spacing w:before="0" w:after="0" w:line="259" w:lineRule="auto"/>
              <w:jc w:val="left"/>
            </w:pPr>
            <w:r/>
            <w:r>
              <w:rPr>
                <w:rFonts w:ascii="Calibri" w:hAnsi="Calibri"/>
                <w:b w:val="0"/>
                <w:i w:val="0"/>
                <w:color w:val="000000"/>
                <w:sz w:val="15"/>
              </w:rPr>
              <w:t>Contrôler les coefficients, verrouiller la version et tester les bornes.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Âge de retraite</w:t>
            </w:r>
          </w:p>
        </w:tc>
        <w:tc>
          <w:tcPr>
            <w:tcW w:type="dxa" w:w="2376"/>
            <w:vAlign w:val="center"/>
          </w:tcPr>
          <w:p>
            <w:pPr>
              <w:spacing w:before="0" w:after="0" w:line="259" w:lineRule="auto"/>
              <w:jc w:val="left"/>
            </w:pPr>
            <w:r/>
            <w:r>
              <w:rPr>
                <w:rFonts w:ascii="Calibri" w:hAnsi="Calibri"/>
                <w:b w:val="0"/>
                <w:i w:val="0"/>
                <w:color w:val="000000"/>
                <w:sz w:val="15"/>
              </w:rPr>
              <w:t>Calcul par grade et date de retraite.</w:t>
            </w:r>
          </w:p>
        </w:tc>
        <w:tc>
          <w:tcPr>
            <w:tcW w:type="dxa" w:w="3139"/>
            <w:vAlign w:val="center"/>
          </w:tcPr>
          <w:p>
            <w:pPr>
              <w:spacing w:before="0" w:after="0" w:line="259" w:lineRule="auto"/>
              <w:jc w:val="left"/>
            </w:pPr>
            <w:r/>
            <w:r>
              <w:rPr>
                <w:rFonts w:ascii="Calibri" w:hAnsi="Calibri"/>
                <w:b w:val="0"/>
                <w:i w:val="0"/>
                <w:color w:val="000000"/>
                <w:sz w:val="15"/>
              </w:rPr>
              <w:t>Faire valider la grille officielle et gérer ses évolutions.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Simulation</w:t>
            </w:r>
          </w:p>
        </w:tc>
        <w:tc>
          <w:tcPr>
            <w:tcW w:type="dxa" w:w="2376"/>
            <w:vAlign w:val="center"/>
          </w:tcPr>
          <w:p>
            <w:pPr>
              <w:spacing w:before="0" w:after="0" w:line="259" w:lineRule="auto"/>
              <w:jc w:val="left"/>
            </w:pPr>
            <w:r/>
            <w:r>
              <w:rPr>
                <w:rFonts w:ascii="Calibri" w:hAnsi="Calibri"/>
                <w:b w:val="0"/>
                <w:i w:val="0"/>
                <w:color w:val="000000"/>
                <w:sz w:val="15"/>
              </w:rPr>
              <w:t>Calcul affiché dans le formulaire adhérent.</w:t>
            </w:r>
          </w:p>
        </w:tc>
        <w:tc>
          <w:tcPr>
            <w:tcW w:type="dxa" w:w="3139"/>
            <w:vAlign w:val="center"/>
          </w:tcPr>
          <w:p>
            <w:pPr>
              <w:spacing w:before="0" w:after="0" w:line="259" w:lineRule="auto"/>
              <w:jc w:val="left"/>
            </w:pPr>
            <w:r/>
            <w:r>
              <w:rPr>
                <w:rFonts w:ascii="Calibri" w:hAnsi="Calibri"/>
                <w:b w:val="0"/>
                <w:i w:val="0"/>
                <w:color w:val="000000"/>
                <w:sz w:val="15"/>
              </w:rPr>
              <w:t>Créer l’état imprimable officiel et archiver la version calculée.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bl>
    <w:p>
      <w:pPr>
        <w:spacing w:after="40"/>
      </w:pPr>
    </w:p>
    <w:p>
      <w:pPr>
        <w:pStyle w:val="Heading2"/>
        <w:keepNext/>
      </w:pPr>
      <w:r>
        <w:rPr>
          <w:rFonts w:ascii="Calibri" w:hAnsi="Calibri"/>
          <w:b/>
          <w:i w:val="0"/>
          <w:color w:val="2E74B5"/>
          <w:sz w:val="26"/>
        </w:rPr>
        <w:t>C. Moteur actuariel et comptes ESR</w:t>
      </w:r>
    </w:p>
    <w:tbl>
      <w:tblPr>
        <w:tblStyle w:val="TableGrid"/>
        <w:tblW w:type="dxa" w:w="9360"/>
        <w:jc w:val="left"/>
        <w:tblLayout w:type="fixed"/>
        <w:tblLook w:firstColumn="1" w:firstRow="1" w:lastColumn="0" w:lastRow="0" w:noHBand="0" w:noVBand="1" w:val="04A0"/>
        <w:tblInd w:w="120" w:type="dxa"/>
      </w:tblPr>
      <w:tblGrid>
        <w:gridCol w:w="1757"/>
        <w:gridCol w:w="2376"/>
        <w:gridCol w:w="3139"/>
        <w:gridCol w:w="979"/>
        <w:gridCol w:w="1109"/>
      </w:tblGrid>
      <w:tr>
        <w:trPr>
          <w:tblHeader w:val="true"/>
        </w:trPr>
        <w:tc>
          <w:tcPr>
            <w:tcW w:type="dxa" w:w="175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Domaine</w:t>
            </w:r>
          </w:p>
        </w:tc>
        <w:tc>
          <w:tcPr>
            <w:tcW w:type="dxa" w:w="237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Déjà disponible</w:t>
            </w:r>
          </w:p>
        </w:tc>
        <w:tc>
          <w:tcPr>
            <w:tcW w:type="dxa" w:w="313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Reste à finaliser</w:t>
            </w:r>
          </w:p>
        </w:tc>
        <w:tc>
          <w:tcPr>
            <w:tcW w:type="dxa" w:w="97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Statut</w:t>
            </w:r>
          </w:p>
        </w:tc>
        <w:tc>
          <w:tcPr>
            <w:tcW w:type="dxa" w:w="110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Priorité</w:t>
            </w:r>
          </w:p>
        </w:tc>
      </w:tr>
      <w:tr>
        <w:trPr>
          <w:cantSplit/>
        </w:trPr>
        <w:tc>
          <w:tcPr>
            <w:tcW w:type="dxa" w:w="1757"/>
            <w:vAlign w:val="center"/>
          </w:tcPr>
          <w:p>
            <w:pPr>
              <w:spacing w:before="0" w:after="0" w:line="259" w:lineRule="auto"/>
              <w:jc w:val="left"/>
            </w:pPr>
            <w:r/>
            <w:r>
              <w:rPr>
                <w:rFonts w:ascii="Calibri" w:hAnsi="Calibri"/>
                <w:b w:val="0"/>
                <w:i w:val="0"/>
                <w:color w:val="000000"/>
                <w:sz w:val="15"/>
              </w:rPr>
              <w:t>Cotisation trimestrielle</w:t>
            </w:r>
          </w:p>
        </w:tc>
        <w:tc>
          <w:tcPr>
            <w:tcW w:type="dxa" w:w="2376"/>
            <w:vAlign w:val="center"/>
          </w:tcPr>
          <w:p>
            <w:pPr>
              <w:spacing w:before="0" w:after="0" w:line="259" w:lineRule="auto"/>
              <w:jc w:val="left"/>
            </w:pPr>
            <w:r/>
            <w:r>
              <w:rPr>
                <w:rFonts w:ascii="Calibri" w:hAnsi="Calibri"/>
                <w:b w:val="0"/>
                <w:i w:val="0"/>
                <w:color w:val="000000"/>
                <w:sz w:val="15"/>
              </w:rPr>
              <w:t>Moteur actuariel détaillé et script de comparaison.</w:t>
            </w:r>
          </w:p>
        </w:tc>
        <w:tc>
          <w:tcPr>
            <w:tcW w:type="dxa" w:w="3139"/>
            <w:vAlign w:val="center"/>
          </w:tcPr>
          <w:p>
            <w:pPr>
              <w:spacing w:before="0" w:after="0" w:line="259" w:lineRule="auto"/>
              <w:jc w:val="left"/>
            </w:pPr>
            <w:r/>
            <w:r>
              <w:rPr>
                <w:rFonts w:ascii="Calibri" w:hAnsi="Calibri"/>
                <w:b w:val="0"/>
                <w:i w:val="0"/>
                <w:color w:val="000000"/>
                <w:sz w:val="15"/>
              </w:rPr>
              <w:t>Valider tous les cas reçus et retirer les anciens calculs provisoires.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Cotisation unique</w:t>
            </w:r>
          </w:p>
        </w:tc>
        <w:tc>
          <w:tcPr>
            <w:tcW w:type="dxa" w:w="2376"/>
            <w:vAlign w:val="center"/>
          </w:tcPr>
          <w:p>
            <w:pPr>
              <w:spacing w:before="0" w:after="0" w:line="259" w:lineRule="auto"/>
              <w:jc w:val="left"/>
            </w:pPr>
            <w:r/>
            <w:r>
              <w:rPr>
                <w:rFonts w:ascii="Calibri" w:hAnsi="Calibri"/>
                <w:b w:val="0"/>
                <w:i w:val="0"/>
                <w:color w:val="000000"/>
                <w:sz w:val="15"/>
              </w:rPr>
              <w:t>Formule présente dans la note technique.</w:t>
            </w:r>
          </w:p>
        </w:tc>
        <w:tc>
          <w:tcPr>
            <w:tcW w:type="dxa" w:w="3139"/>
            <w:vAlign w:val="center"/>
          </w:tcPr>
          <w:p>
            <w:pPr>
              <w:spacing w:before="0" w:after="0" w:line="259" w:lineRule="auto"/>
              <w:jc w:val="left"/>
            </w:pPr>
            <w:r/>
            <w:r>
              <w:rPr>
                <w:rFonts w:ascii="Calibri" w:hAnsi="Calibri"/>
                <w:b w:val="0"/>
                <w:i w:val="0"/>
                <w:color w:val="000000"/>
                <w:sz w:val="15"/>
              </w:rPr>
              <w:t>Implémenter calcul, interface, stockage et tests.</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Capital constitutif</w:t>
            </w:r>
          </w:p>
        </w:tc>
        <w:tc>
          <w:tcPr>
            <w:tcW w:type="dxa" w:w="2376"/>
            <w:vAlign w:val="center"/>
          </w:tcPr>
          <w:p>
            <w:pPr>
              <w:spacing w:before="0" w:after="0" w:line="259" w:lineRule="auto"/>
              <w:jc w:val="left"/>
            </w:pPr>
            <w:r/>
            <w:r>
              <w:rPr>
                <w:rFonts w:ascii="Calibri" w:hAnsi="Calibri"/>
                <w:b w:val="0"/>
                <w:i w:val="0"/>
                <w:color w:val="000000"/>
                <w:sz w:val="15"/>
              </w:rPr>
              <w:t>Calcul inclus dans le moteur de cotisation.</w:t>
            </w:r>
          </w:p>
        </w:tc>
        <w:tc>
          <w:tcPr>
            <w:tcW w:type="dxa" w:w="3139"/>
            <w:vAlign w:val="center"/>
          </w:tcPr>
          <w:p>
            <w:pPr>
              <w:spacing w:before="0" w:after="0" w:line="259" w:lineRule="auto"/>
              <w:jc w:val="left"/>
            </w:pPr>
            <w:r/>
            <w:r>
              <w:rPr>
                <w:rFonts w:ascii="Calibri" w:hAnsi="Calibri"/>
                <w:b w:val="0"/>
                <w:i w:val="0"/>
                <w:color w:val="000000"/>
                <w:sz w:val="15"/>
              </w:rPr>
              <w:t>Versionner les paramètres et enregistrer le détail de calcul.</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Provision individuelle</w:t>
            </w:r>
          </w:p>
        </w:tc>
        <w:tc>
          <w:tcPr>
            <w:tcW w:type="dxa" w:w="2376"/>
            <w:vAlign w:val="center"/>
          </w:tcPr>
          <w:p>
            <w:pPr>
              <w:spacing w:before="0" w:after="0" w:line="259" w:lineRule="auto"/>
              <w:jc w:val="left"/>
            </w:pPr>
            <w:r/>
            <w:r>
              <w:rPr>
                <w:rFonts w:ascii="Calibri" w:hAnsi="Calibri"/>
                <w:b w:val="0"/>
                <w:i w:val="0"/>
                <w:color w:val="000000"/>
                <w:sz w:val="15"/>
              </w:rPr>
              <w:t>Placeholder dans le code ; exemples Excel reçus.</w:t>
            </w:r>
          </w:p>
        </w:tc>
        <w:tc>
          <w:tcPr>
            <w:tcW w:type="dxa" w:w="3139"/>
            <w:vAlign w:val="center"/>
          </w:tcPr>
          <w:p>
            <w:pPr>
              <w:spacing w:before="0" w:after="0" w:line="259" w:lineRule="auto"/>
              <w:jc w:val="left"/>
            </w:pPr>
            <w:r/>
            <w:r>
              <w:rPr>
                <w:rFonts w:ascii="Calibri" w:hAnsi="Calibri"/>
                <w:b w:val="0"/>
                <w:i w:val="0"/>
                <w:color w:val="000000"/>
                <w:sz w:val="15"/>
              </w:rPr>
              <w:t>Implémenter la formule officielle par adhérent et date d’évaluation.</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r>
        <w:trPr>
          <w:cantSplit/>
        </w:trPr>
        <w:tc>
          <w:tcPr>
            <w:tcW w:type="dxa" w:w="1757"/>
            <w:vAlign w:val="center"/>
          </w:tcPr>
          <w:p>
            <w:pPr>
              <w:spacing w:before="0" w:after="0" w:line="259" w:lineRule="auto"/>
              <w:jc w:val="left"/>
            </w:pPr>
            <w:r/>
            <w:r>
              <w:rPr>
                <w:rFonts w:ascii="Calibri" w:hAnsi="Calibri"/>
                <w:b w:val="0"/>
                <w:i w:val="0"/>
                <w:color w:val="000000"/>
                <w:sz w:val="15"/>
              </w:rPr>
              <w:t>Provision globale</w:t>
            </w:r>
          </w:p>
        </w:tc>
        <w:tc>
          <w:tcPr>
            <w:tcW w:type="dxa" w:w="2376"/>
            <w:vAlign w:val="center"/>
          </w:tcPr>
          <w:p>
            <w:pPr>
              <w:spacing w:before="0" w:after="0" w:line="259" w:lineRule="auto"/>
              <w:jc w:val="left"/>
            </w:pPr>
            <w:r/>
            <w:r>
              <w:rPr>
                <w:rFonts w:ascii="Calibri" w:hAnsi="Calibri"/>
                <w:b w:val="0"/>
                <w:i w:val="0"/>
                <w:color w:val="000000"/>
                <w:sz w:val="15"/>
              </w:rPr>
              <w:t>Exemples agrégés 2021–2024 reçus.</w:t>
            </w:r>
          </w:p>
        </w:tc>
        <w:tc>
          <w:tcPr>
            <w:tcW w:type="dxa" w:w="3139"/>
            <w:vAlign w:val="center"/>
          </w:tcPr>
          <w:p>
            <w:pPr>
              <w:spacing w:before="0" w:after="0" w:line="259" w:lineRule="auto"/>
              <w:jc w:val="left"/>
            </w:pPr>
            <w:r/>
            <w:r>
              <w:rPr>
                <w:rFonts w:ascii="Calibri" w:hAnsi="Calibri"/>
                <w:b w:val="0"/>
                <w:i w:val="0"/>
                <w:color w:val="000000"/>
                <w:sz w:val="15"/>
              </w:rPr>
              <w:t>Calcul périodique, réconciliation et état comptable.</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Compte individuel ESR</w:t>
            </w:r>
          </w:p>
        </w:tc>
        <w:tc>
          <w:tcPr>
            <w:tcW w:type="dxa" w:w="2376"/>
            <w:vAlign w:val="center"/>
          </w:tcPr>
          <w:p>
            <w:pPr>
              <w:spacing w:before="0" w:after="0" w:line="259" w:lineRule="auto"/>
              <w:jc w:val="left"/>
            </w:pPr>
            <w:r/>
            <w:r>
              <w:rPr>
                <w:rFonts w:ascii="Calibri" w:hAnsi="Calibri"/>
                <w:b w:val="0"/>
                <w:i w:val="0"/>
                <w:color w:val="000000"/>
                <w:sz w:val="15"/>
              </w:rPr>
              <w:t>Consultation du capital, PM et valeur de rachat.</w:t>
            </w:r>
          </w:p>
        </w:tc>
        <w:tc>
          <w:tcPr>
            <w:tcW w:type="dxa" w:w="3139"/>
            <w:vAlign w:val="center"/>
          </w:tcPr>
          <w:p>
            <w:pPr>
              <w:spacing w:before="0" w:after="0" w:line="259" w:lineRule="auto"/>
              <w:jc w:val="left"/>
            </w:pPr>
            <w:r/>
            <w:r>
              <w:rPr>
                <w:rFonts w:ascii="Calibri" w:hAnsi="Calibri"/>
                <w:b w:val="0"/>
                <w:i w:val="0"/>
                <w:color w:val="000000"/>
                <w:sz w:val="15"/>
              </w:rPr>
              <w:t>Automatiser l’alimentation et le recalcul à chaque mouvement.</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Révision de cotisation</w:t>
            </w:r>
          </w:p>
        </w:tc>
        <w:tc>
          <w:tcPr>
            <w:tcW w:type="dxa" w:w="2376"/>
            <w:vAlign w:val="center"/>
          </w:tcPr>
          <w:p>
            <w:pPr>
              <w:spacing w:before="0" w:after="0" w:line="259" w:lineRule="auto"/>
              <w:jc w:val="left"/>
            </w:pPr>
            <w:r/>
            <w:r>
              <w:rPr>
                <w:rFonts w:ascii="Calibri" w:hAnsi="Calibri"/>
                <w:b w:val="0"/>
                <w:i w:val="0"/>
                <w:color w:val="000000"/>
                <w:sz w:val="15"/>
              </w:rPr>
              <w:t>Règles décrites dans la note technique.</w:t>
            </w:r>
          </w:p>
        </w:tc>
        <w:tc>
          <w:tcPr>
            <w:tcW w:type="dxa" w:w="3139"/>
            <w:vAlign w:val="center"/>
          </w:tcPr>
          <w:p>
            <w:pPr>
              <w:spacing w:before="0" w:after="0" w:line="259" w:lineRule="auto"/>
              <w:jc w:val="left"/>
            </w:pPr>
            <w:r/>
            <w:r>
              <w:rPr>
                <w:rFonts w:ascii="Calibri" w:hAnsi="Calibri"/>
                <w:b w:val="0"/>
                <w:i w:val="0"/>
                <w:color w:val="000000"/>
                <w:sz w:val="15"/>
              </w:rPr>
              <w:t>Recalculer après modification de R et conserver les versions.</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Changement d’âge</w:t>
            </w:r>
          </w:p>
        </w:tc>
        <w:tc>
          <w:tcPr>
            <w:tcW w:type="dxa" w:w="2376"/>
            <w:vAlign w:val="center"/>
          </w:tcPr>
          <w:p>
            <w:pPr>
              <w:spacing w:before="0" w:after="0" w:line="259" w:lineRule="auto"/>
              <w:jc w:val="left"/>
            </w:pPr>
            <w:r/>
            <w:r>
              <w:rPr>
                <w:rFonts w:ascii="Calibri" w:hAnsi="Calibri"/>
                <w:b w:val="0"/>
                <w:i w:val="0"/>
                <w:color w:val="000000"/>
                <w:sz w:val="15"/>
              </w:rPr>
              <w:t>Date de retraite recalculable.</w:t>
            </w:r>
          </w:p>
        </w:tc>
        <w:tc>
          <w:tcPr>
            <w:tcW w:type="dxa" w:w="3139"/>
            <w:vAlign w:val="center"/>
          </w:tcPr>
          <w:p>
            <w:pPr>
              <w:spacing w:before="0" w:after="0" w:line="259" w:lineRule="auto"/>
              <w:jc w:val="left"/>
            </w:pPr>
            <w:r/>
            <w:r>
              <w:rPr>
                <w:rFonts w:ascii="Calibri" w:hAnsi="Calibri"/>
                <w:b w:val="0"/>
                <w:i w:val="0"/>
                <w:color w:val="000000"/>
                <w:sz w:val="15"/>
              </w:rPr>
              <w:t>Recalculer le contrat après changement de grade et historiser.</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Historique de calcul</w:t>
            </w:r>
          </w:p>
        </w:tc>
        <w:tc>
          <w:tcPr>
            <w:tcW w:type="dxa" w:w="2376"/>
            <w:vAlign w:val="center"/>
          </w:tcPr>
          <w:p>
            <w:pPr>
              <w:spacing w:before="0" w:after="0" w:line="259" w:lineRule="auto"/>
              <w:jc w:val="left"/>
            </w:pPr>
            <w:r/>
            <w:r>
              <w:rPr>
                <w:rFonts w:ascii="Calibri" w:hAnsi="Calibri"/>
                <w:b w:val="0"/>
                <w:i w:val="0"/>
                <w:color w:val="000000"/>
                <w:sz w:val="15"/>
              </w:rPr>
              <w:t>Quelques dates et paramètres stockés.</w:t>
            </w:r>
          </w:p>
        </w:tc>
        <w:tc>
          <w:tcPr>
            <w:tcW w:type="dxa" w:w="3139"/>
            <w:vAlign w:val="center"/>
          </w:tcPr>
          <w:p>
            <w:pPr>
              <w:spacing w:before="0" w:after="0" w:line="259" w:lineRule="auto"/>
              <w:jc w:val="left"/>
            </w:pPr>
            <w:r/>
            <w:r>
              <w:rPr>
                <w:rFonts w:ascii="Calibri" w:hAnsi="Calibri"/>
                <w:b w:val="0"/>
                <w:i w:val="0"/>
                <w:color w:val="000000"/>
                <w:sz w:val="15"/>
              </w:rPr>
              <w:t>Conserver formule, version, entrées, résultat, auteur et horodatage.</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Tests actuariels</w:t>
            </w:r>
          </w:p>
        </w:tc>
        <w:tc>
          <w:tcPr>
            <w:tcW w:type="dxa" w:w="2376"/>
            <w:vAlign w:val="center"/>
          </w:tcPr>
          <w:p>
            <w:pPr>
              <w:spacing w:before="0" w:after="0" w:line="259" w:lineRule="auto"/>
              <w:jc w:val="left"/>
            </w:pPr>
            <w:r/>
            <w:r>
              <w:rPr>
                <w:rFonts w:ascii="Calibri" w:hAnsi="Calibri"/>
                <w:b w:val="0"/>
                <w:i w:val="0"/>
                <w:color w:val="000000"/>
                <w:sz w:val="15"/>
              </w:rPr>
              <w:t>Un script existe pour la cotisation.</w:t>
            </w:r>
          </w:p>
        </w:tc>
        <w:tc>
          <w:tcPr>
            <w:tcW w:type="dxa" w:w="3139"/>
            <w:vAlign w:val="center"/>
          </w:tcPr>
          <w:p>
            <w:pPr>
              <w:spacing w:before="0" w:after="0" w:line="259" w:lineRule="auto"/>
              <w:jc w:val="left"/>
            </w:pPr>
            <w:r/>
            <w:r>
              <w:rPr>
                <w:rFonts w:ascii="Calibri" w:hAnsi="Calibri"/>
                <w:b w:val="0"/>
                <w:i w:val="0"/>
                <w:color w:val="000000"/>
                <w:sz w:val="15"/>
              </w:rPr>
              <w:t>Matrice signée couvrant PM, rachat, décès, invalidité et rente.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bl>
    <w:p>
      <w:pPr>
        <w:spacing w:after="40"/>
      </w:pPr>
    </w:p>
    <w:p>
      <w:pPr>
        <w:pStyle w:val="Heading2"/>
        <w:keepNext/>
      </w:pPr>
      <w:r>
        <w:rPr>
          <w:rFonts w:ascii="Calibri" w:hAnsi="Calibri"/>
          <w:b/>
          <w:i w:val="0"/>
          <w:color w:val="2E74B5"/>
          <w:sz w:val="26"/>
        </w:rPr>
        <w:t>D. Cotisations, précomptes et paiements</w:t>
      </w:r>
    </w:p>
    <w:tbl>
      <w:tblPr>
        <w:tblStyle w:val="TableGrid"/>
        <w:tblW w:type="dxa" w:w="9360"/>
        <w:jc w:val="left"/>
        <w:tblLayout w:type="fixed"/>
        <w:tblLook w:firstColumn="1" w:firstRow="1" w:lastColumn="0" w:lastRow="0" w:noHBand="0" w:noVBand="1" w:val="04A0"/>
        <w:tblInd w:w="120" w:type="dxa"/>
      </w:tblPr>
      <w:tblGrid>
        <w:gridCol w:w="1757"/>
        <w:gridCol w:w="2376"/>
        <w:gridCol w:w="3139"/>
        <w:gridCol w:w="979"/>
        <w:gridCol w:w="1109"/>
      </w:tblGrid>
      <w:tr>
        <w:trPr>
          <w:tblHeader w:val="true"/>
        </w:trPr>
        <w:tc>
          <w:tcPr>
            <w:tcW w:type="dxa" w:w="175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Domaine</w:t>
            </w:r>
          </w:p>
        </w:tc>
        <w:tc>
          <w:tcPr>
            <w:tcW w:type="dxa" w:w="237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Déjà disponible</w:t>
            </w:r>
          </w:p>
        </w:tc>
        <w:tc>
          <w:tcPr>
            <w:tcW w:type="dxa" w:w="313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Reste à finaliser</w:t>
            </w:r>
          </w:p>
        </w:tc>
        <w:tc>
          <w:tcPr>
            <w:tcW w:type="dxa" w:w="97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Statut</w:t>
            </w:r>
          </w:p>
        </w:tc>
        <w:tc>
          <w:tcPr>
            <w:tcW w:type="dxa" w:w="110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Priorité</w:t>
            </w:r>
          </w:p>
        </w:tc>
      </w:tr>
      <w:tr>
        <w:trPr>
          <w:cantSplit/>
        </w:trPr>
        <w:tc>
          <w:tcPr>
            <w:tcW w:type="dxa" w:w="1757"/>
            <w:vAlign w:val="center"/>
          </w:tcPr>
          <w:p>
            <w:pPr>
              <w:spacing w:before="0" w:after="0" w:line="259" w:lineRule="auto"/>
              <w:jc w:val="left"/>
            </w:pPr>
            <w:r/>
            <w:r>
              <w:rPr>
                <w:rFonts w:ascii="Calibri" w:hAnsi="Calibri"/>
                <w:b w:val="0"/>
                <w:i w:val="0"/>
                <w:color w:val="000000"/>
                <w:sz w:val="15"/>
              </w:rPr>
              <w:t>Cotisations périodiques</w:t>
            </w:r>
          </w:p>
        </w:tc>
        <w:tc>
          <w:tcPr>
            <w:tcW w:type="dxa" w:w="2376"/>
            <w:vAlign w:val="center"/>
          </w:tcPr>
          <w:p>
            <w:pPr>
              <w:spacing w:before="0" w:after="0" w:line="259" w:lineRule="auto"/>
              <w:jc w:val="left"/>
            </w:pPr>
            <w:r/>
            <w:r>
              <w:rPr>
                <w:rFonts w:ascii="Calibri" w:hAnsi="Calibri"/>
                <w:b w:val="0"/>
                <w:i w:val="0"/>
                <w:color w:val="000000"/>
                <w:sz w:val="15"/>
              </w:rPr>
              <w:t>Liste et génération des échéances.</w:t>
            </w:r>
          </w:p>
        </w:tc>
        <w:tc>
          <w:tcPr>
            <w:tcW w:type="dxa" w:w="3139"/>
            <w:vAlign w:val="center"/>
          </w:tcPr>
          <w:p>
            <w:pPr>
              <w:spacing w:before="0" w:after="0" w:line="259" w:lineRule="auto"/>
              <w:jc w:val="left"/>
            </w:pPr>
            <w:r/>
            <w:r>
              <w:rPr>
                <w:rFonts w:ascii="Calibri" w:hAnsi="Calibri"/>
                <w:b w:val="0"/>
                <w:i w:val="0"/>
                <w:color w:val="000000"/>
                <w:sz w:val="15"/>
              </w:rPr>
              <w:t>Capitalisation, régularisations, annulations et périodes incomplètes.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Paiement spontané</w:t>
            </w:r>
          </w:p>
        </w:tc>
        <w:tc>
          <w:tcPr>
            <w:tcW w:type="dxa" w:w="2376"/>
            <w:vAlign w:val="center"/>
          </w:tcPr>
          <w:p>
            <w:pPr>
              <w:spacing w:before="0" w:after="0" w:line="259" w:lineRule="auto"/>
              <w:jc w:val="left"/>
            </w:pPr>
            <w:r/>
            <w:r>
              <w:rPr>
                <w:rFonts w:ascii="Calibri" w:hAnsi="Calibri"/>
                <w:b w:val="0"/>
                <w:i w:val="0"/>
                <w:color w:val="000000"/>
                <w:sz w:val="15"/>
              </w:rPr>
              <w:t>Formulaire et API d’enregistrement.</w:t>
            </w:r>
          </w:p>
        </w:tc>
        <w:tc>
          <w:tcPr>
            <w:tcW w:type="dxa" w:w="3139"/>
            <w:vAlign w:val="center"/>
          </w:tcPr>
          <w:p>
            <w:pPr>
              <w:spacing w:before="0" w:after="0" w:line="259" w:lineRule="auto"/>
              <w:jc w:val="left"/>
            </w:pPr>
            <w:r/>
            <w:r>
              <w:rPr>
                <w:rFonts w:ascii="Calibri" w:hAnsi="Calibri"/>
                <w:b w:val="0"/>
                <w:i w:val="0"/>
                <w:color w:val="000000"/>
                <w:sz w:val="15"/>
              </w:rPr>
              <w:t>Date de valeur, validation, compte ESR, annulation et reçu.</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Reçu</w:t>
            </w:r>
          </w:p>
        </w:tc>
        <w:tc>
          <w:tcPr>
            <w:tcW w:type="dxa" w:w="2376"/>
            <w:vAlign w:val="center"/>
          </w:tcPr>
          <w:p>
            <w:pPr>
              <w:spacing w:before="0" w:after="0" w:line="259" w:lineRule="auto"/>
              <w:jc w:val="left"/>
            </w:pPr>
            <w:r/>
            <w:r>
              <w:rPr>
                <w:rFonts w:ascii="Calibri" w:hAnsi="Calibri"/>
                <w:b w:val="0"/>
                <w:i w:val="0"/>
                <w:color w:val="000000"/>
                <w:sz w:val="15"/>
              </w:rPr>
              <w:t>Aucun reçu PDF officiel.</w:t>
            </w:r>
          </w:p>
        </w:tc>
        <w:tc>
          <w:tcPr>
            <w:tcW w:type="dxa" w:w="3139"/>
            <w:vAlign w:val="center"/>
          </w:tcPr>
          <w:p>
            <w:pPr>
              <w:spacing w:before="0" w:after="0" w:line="259" w:lineRule="auto"/>
              <w:jc w:val="left"/>
            </w:pPr>
            <w:r/>
            <w:r>
              <w:rPr>
                <w:rFonts w:ascii="Calibri" w:hAnsi="Calibri"/>
                <w:b w:val="0"/>
                <w:i w:val="0"/>
                <w:color w:val="000000"/>
                <w:sz w:val="15"/>
              </w:rPr>
              <w:t>Numéro unique, modèle validé, contrôle et archivage.</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Paiement par chèque</w:t>
            </w:r>
          </w:p>
        </w:tc>
        <w:tc>
          <w:tcPr>
            <w:tcW w:type="dxa" w:w="2376"/>
            <w:vAlign w:val="center"/>
          </w:tcPr>
          <w:p>
            <w:pPr>
              <w:spacing w:before="0" w:after="0" w:line="259" w:lineRule="auto"/>
              <w:jc w:val="left"/>
            </w:pPr>
            <w:r/>
            <w:r>
              <w:rPr>
                <w:rFonts w:ascii="Calibri" w:hAnsi="Calibri"/>
                <w:b w:val="0"/>
                <w:i w:val="0"/>
                <w:color w:val="000000"/>
                <w:sz w:val="15"/>
              </w:rPr>
              <w:t>Moyen de paiement disponible à la saisie.</w:t>
            </w:r>
          </w:p>
        </w:tc>
        <w:tc>
          <w:tcPr>
            <w:tcW w:type="dxa" w:w="3139"/>
            <w:vAlign w:val="center"/>
          </w:tcPr>
          <w:p>
            <w:pPr>
              <w:spacing w:before="0" w:after="0" w:line="259" w:lineRule="auto"/>
              <w:jc w:val="left"/>
            </w:pPr>
            <w:r/>
            <w:r>
              <w:rPr>
                <w:rFonts w:ascii="Calibri" w:hAnsi="Calibri"/>
                <w:b w:val="0"/>
                <w:i w:val="0"/>
                <w:color w:val="000000"/>
                <w:sz w:val="15"/>
              </w:rPr>
              <w:t>Workflow saisi–contrôlé–validé–rejeté–encaissé.</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Génération précomptes</w:t>
            </w:r>
          </w:p>
        </w:tc>
        <w:tc>
          <w:tcPr>
            <w:tcW w:type="dxa" w:w="2376"/>
            <w:vAlign w:val="center"/>
          </w:tcPr>
          <w:p>
            <w:pPr>
              <w:spacing w:before="0" w:after="0" w:line="259" w:lineRule="auto"/>
              <w:jc w:val="left"/>
            </w:pPr>
            <w:r/>
            <w:r>
              <w:rPr>
                <w:rFonts w:ascii="Calibri" w:hAnsi="Calibri"/>
                <w:b w:val="0"/>
                <w:i w:val="0"/>
                <w:color w:val="000000"/>
                <w:sz w:val="15"/>
              </w:rPr>
              <w:t>Génération trimestrielle et prévention partielle des doublons.</w:t>
            </w:r>
          </w:p>
        </w:tc>
        <w:tc>
          <w:tcPr>
            <w:tcW w:type="dxa" w:w="3139"/>
            <w:vAlign w:val="center"/>
          </w:tcPr>
          <w:p>
            <w:pPr>
              <w:spacing w:before="0" w:after="0" w:line="259" w:lineRule="auto"/>
              <w:jc w:val="left"/>
            </w:pPr>
            <w:r/>
            <w:r>
              <w:rPr>
                <w:rFonts w:ascii="Calibri" w:hAnsi="Calibri"/>
                <w:b w:val="0"/>
                <w:i w:val="0"/>
                <w:color w:val="000000"/>
                <w:sz w:val="15"/>
              </w:rPr>
              <w:t>Valider l’éligibilité et les règles de régularisation.</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Export APS</w:t>
            </w:r>
          </w:p>
        </w:tc>
        <w:tc>
          <w:tcPr>
            <w:tcW w:type="dxa" w:w="2376"/>
            <w:vAlign w:val="center"/>
          </w:tcPr>
          <w:p>
            <w:pPr>
              <w:spacing w:before="0" w:after="0" w:line="259" w:lineRule="auto"/>
              <w:jc w:val="left"/>
            </w:pPr>
            <w:r/>
            <w:r>
              <w:rPr>
                <w:rFonts w:ascii="Calibri" w:hAnsi="Calibri"/>
                <w:b w:val="0"/>
                <w:i w:val="0"/>
                <w:color w:val="000000"/>
                <w:sz w:val="15"/>
              </w:rPr>
              <w:t>Emplacement prévu dans l’écran.</w:t>
            </w:r>
          </w:p>
        </w:tc>
        <w:tc>
          <w:tcPr>
            <w:tcW w:type="dxa" w:w="3139"/>
            <w:vAlign w:val="center"/>
          </w:tcPr>
          <w:p>
            <w:pPr>
              <w:spacing w:before="0" w:after="0" w:line="259" w:lineRule="auto"/>
              <w:jc w:val="left"/>
            </w:pPr>
            <w:r/>
            <w:r>
              <w:rPr>
                <w:rFonts w:ascii="Calibri" w:hAnsi="Calibri"/>
                <w:b w:val="0"/>
                <w:i w:val="0"/>
                <w:color w:val="000000"/>
                <w:sz w:val="15"/>
              </w:rPr>
              <w:t>Bouton actuellement désactivé ; adapter au format officiel APS.</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r>
        <w:trPr>
          <w:cantSplit/>
        </w:trPr>
        <w:tc>
          <w:tcPr>
            <w:tcW w:type="dxa" w:w="1757"/>
            <w:vAlign w:val="center"/>
          </w:tcPr>
          <w:p>
            <w:pPr>
              <w:spacing w:before="0" w:after="0" w:line="259" w:lineRule="auto"/>
              <w:jc w:val="left"/>
            </w:pPr>
            <w:r/>
            <w:r>
              <w:rPr>
                <w:rFonts w:ascii="Calibri" w:hAnsi="Calibri"/>
                <w:b w:val="0"/>
                <w:i w:val="0"/>
                <w:color w:val="000000"/>
                <w:sz w:val="15"/>
              </w:rPr>
              <w:t>Import APS/Comptabilité</w:t>
            </w:r>
          </w:p>
        </w:tc>
        <w:tc>
          <w:tcPr>
            <w:tcW w:type="dxa" w:w="2376"/>
            <w:vAlign w:val="center"/>
          </w:tcPr>
          <w:p>
            <w:pPr>
              <w:spacing w:before="0" w:after="0" w:line="259" w:lineRule="auto"/>
              <w:jc w:val="left"/>
            </w:pPr>
            <w:r/>
            <w:r>
              <w:rPr>
                <w:rFonts w:ascii="Calibri" w:hAnsi="Calibri"/>
                <w:b w:val="0"/>
                <w:i w:val="0"/>
                <w:color w:val="000000"/>
                <w:sz w:val="15"/>
              </w:rPr>
              <w:t>Lecture Excel et enrichissement par matricule.</w:t>
            </w:r>
          </w:p>
        </w:tc>
        <w:tc>
          <w:tcPr>
            <w:tcW w:type="dxa" w:w="3139"/>
            <w:vAlign w:val="center"/>
          </w:tcPr>
          <w:p>
            <w:pPr>
              <w:spacing w:before="0" w:after="0" w:line="259" w:lineRule="auto"/>
              <w:jc w:val="left"/>
            </w:pPr>
            <w:r/>
            <w:r>
              <w:rPr>
                <w:rFonts w:ascii="Calibri" w:hAnsi="Calibri"/>
                <w:b w:val="0"/>
                <w:i w:val="0"/>
                <w:color w:val="000000"/>
                <w:sz w:val="15"/>
              </w:rPr>
              <w:t>Adapter aux colonnes réelles et enregistrer le résultat en base.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r>
        <w:trPr>
          <w:cantSplit/>
        </w:trPr>
        <w:tc>
          <w:tcPr>
            <w:tcW w:type="dxa" w:w="1757"/>
            <w:vAlign w:val="center"/>
          </w:tcPr>
          <w:p>
            <w:pPr>
              <w:spacing w:before="0" w:after="0" w:line="259" w:lineRule="auto"/>
              <w:jc w:val="left"/>
            </w:pPr>
            <w:r/>
            <w:r>
              <w:rPr>
                <w:rFonts w:ascii="Calibri" w:hAnsi="Calibri"/>
                <w:b w:val="0"/>
                <w:i w:val="0"/>
                <w:color w:val="000000"/>
                <w:sz w:val="15"/>
              </w:rPr>
              <w:t>Retour DGI</w:t>
            </w:r>
          </w:p>
        </w:tc>
        <w:tc>
          <w:tcPr>
            <w:tcW w:type="dxa" w:w="2376"/>
            <w:vAlign w:val="center"/>
          </w:tcPr>
          <w:p>
            <w:pPr>
              <w:spacing w:before="0" w:after="0" w:line="259" w:lineRule="auto"/>
              <w:jc w:val="left"/>
            </w:pPr>
            <w:r/>
            <w:r>
              <w:rPr>
                <w:rFonts w:ascii="Calibri" w:hAnsi="Calibri"/>
                <w:b w:val="0"/>
                <w:i w:val="0"/>
                <w:color w:val="000000"/>
                <w:sz w:val="15"/>
              </w:rPr>
              <w:t>Rapprochement visuel partiel.</w:t>
            </w:r>
          </w:p>
        </w:tc>
        <w:tc>
          <w:tcPr>
            <w:tcW w:type="dxa" w:w="3139"/>
            <w:vAlign w:val="center"/>
          </w:tcPr>
          <w:p>
            <w:pPr>
              <w:spacing w:before="0" w:after="0" w:line="259" w:lineRule="auto"/>
              <w:jc w:val="left"/>
            </w:pPr>
            <w:r/>
            <w:r>
              <w:rPr>
                <w:rFonts w:ascii="Calibri" w:hAnsi="Calibri"/>
                <w:b w:val="0"/>
                <w:i w:val="0"/>
                <w:color w:val="000000"/>
                <w:sz w:val="15"/>
              </w:rPr>
              <w:t>Persister réalisé, écarts, motifs et régularisations.</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Non-précomptés</w:t>
            </w:r>
          </w:p>
        </w:tc>
        <w:tc>
          <w:tcPr>
            <w:tcW w:type="dxa" w:w="2376"/>
            <w:vAlign w:val="center"/>
          </w:tcPr>
          <w:p>
            <w:pPr>
              <w:spacing w:before="0" w:after="0" w:line="259" w:lineRule="auto"/>
              <w:jc w:val="left"/>
            </w:pPr>
            <w:r/>
            <w:r>
              <w:rPr>
                <w:rFonts w:ascii="Calibri" w:hAnsi="Calibri"/>
                <w:b w:val="0"/>
                <w:i w:val="0"/>
                <w:color w:val="000000"/>
                <w:sz w:val="15"/>
              </w:rPr>
              <w:t>Données de base disponibles.</w:t>
            </w:r>
          </w:p>
        </w:tc>
        <w:tc>
          <w:tcPr>
            <w:tcW w:type="dxa" w:w="3139"/>
            <w:vAlign w:val="center"/>
          </w:tcPr>
          <w:p>
            <w:pPr>
              <w:spacing w:before="0" w:after="0" w:line="259" w:lineRule="auto"/>
              <w:jc w:val="left"/>
            </w:pPr>
            <w:r/>
            <w:r>
              <w:rPr>
                <w:rFonts w:ascii="Calibri" w:hAnsi="Calibri"/>
                <w:b w:val="0"/>
                <w:i w:val="0"/>
                <w:color w:val="000000"/>
                <w:sz w:val="15"/>
              </w:rPr>
              <w:t>État dédié avec téléphone, montant et motif.</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bl>
    <w:p>
      <w:pPr>
        <w:spacing w:after="40"/>
      </w:pPr>
    </w:p>
    <w:p>
      <w:pPr>
        <w:pStyle w:val="Heading2"/>
        <w:keepNext/>
      </w:pPr>
      <w:r>
        <w:rPr>
          <w:rFonts w:ascii="Calibri" w:hAnsi="Calibri"/>
          <w:b/>
          <w:i w:val="0"/>
          <w:color w:val="2E74B5"/>
          <w:sz w:val="26"/>
        </w:rPr>
        <w:t>E. Prestations, rachats, invalidité et rentes</w:t>
      </w:r>
    </w:p>
    <w:tbl>
      <w:tblPr>
        <w:tblStyle w:val="TableGrid"/>
        <w:tblW w:type="dxa" w:w="9360"/>
        <w:jc w:val="left"/>
        <w:tblLayout w:type="fixed"/>
        <w:tblLook w:firstColumn="1" w:firstRow="1" w:lastColumn="0" w:lastRow="0" w:noHBand="0" w:noVBand="1" w:val="04A0"/>
        <w:tblInd w:w="120" w:type="dxa"/>
      </w:tblPr>
      <w:tblGrid>
        <w:gridCol w:w="1757"/>
        <w:gridCol w:w="2376"/>
        <w:gridCol w:w="3139"/>
        <w:gridCol w:w="979"/>
        <w:gridCol w:w="1109"/>
      </w:tblGrid>
      <w:tr>
        <w:trPr>
          <w:tblHeader w:val="true"/>
        </w:trPr>
        <w:tc>
          <w:tcPr>
            <w:tcW w:type="dxa" w:w="175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Domaine</w:t>
            </w:r>
          </w:p>
        </w:tc>
        <w:tc>
          <w:tcPr>
            <w:tcW w:type="dxa" w:w="237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Déjà disponible</w:t>
            </w:r>
          </w:p>
        </w:tc>
        <w:tc>
          <w:tcPr>
            <w:tcW w:type="dxa" w:w="313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Reste à finaliser</w:t>
            </w:r>
          </w:p>
        </w:tc>
        <w:tc>
          <w:tcPr>
            <w:tcW w:type="dxa" w:w="97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Statut</w:t>
            </w:r>
          </w:p>
        </w:tc>
        <w:tc>
          <w:tcPr>
            <w:tcW w:type="dxa" w:w="110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Priorité</w:t>
            </w:r>
          </w:p>
        </w:tc>
      </w:tr>
      <w:tr>
        <w:trPr>
          <w:cantSplit/>
        </w:trPr>
        <w:tc>
          <w:tcPr>
            <w:tcW w:type="dxa" w:w="1757"/>
            <w:vAlign w:val="center"/>
          </w:tcPr>
          <w:p>
            <w:pPr>
              <w:spacing w:before="0" w:after="0" w:line="259" w:lineRule="auto"/>
              <w:jc w:val="left"/>
            </w:pPr>
            <w:r/>
            <w:r>
              <w:rPr>
                <w:rFonts w:ascii="Calibri" w:hAnsi="Calibri"/>
                <w:b w:val="0"/>
                <w:i w:val="0"/>
                <w:color w:val="000000"/>
                <w:sz w:val="15"/>
              </w:rPr>
              <w:t>Dossiers prestations</w:t>
            </w:r>
          </w:p>
        </w:tc>
        <w:tc>
          <w:tcPr>
            <w:tcW w:type="dxa" w:w="2376"/>
            <w:vAlign w:val="center"/>
          </w:tcPr>
          <w:p>
            <w:pPr>
              <w:spacing w:before="0" w:after="0" w:line="259" w:lineRule="auto"/>
              <w:jc w:val="left"/>
            </w:pPr>
            <w:r/>
            <w:r>
              <w:rPr>
                <w:rFonts w:ascii="Calibri" w:hAnsi="Calibri"/>
                <w:b w:val="0"/>
                <w:i w:val="0"/>
                <w:color w:val="000000"/>
                <w:sz w:val="15"/>
              </w:rPr>
              <w:t>Liste et création avec statuts généraux.</w:t>
            </w:r>
          </w:p>
        </w:tc>
        <w:tc>
          <w:tcPr>
            <w:tcW w:type="dxa" w:w="3139"/>
            <w:vAlign w:val="center"/>
          </w:tcPr>
          <w:p>
            <w:pPr>
              <w:spacing w:before="0" w:after="0" w:line="259" w:lineRule="auto"/>
              <w:jc w:val="left"/>
            </w:pPr>
            <w:r/>
            <w:r>
              <w:rPr>
                <w:rFonts w:ascii="Calibri" w:hAnsi="Calibri"/>
                <w:b w:val="0"/>
                <w:i w:val="0"/>
                <w:color w:val="000000"/>
                <w:sz w:val="15"/>
              </w:rPr>
              <w:t>Pièces, transitions, doubles validations, paiement et clôture.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Rachat total</w:t>
            </w:r>
          </w:p>
        </w:tc>
        <w:tc>
          <w:tcPr>
            <w:tcW w:type="dxa" w:w="2376"/>
            <w:vAlign w:val="center"/>
          </w:tcPr>
          <w:p>
            <w:pPr>
              <w:spacing w:before="0" w:after="0" w:line="259" w:lineRule="auto"/>
              <w:jc w:val="left"/>
            </w:pPr>
            <w:r/>
            <w:r>
              <w:rPr>
                <w:rFonts w:ascii="Calibri" w:hAnsi="Calibri"/>
                <w:b w:val="0"/>
                <w:i w:val="0"/>
                <w:color w:val="000000"/>
                <w:sz w:val="15"/>
              </w:rPr>
              <w:t>Type RACHAT, valeur affichée et classeur reçu.</w:t>
            </w:r>
          </w:p>
        </w:tc>
        <w:tc>
          <w:tcPr>
            <w:tcW w:type="dxa" w:w="3139"/>
            <w:vAlign w:val="center"/>
          </w:tcPr>
          <w:p>
            <w:pPr>
              <w:spacing w:before="0" w:after="0" w:line="259" w:lineRule="auto"/>
              <w:jc w:val="left"/>
            </w:pPr>
            <w:r/>
            <w:r>
              <w:rPr>
                <w:rFonts w:ascii="Calibri" w:hAnsi="Calibri"/>
                <w:b w:val="0"/>
                <w:i w:val="0"/>
                <w:color w:val="000000"/>
                <w:sz w:val="15"/>
              </w:rPr>
              <w:t>Éligibilité, calcul, liquidation, validation et paiement.</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CE4D6"/>
          </w:tcPr>
          <w:p>
            <w:pPr>
              <w:spacing w:before="0" w:after="0" w:line="259" w:lineRule="auto"/>
              <w:jc w:val="center"/>
            </w:pPr>
            <w:r/>
            <w:r>
              <w:rPr>
                <w:rFonts w:ascii="Calibri" w:hAnsi="Calibri"/>
                <w:b/>
                <w:i w:val="0"/>
                <w:color w:val="C00000"/>
                <w:sz w:val="15"/>
              </w:rPr>
              <w:t>BLOQUANTE</w:t>
            </w:r>
          </w:p>
        </w:tc>
      </w:tr>
      <w:tr>
        <w:trPr>
          <w:cantSplit/>
        </w:trPr>
        <w:tc>
          <w:tcPr>
            <w:tcW w:type="dxa" w:w="1757"/>
            <w:vAlign w:val="center"/>
          </w:tcPr>
          <w:p>
            <w:pPr>
              <w:spacing w:before="0" w:after="0" w:line="259" w:lineRule="auto"/>
              <w:jc w:val="left"/>
            </w:pPr>
            <w:r/>
            <w:r>
              <w:rPr>
                <w:rFonts w:ascii="Calibri" w:hAnsi="Calibri"/>
                <w:b w:val="0"/>
                <w:i w:val="0"/>
                <w:color w:val="000000"/>
                <w:sz w:val="15"/>
              </w:rPr>
              <w:t>Rachat partiel</w:t>
            </w:r>
          </w:p>
        </w:tc>
        <w:tc>
          <w:tcPr>
            <w:tcW w:type="dxa" w:w="2376"/>
            <w:vAlign w:val="center"/>
          </w:tcPr>
          <w:p>
            <w:pPr>
              <w:spacing w:before="0" w:after="0" w:line="259" w:lineRule="auto"/>
              <w:jc w:val="left"/>
            </w:pPr>
            <w:r/>
            <w:r>
              <w:rPr>
                <w:rFonts w:ascii="Calibri" w:hAnsi="Calibri"/>
                <w:b w:val="0"/>
                <w:i w:val="0"/>
                <w:color w:val="000000"/>
                <w:sz w:val="15"/>
              </w:rPr>
              <w:t>Interdit par les conditions générales.</w:t>
            </w:r>
          </w:p>
        </w:tc>
        <w:tc>
          <w:tcPr>
            <w:tcW w:type="dxa" w:w="3139"/>
            <w:vAlign w:val="center"/>
          </w:tcPr>
          <w:p>
            <w:pPr>
              <w:spacing w:before="0" w:after="0" w:line="259" w:lineRule="auto"/>
              <w:jc w:val="left"/>
            </w:pPr>
            <w:r/>
            <w:r>
              <w:rPr>
                <w:rFonts w:ascii="Calibri" w:hAnsi="Calibri"/>
                <w:b w:val="0"/>
                <w:i w:val="0"/>
                <w:color w:val="000000"/>
                <w:sz w:val="15"/>
              </w:rPr>
              <w:t>Bloquer explicitement l’opération et tracer le refus.</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Décès avant retraite</w:t>
            </w:r>
          </w:p>
        </w:tc>
        <w:tc>
          <w:tcPr>
            <w:tcW w:type="dxa" w:w="2376"/>
            <w:vAlign w:val="center"/>
          </w:tcPr>
          <w:p>
            <w:pPr>
              <w:spacing w:before="0" w:after="0" w:line="259" w:lineRule="auto"/>
              <w:jc w:val="left"/>
            </w:pPr>
            <w:r/>
            <w:r>
              <w:rPr>
                <w:rFonts w:ascii="Calibri" w:hAnsi="Calibri"/>
                <w:b w:val="0"/>
                <w:i w:val="0"/>
                <w:color w:val="000000"/>
                <w:sz w:val="15"/>
              </w:rPr>
              <w:t>Déclaration, prestation et classeur de calcul.</w:t>
            </w:r>
          </w:p>
        </w:tc>
        <w:tc>
          <w:tcPr>
            <w:tcW w:type="dxa" w:w="3139"/>
            <w:vAlign w:val="center"/>
          </w:tcPr>
          <w:p>
            <w:pPr>
              <w:spacing w:before="0" w:after="0" w:line="259" w:lineRule="auto"/>
              <w:jc w:val="left"/>
            </w:pPr>
            <w:r/>
            <w:r>
              <w:rPr>
                <w:rFonts w:ascii="Calibri" w:hAnsi="Calibri"/>
                <w:b w:val="0"/>
                <w:i w:val="0"/>
                <w:color w:val="000000"/>
                <w:sz w:val="15"/>
              </w:rPr>
              <w:t>Calcul 95 %/100 %, pièces, validation et paiement.</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Invalidité totale</w:t>
            </w:r>
          </w:p>
        </w:tc>
        <w:tc>
          <w:tcPr>
            <w:tcW w:type="dxa" w:w="2376"/>
            <w:vAlign w:val="center"/>
          </w:tcPr>
          <w:p>
            <w:pPr>
              <w:spacing w:before="0" w:after="0" w:line="259" w:lineRule="auto"/>
              <w:jc w:val="left"/>
            </w:pPr>
            <w:r/>
            <w:r>
              <w:rPr>
                <w:rFonts w:ascii="Calibri" w:hAnsi="Calibri"/>
                <w:b w:val="0"/>
                <w:i w:val="0"/>
                <w:color w:val="000000"/>
                <w:sz w:val="15"/>
              </w:rPr>
              <w:t>Type de prestation disponible.</w:t>
            </w:r>
          </w:p>
        </w:tc>
        <w:tc>
          <w:tcPr>
            <w:tcW w:type="dxa" w:w="3139"/>
            <w:vAlign w:val="center"/>
          </w:tcPr>
          <w:p>
            <w:pPr>
              <w:spacing w:before="0" w:after="0" w:line="259" w:lineRule="auto"/>
              <w:jc w:val="left"/>
            </w:pPr>
            <w:r/>
            <w:r>
              <w:rPr>
                <w:rFonts w:ascii="Calibri" w:hAnsi="Calibri"/>
                <w:b w:val="0"/>
                <w:i w:val="0"/>
                <w:color w:val="000000"/>
                <w:sz w:val="15"/>
              </w:rPr>
              <w:t>Validation médicale, calcul, pièces et délai de paiement.</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Décès pendant rente</w:t>
            </w:r>
          </w:p>
        </w:tc>
        <w:tc>
          <w:tcPr>
            <w:tcW w:type="dxa" w:w="2376"/>
            <w:vAlign w:val="center"/>
          </w:tcPr>
          <w:p>
            <w:pPr>
              <w:spacing w:before="0" w:after="0" w:line="259" w:lineRule="auto"/>
              <w:jc w:val="left"/>
            </w:pPr>
            <w:r/>
            <w:r>
              <w:rPr>
                <w:rFonts w:ascii="Calibri" w:hAnsi="Calibri"/>
                <w:b w:val="0"/>
                <w:i w:val="0"/>
                <w:color w:val="000000"/>
                <w:sz w:val="15"/>
              </w:rPr>
              <w:t>Règle de 80 % documentée.</w:t>
            </w:r>
          </w:p>
        </w:tc>
        <w:tc>
          <w:tcPr>
            <w:tcW w:type="dxa" w:w="3139"/>
            <w:vAlign w:val="center"/>
          </w:tcPr>
          <w:p>
            <w:pPr>
              <w:spacing w:before="0" w:after="0" w:line="259" w:lineRule="auto"/>
              <w:jc w:val="left"/>
            </w:pPr>
            <w:r/>
            <w:r>
              <w:rPr>
                <w:rFonts w:ascii="Calibri" w:hAnsi="Calibri"/>
                <w:b w:val="0"/>
                <w:i w:val="0"/>
                <w:color w:val="000000"/>
                <w:sz w:val="15"/>
              </w:rPr>
              <w:t>Capital restant, arrêt de rente et répartition bénéficiaires.</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Rentes</w:t>
            </w:r>
          </w:p>
        </w:tc>
        <w:tc>
          <w:tcPr>
            <w:tcW w:type="dxa" w:w="2376"/>
            <w:vAlign w:val="center"/>
          </w:tcPr>
          <w:p>
            <w:pPr>
              <w:spacing w:before="0" w:after="0" w:line="259" w:lineRule="auto"/>
              <w:jc w:val="left"/>
            </w:pPr>
            <w:r/>
            <w:r>
              <w:rPr>
                <w:rFonts w:ascii="Calibri" w:hAnsi="Calibri"/>
                <w:b w:val="0"/>
                <w:i w:val="0"/>
                <w:color w:val="000000"/>
                <w:sz w:val="15"/>
              </w:rPr>
              <w:t>Consultation des rentes et versements.</w:t>
            </w:r>
          </w:p>
        </w:tc>
        <w:tc>
          <w:tcPr>
            <w:tcW w:type="dxa" w:w="3139"/>
            <w:vAlign w:val="center"/>
          </w:tcPr>
          <w:p>
            <w:pPr>
              <w:spacing w:before="0" w:after="0" w:line="259" w:lineRule="auto"/>
              <w:jc w:val="left"/>
            </w:pPr>
            <w:r/>
            <w:r>
              <w:rPr>
                <w:rFonts w:ascii="Calibri" w:hAnsi="Calibri"/>
                <w:b w:val="0"/>
                <w:i w:val="0"/>
                <w:color w:val="000000"/>
                <w:sz w:val="15"/>
              </w:rPr>
              <w:t>Création, échéancier, paiement APS, suspension et extinction.</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Versements APS</w:t>
            </w:r>
          </w:p>
        </w:tc>
        <w:tc>
          <w:tcPr>
            <w:tcW w:type="dxa" w:w="2376"/>
            <w:vAlign w:val="center"/>
          </w:tcPr>
          <w:p>
            <w:pPr>
              <w:spacing w:before="0" w:after="0" w:line="259" w:lineRule="auto"/>
              <w:jc w:val="left"/>
            </w:pPr>
            <w:r/>
            <w:r>
              <w:rPr>
                <w:rFonts w:ascii="Calibri" w:hAnsi="Calibri"/>
                <w:b w:val="0"/>
                <w:i w:val="0"/>
                <w:color w:val="000000"/>
                <w:sz w:val="15"/>
              </w:rPr>
              <w:t>Processus métier décrit.</w:t>
            </w:r>
          </w:p>
        </w:tc>
        <w:tc>
          <w:tcPr>
            <w:tcW w:type="dxa" w:w="3139"/>
            <w:vAlign w:val="center"/>
          </w:tcPr>
          <w:p>
            <w:pPr>
              <w:spacing w:before="0" w:after="0" w:line="259" w:lineRule="auto"/>
              <w:jc w:val="left"/>
            </w:pPr>
            <w:r/>
            <w:r>
              <w:rPr>
                <w:rFonts w:ascii="Calibri" w:hAnsi="Calibri"/>
                <w:b w:val="0"/>
                <w:i w:val="0"/>
                <w:color w:val="000000"/>
                <w:sz w:val="15"/>
              </w:rPr>
              <w:t>Bordereau trimestriel, validation et rapprochement.</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Délai 15 jours</w:t>
            </w:r>
          </w:p>
        </w:tc>
        <w:tc>
          <w:tcPr>
            <w:tcW w:type="dxa" w:w="2376"/>
            <w:vAlign w:val="center"/>
          </w:tcPr>
          <w:p>
            <w:pPr>
              <w:spacing w:before="0" w:after="0" w:line="259" w:lineRule="auto"/>
              <w:jc w:val="left"/>
            </w:pPr>
            <w:r/>
            <w:r>
              <w:rPr>
                <w:rFonts w:ascii="Calibri" w:hAnsi="Calibri"/>
                <w:b w:val="0"/>
                <w:i w:val="0"/>
                <w:color w:val="000000"/>
                <w:sz w:val="15"/>
              </w:rPr>
              <w:t>Date de demande enregistrée.</w:t>
            </w:r>
          </w:p>
        </w:tc>
        <w:tc>
          <w:tcPr>
            <w:tcW w:type="dxa" w:w="3139"/>
            <w:vAlign w:val="center"/>
          </w:tcPr>
          <w:p>
            <w:pPr>
              <w:spacing w:before="0" w:after="0" w:line="259" w:lineRule="auto"/>
              <w:jc w:val="left"/>
            </w:pPr>
            <w:r/>
            <w:r>
              <w:rPr>
                <w:rFonts w:ascii="Calibri" w:hAnsi="Calibri"/>
                <w:b w:val="0"/>
                <w:i w:val="0"/>
                <w:color w:val="000000"/>
                <w:sz w:val="15"/>
              </w:rPr>
              <w:t>Date de complétude, échéance, alertes et KPI.</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Placements</w:t>
            </w:r>
          </w:p>
        </w:tc>
        <w:tc>
          <w:tcPr>
            <w:tcW w:type="dxa" w:w="2376"/>
            <w:vAlign w:val="center"/>
          </w:tcPr>
          <w:p>
            <w:pPr>
              <w:spacing w:before="0" w:after="0" w:line="259" w:lineRule="auto"/>
              <w:jc w:val="left"/>
            </w:pPr>
            <w:r/>
            <w:r>
              <w:rPr>
                <w:rFonts w:ascii="Calibri" w:hAnsi="Calibri"/>
                <w:b w:val="0"/>
                <w:i w:val="0"/>
                <w:color w:val="000000"/>
                <w:sz w:val="15"/>
              </w:rPr>
              <w:t>Gouvernance et principes documentés.</w:t>
            </w:r>
          </w:p>
        </w:tc>
        <w:tc>
          <w:tcPr>
            <w:tcW w:type="dxa" w:w="3139"/>
            <w:vAlign w:val="center"/>
          </w:tcPr>
          <w:p>
            <w:pPr>
              <w:spacing w:before="0" w:after="0" w:line="259" w:lineRule="auto"/>
              <w:jc w:val="left"/>
            </w:pPr>
            <w:r/>
            <w:r>
              <w:rPr>
                <w:rFonts w:ascii="Calibri" w:hAnsi="Calibri"/>
                <w:b w:val="0"/>
                <w:i w:val="0"/>
                <w:color w:val="000000"/>
                <w:sz w:val="15"/>
              </w:rPr>
              <w:t>Décider : suivi V1 ou gestion complète V2.</w:t>
            </w:r>
          </w:p>
        </w:tc>
        <w:tc>
          <w:tcPr>
            <w:tcW w:type="dxa" w:w="979"/>
            <w:vAlign w:val="center"/>
            <w:shd w:fill="E8EEF5"/>
          </w:tcPr>
          <w:p>
            <w:pPr>
              <w:spacing w:before="0" w:after="0" w:line="259" w:lineRule="auto"/>
              <w:jc w:val="center"/>
            </w:pPr>
            <w:r/>
            <w:r>
              <w:rPr>
                <w:rFonts w:ascii="Calibri" w:hAnsi="Calibri"/>
                <w:b/>
                <w:i w:val="0"/>
                <w:color w:val="17365D"/>
                <w:sz w:val="15"/>
              </w:rPr>
              <w:t>ARBITRAGE</w:t>
            </w:r>
          </w:p>
        </w:tc>
        <w:tc>
          <w:tcPr>
            <w:tcW w:type="dxa" w:w="1109"/>
            <w:vAlign w:val="center"/>
            <w:shd w:fill="E8EEF5"/>
          </w:tcPr>
          <w:p>
            <w:pPr>
              <w:spacing w:before="0" w:after="0" w:line="259" w:lineRule="auto"/>
              <w:jc w:val="center"/>
            </w:pPr>
            <w:r/>
            <w:r>
              <w:rPr>
                <w:rFonts w:ascii="Calibri" w:hAnsi="Calibri"/>
                <w:b/>
                <w:i w:val="0"/>
                <w:color w:val="17365D"/>
                <w:sz w:val="15"/>
              </w:rPr>
              <w:t>DÉCISION</w:t>
            </w:r>
          </w:p>
        </w:tc>
      </w:tr>
    </w:tbl>
    <w:p>
      <w:pPr>
        <w:spacing w:after="40"/>
      </w:pPr>
    </w:p>
    <w:p>
      <w:pPr>
        <w:pStyle w:val="Heading2"/>
        <w:keepNext/>
      </w:pPr>
      <w:r>
        <w:rPr>
          <w:rFonts w:ascii="Calibri" w:hAnsi="Calibri"/>
          <w:b/>
          <w:i w:val="0"/>
          <w:color w:val="2E74B5"/>
          <w:sz w:val="26"/>
        </w:rPr>
        <w:t>F. Reporting, données, sécurité et déploiement</w:t>
      </w:r>
    </w:p>
    <w:tbl>
      <w:tblPr>
        <w:tblStyle w:val="TableGrid"/>
        <w:tblW w:type="dxa" w:w="9360"/>
        <w:jc w:val="left"/>
        <w:tblLayout w:type="fixed"/>
        <w:tblLook w:firstColumn="1" w:firstRow="1" w:lastColumn="0" w:lastRow="0" w:noHBand="0" w:noVBand="1" w:val="04A0"/>
        <w:tblInd w:w="120" w:type="dxa"/>
      </w:tblPr>
      <w:tblGrid>
        <w:gridCol w:w="1757"/>
        <w:gridCol w:w="2376"/>
        <w:gridCol w:w="3139"/>
        <w:gridCol w:w="979"/>
        <w:gridCol w:w="1109"/>
      </w:tblGrid>
      <w:tr>
        <w:trPr>
          <w:tblHeader w:val="true"/>
        </w:trPr>
        <w:tc>
          <w:tcPr>
            <w:tcW w:type="dxa" w:w="175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Domaine</w:t>
            </w:r>
          </w:p>
        </w:tc>
        <w:tc>
          <w:tcPr>
            <w:tcW w:type="dxa" w:w="237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Déjà disponible</w:t>
            </w:r>
          </w:p>
        </w:tc>
        <w:tc>
          <w:tcPr>
            <w:tcW w:type="dxa" w:w="313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Reste à finaliser</w:t>
            </w:r>
          </w:p>
        </w:tc>
        <w:tc>
          <w:tcPr>
            <w:tcW w:type="dxa" w:w="97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Statut</w:t>
            </w:r>
          </w:p>
        </w:tc>
        <w:tc>
          <w:tcPr>
            <w:tcW w:type="dxa" w:w="110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Priorité</w:t>
            </w:r>
          </w:p>
        </w:tc>
      </w:tr>
      <w:tr>
        <w:trPr>
          <w:cantSplit/>
        </w:trPr>
        <w:tc>
          <w:tcPr>
            <w:tcW w:type="dxa" w:w="1757"/>
            <w:vAlign w:val="center"/>
          </w:tcPr>
          <w:p>
            <w:pPr>
              <w:spacing w:before="0" w:after="0" w:line="259" w:lineRule="auto"/>
              <w:jc w:val="left"/>
            </w:pPr>
            <w:r/>
            <w:r>
              <w:rPr>
                <w:rFonts w:ascii="Calibri" w:hAnsi="Calibri"/>
                <w:b w:val="0"/>
                <w:i w:val="0"/>
                <w:color w:val="000000"/>
                <w:sz w:val="15"/>
              </w:rPr>
              <w:t>Dashboard</w:t>
            </w:r>
          </w:p>
        </w:tc>
        <w:tc>
          <w:tcPr>
            <w:tcW w:type="dxa" w:w="2376"/>
            <w:vAlign w:val="center"/>
          </w:tcPr>
          <w:p>
            <w:pPr>
              <w:spacing w:before="0" w:after="0" w:line="259" w:lineRule="auto"/>
              <w:jc w:val="left"/>
            </w:pPr>
            <w:r/>
            <w:r>
              <w:rPr>
                <w:rFonts w:ascii="Calibri" w:hAnsi="Calibri"/>
                <w:b w:val="0"/>
                <w:i w:val="0"/>
                <w:color w:val="000000"/>
                <w:sz w:val="15"/>
              </w:rPr>
              <w:t>Indicateurs globaux et dernières opérations.</w:t>
            </w:r>
          </w:p>
        </w:tc>
        <w:tc>
          <w:tcPr>
            <w:tcW w:type="dxa" w:w="3139"/>
            <w:vAlign w:val="center"/>
          </w:tcPr>
          <w:p>
            <w:pPr>
              <w:spacing w:before="0" w:after="0" w:line="259" w:lineRule="auto"/>
              <w:jc w:val="left"/>
            </w:pPr>
            <w:r/>
            <w:r>
              <w:rPr>
                <w:rFonts w:ascii="Calibri" w:hAnsi="Calibri"/>
                <w:b w:val="0"/>
                <w:i w:val="0"/>
                <w:color w:val="000000"/>
                <w:sz w:val="15"/>
              </w:rPr>
              <w:t>Ajouter KPI actuariels, précomptes, délais, écarts et alertes.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Reporting réglementaire</w:t>
            </w:r>
          </w:p>
        </w:tc>
        <w:tc>
          <w:tcPr>
            <w:tcW w:type="dxa" w:w="2376"/>
            <w:vAlign w:val="center"/>
          </w:tcPr>
          <w:p>
            <w:pPr>
              <w:spacing w:before="0" w:after="0" w:line="259" w:lineRule="auto"/>
              <w:jc w:val="left"/>
            </w:pPr>
            <w:r/>
            <w:r>
              <w:rPr>
                <w:rFonts w:ascii="Calibri" w:hAnsi="Calibri"/>
                <w:b w:val="0"/>
                <w:i w:val="0"/>
                <w:color w:val="000000"/>
                <w:sz w:val="15"/>
              </w:rPr>
              <w:t>Exemples CIMA C-20 et PM reçus.</w:t>
            </w:r>
          </w:p>
        </w:tc>
        <w:tc>
          <w:tcPr>
            <w:tcW w:type="dxa" w:w="3139"/>
            <w:vAlign w:val="center"/>
          </w:tcPr>
          <w:p>
            <w:pPr>
              <w:spacing w:before="0" w:after="0" w:line="259" w:lineRule="auto"/>
              <w:jc w:val="left"/>
            </w:pPr>
            <w:r/>
            <w:r>
              <w:rPr>
                <w:rFonts w:ascii="Calibri" w:hAnsi="Calibri"/>
                <w:b w:val="0"/>
                <w:i w:val="0"/>
                <w:color w:val="000000"/>
                <w:sz w:val="15"/>
              </w:rPr>
              <w:t>Produire les états depuis la base sans saisies manuelles.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Avis annuel</w:t>
            </w:r>
          </w:p>
        </w:tc>
        <w:tc>
          <w:tcPr>
            <w:tcW w:type="dxa" w:w="2376"/>
            <w:vAlign w:val="center"/>
          </w:tcPr>
          <w:p>
            <w:pPr>
              <w:spacing w:before="0" w:after="0" w:line="259" w:lineRule="auto"/>
              <w:jc w:val="left"/>
            </w:pPr>
            <w:r/>
            <w:r>
              <w:rPr>
                <w:rFonts w:ascii="Calibri" w:hAnsi="Calibri"/>
                <w:b w:val="0"/>
                <w:i w:val="0"/>
                <w:color w:val="000000"/>
                <w:sz w:val="15"/>
              </w:rPr>
              <w:t>Espace adhérent imprimable.</w:t>
            </w:r>
          </w:p>
        </w:tc>
        <w:tc>
          <w:tcPr>
            <w:tcW w:type="dxa" w:w="3139"/>
            <w:vAlign w:val="center"/>
          </w:tcPr>
          <w:p>
            <w:pPr>
              <w:spacing w:before="0" w:after="0" w:line="259" w:lineRule="auto"/>
              <w:jc w:val="left"/>
            </w:pPr>
            <w:r/>
            <w:r>
              <w:rPr>
                <w:rFonts w:ascii="Calibri" w:hAnsi="Calibri"/>
                <w:b w:val="0"/>
                <w:i w:val="0"/>
                <w:color w:val="000000"/>
                <w:sz w:val="15"/>
              </w:rPr>
              <w:t>PDF officiel : cotisations, capital, PM, rachat et paramètres.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Exports PDF</w:t>
            </w:r>
          </w:p>
        </w:tc>
        <w:tc>
          <w:tcPr>
            <w:tcW w:type="dxa" w:w="2376"/>
            <w:vAlign w:val="center"/>
          </w:tcPr>
          <w:p>
            <w:pPr>
              <w:spacing w:before="0" w:after="0" w:line="259" w:lineRule="auto"/>
              <w:jc w:val="left"/>
            </w:pPr>
            <w:r/>
            <w:r>
              <w:rPr>
                <w:rFonts w:ascii="Calibri" w:hAnsi="Calibri"/>
                <w:b w:val="0"/>
                <w:i w:val="0"/>
                <w:color w:val="000000"/>
                <w:sz w:val="15"/>
              </w:rPr>
              <w:t>Impression navigateur disponible.</w:t>
            </w:r>
          </w:p>
        </w:tc>
        <w:tc>
          <w:tcPr>
            <w:tcW w:type="dxa" w:w="3139"/>
            <w:vAlign w:val="center"/>
          </w:tcPr>
          <w:p>
            <w:pPr>
              <w:spacing w:before="0" w:after="0" w:line="259" w:lineRule="auto"/>
              <w:jc w:val="left"/>
            </w:pPr>
            <w:r/>
            <w:r>
              <w:rPr>
                <w:rFonts w:ascii="Calibri" w:hAnsi="Calibri"/>
                <w:b w:val="0"/>
                <w:i w:val="0"/>
                <w:color w:val="000000"/>
                <w:sz w:val="15"/>
              </w:rPr>
              <w:t>Génération serveur stable, numérotation et archivage.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Exports Excel</w:t>
            </w:r>
          </w:p>
        </w:tc>
        <w:tc>
          <w:tcPr>
            <w:tcW w:type="dxa" w:w="2376"/>
            <w:vAlign w:val="center"/>
          </w:tcPr>
          <w:p>
            <w:pPr>
              <w:spacing w:before="0" w:after="0" w:line="259" w:lineRule="auto"/>
              <w:jc w:val="left"/>
            </w:pPr>
            <w:r/>
            <w:r>
              <w:rPr>
                <w:rFonts w:ascii="Calibri" w:hAnsi="Calibri"/>
                <w:b w:val="0"/>
                <w:i w:val="0"/>
                <w:color w:val="000000"/>
                <w:sz w:val="15"/>
              </w:rPr>
              <w:t>Exports ponctuels de précompte.</w:t>
            </w:r>
          </w:p>
        </w:tc>
        <w:tc>
          <w:tcPr>
            <w:tcW w:type="dxa" w:w="3139"/>
            <w:vAlign w:val="center"/>
          </w:tcPr>
          <w:p>
            <w:pPr>
              <w:spacing w:before="0" w:after="0" w:line="259" w:lineRule="auto"/>
              <w:jc w:val="left"/>
            </w:pPr>
            <w:r/>
            <w:r>
              <w:rPr>
                <w:rFonts w:ascii="Calibri" w:hAnsi="Calibri"/>
                <w:b w:val="0"/>
                <w:i w:val="0"/>
                <w:color w:val="000000"/>
                <w:sz w:val="15"/>
              </w:rPr>
              <w:t>États techniques, comptables et modèles validés.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Migration historique</w:t>
            </w:r>
          </w:p>
        </w:tc>
        <w:tc>
          <w:tcPr>
            <w:tcW w:type="dxa" w:w="2376"/>
            <w:vAlign w:val="center"/>
          </w:tcPr>
          <w:p>
            <w:pPr>
              <w:spacing w:before="0" w:after="0" w:line="259" w:lineRule="auto"/>
              <w:jc w:val="left"/>
            </w:pPr>
            <w:r/>
            <w:r>
              <w:rPr>
                <w:rFonts w:ascii="Calibri" w:hAnsi="Calibri"/>
                <w:b w:val="0"/>
                <w:i w:val="0"/>
                <w:color w:val="000000"/>
                <w:sz w:val="15"/>
              </w:rPr>
              <w:t>Classeur 2021–2024 reçu.</w:t>
            </w:r>
          </w:p>
        </w:tc>
        <w:tc>
          <w:tcPr>
            <w:tcW w:type="dxa" w:w="3139"/>
            <w:vAlign w:val="center"/>
          </w:tcPr>
          <w:p>
            <w:pPr>
              <w:spacing w:before="0" w:after="0" w:line="259" w:lineRule="auto"/>
              <w:jc w:val="left"/>
            </w:pPr>
            <w:r/>
            <w:r>
              <w:rPr>
                <w:rFonts w:ascii="Calibri" w:hAnsi="Calibri"/>
                <w:b w:val="0"/>
                <w:i w:val="0"/>
                <w:color w:val="000000"/>
                <w:sz w:val="15"/>
              </w:rPr>
              <w:t>Nettoyer, mapper, importer et réconcilier.</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Schéma versionné</w:t>
            </w:r>
          </w:p>
        </w:tc>
        <w:tc>
          <w:tcPr>
            <w:tcW w:type="dxa" w:w="2376"/>
            <w:vAlign w:val="center"/>
          </w:tcPr>
          <w:p>
            <w:pPr>
              <w:spacing w:before="0" w:after="0" w:line="259" w:lineRule="auto"/>
              <w:jc w:val="left"/>
            </w:pPr>
            <w:r/>
            <w:r>
              <w:rPr>
                <w:rFonts w:ascii="Calibri" w:hAnsi="Calibri"/>
                <w:b w:val="0"/>
                <w:i w:val="0"/>
                <w:color w:val="000000"/>
                <w:sz w:val="15"/>
              </w:rPr>
              <w:t>Base Supabase utilisée.</w:t>
            </w:r>
          </w:p>
        </w:tc>
        <w:tc>
          <w:tcPr>
            <w:tcW w:type="dxa" w:w="3139"/>
            <w:vAlign w:val="center"/>
          </w:tcPr>
          <w:p>
            <w:pPr>
              <w:spacing w:before="0" w:after="0" w:line="259" w:lineRule="auto"/>
              <w:jc w:val="left"/>
            </w:pPr>
            <w:r/>
            <w:r>
              <w:rPr>
                <w:rFonts w:ascii="Calibri" w:hAnsi="Calibri"/>
                <w:b w:val="0"/>
                <w:i w:val="0"/>
                <w:color w:val="000000"/>
                <w:sz w:val="15"/>
              </w:rPr>
              <w:t>Ajouter migrations SQL et documentation du modèle au dépôt.</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Tests logiciels</w:t>
            </w:r>
          </w:p>
        </w:tc>
        <w:tc>
          <w:tcPr>
            <w:tcW w:type="dxa" w:w="2376"/>
            <w:vAlign w:val="center"/>
          </w:tcPr>
          <w:p>
            <w:pPr>
              <w:spacing w:before="0" w:after="0" w:line="259" w:lineRule="auto"/>
              <w:jc w:val="left"/>
            </w:pPr>
            <w:r/>
            <w:r>
              <w:rPr>
                <w:rFonts w:ascii="Calibri" w:hAnsi="Calibri"/>
                <w:b w:val="0"/>
                <w:i w:val="0"/>
                <w:color w:val="000000"/>
                <w:sz w:val="15"/>
              </w:rPr>
              <w:t>Compilation TypeScript front et back réussie.</w:t>
            </w:r>
          </w:p>
        </w:tc>
        <w:tc>
          <w:tcPr>
            <w:tcW w:type="dxa" w:w="3139"/>
            <w:vAlign w:val="center"/>
          </w:tcPr>
          <w:p>
            <w:pPr>
              <w:spacing w:before="0" w:after="0" w:line="259" w:lineRule="auto"/>
              <w:jc w:val="left"/>
            </w:pPr>
            <w:r/>
            <w:r>
              <w:rPr>
                <w:rFonts w:ascii="Calibri" w:hAnsi="Calibri"/>
                <w:b w:val="0"/>
                <w:i w:val="0"/>
                <w:color w:val="000000"/>
                <w:sz w:val="15"/>
              </w:rPr>
              <w:t>Tests unitaires, API, intégration, sécurité et non-régression.</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Sécurité</w:t>
            </w:r>
          </w:p>
        </w:tc>
        <w:tc>
          <w:tcPr>
            <w:tcW w:type="dxa" w:w="2376"/>
            <w:vAlign w:val="center"/>
          </w:tcPr>
          <w:p>
            <w:pPr>
              <w:spacing w:before="0" w:after="0" w:line="259" w:lineRule="auto"/>
              <w:jc w:val="left"/>
            </w:pPr>
            <w:r/>
            <w:r>
              <w:rPr>
                <w:rFonts w:ascii="Calibri" w:hAnsi="Calibri"/>
                <w:b w:val="0"/>
                <w:i w:val="0"/>
                <w:color w:val="000000"/>
                <w:sz w:val="15"/>
              </w:rPr>
              <w:t>Rôles, Helmet, CORS, rate limit et sessions.</w:t>
            </w:r>
          </w:p>
        </w:tc>
        <w:tc>
          <w:tcPr>
            <w:tcW w:type="dxa" w:w="3139"/>
            <w:vAlign w:val="center"/>
          </w:tcPr>
          <w:p>
            <w:pPr>
              <w:spacing w:before="0" w:after="0" w:line="259" w:lineRule="auto"/>
              <w:jc w:val="left"/>
            </w:pPr>
            <w:r/>
            <w:r>
              <w:rPr>
                <w:rFonts w:ascii="Calibri" w:hAnsi="Calibri"/>
                <w:b w:val="0"/>
                <w:i w:val="0"/>
                <w:color w:val="000000"/>
                <w:sz w:val="15"/>
              </w:rPr>
              <w:t>Audit, secrets, HTTPS, droits et conservation des données.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Sauvegarde/PRA</w:t>
            </w:r>
          </w:p>
        </w:tc>
        <w:tc>
          <w:tcPr>
            <w:tcW w:type="dxa" w:w="2376"/>
            <w:vAlign w:val="center"/>
          </w:tcPr>
          <w:p>
            <w:pPr>
              <w:spacing w:before="0" w:after="0" w:line="259" w:lineRule="auto"/>
              <w:jc w:val="left"/>
            </w:pPr>
            <w:r/>
            <w:r>
              <w:rPr>
                <w:rFonts w:ascii="Calibri" w:hAnsi="Calibri"/>
                <w:b w:val="0"/>
                <w:i w:val="0"/>
                <w:color w:val="000000"/>
                <w:sz w:val="15"/>
              </w:rPr>
              <w:t>Exigences documentées.</w:t>
            </w:r>
          </w:p>
        </w:tc>
        <w:tc>
          <w:tcPr>
            <w:tcW w:type="dxa" w:w="3139"/>
            <w:vAlign w:val="center"/>
          </w:tcPr>
          <w:p>
            <w:pPr>
              <w:spacing w:before="0" w:after="0" w:line="259" w:lineRule="auto"/>
              <w:jc w:val="left"/>
            </w:pPr>
            <w:r/>
            <w:r>
              <w:rPr>
                <w:rFonts w:ascii="Calibri" w:hAnsi="Calibri"/>
                <w:b w:val="0"/>
                <w:i w:val="0"/>
                <w:color w:val="000000"/>
                <w:sz w:val="15"/>
              </w:rPr>
              <w:t>Sauvegardes, restauration testée, supervision et reprise.</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r>
        <w:trPr>
          <w:cantSplit/>
        </w:trPr>
        <w:tc>
          <w:tcPr>
            <w:tcW w:type="dxa" w:w="1757"/>
            <w:vAlign w:val="center"/>
          </w:tcPr>
          <w:p>
            <w:pPr>
              <w:spacing w:before="0" w:after="0" w:line="259" w:lineRule="auto"/>
              <w:jc w:val="left"/>
            </w:pPr>
            <w:r/>
            <w:r>
              <w:rPr>
                <w:rFonts w:ascii="Calibri" w:hAnsi="Calibri"/>
                <w:b w:val="0"/>
                <w:i w:val="0"/>
                <w:color w:val="000000"/>
                <w:sz w:val="15"/>
              </w:rPr>
              <w:t>Documentation</w:t>
            </w:r>
          </w:p>
        </w:tc>
        <w:tc>
          <w:tcPr>
            <w:tcW w:type="dxa" w:w="2376"/>
            <w:vAlign w:val="center"/>
          </w:tcPr>
          <w:p>
            <w:pPr>
              <w:spacing w:before="0" w:after="0" w:line="259" w:lineRule="auto"/>
              <w:jc w:val="left"/>
            </w:pPr>
            <w:r/>
            <w:r>
              <w:rPr>
                <w:rFonts w:ascii="Calibri" w:hAnsi="Calibri"/>
                <w:b w:val="0"/>
                <w:i w:val="0"/>
                <w:color w:val="000000"/>
                <w:sz w:val="15"/>
              </w:rPr>
              <w:t>README backend partiel.</w:t>
            </w:r>
          </w:p>
        </w:tc>
        <w:tc>
          <w:tcPr>
            <w:tcW w:type="dxa" w:w="3139"/>
            <w:vAlign w:val="center"/>
          </w:tcPr>
          <w:p>
            <w:pPr>
              <w:spacing w:before="0" w:after="0" w:line="259" w:lineRule="auto"/>
              <w:jc w:val="left"/>
            </w:pPr>
            <w:r/>
            <w:r>
              <w:rPr>
                <w:rFonts w:ascii="Calibri" w:hAnsi="Calibri"/>
                <w:b w:val="0"/>
                <w:i w:val="0"/>
                <w:color w:val="000000"/>
                <w:sz w:val="15"/>
              </w:rPr>
              <w:t>README projet, architecture, exploitation et procédures.</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E8EEF5"/>
          </w:tcPr>
          <w:p>
            <w:pPr>
              <w:spacing w:before="0" w:after="0" w:line="259" w:lineRule="auto"/>
              <w:jc w:val="center"/>
            </w:pPr>
            <w:r/>
            <w:r>
              <w:rPr>
                <w:rFonts w:ascii="Calibri" w:hAnsi="Calibri"/>
                <w:b/>
                <w:i w:val="0"/>
                <w:color w:val="1F4D78"/>
                <w:sz w:val="15"/>
              </w:rPr>
              <w:t>MOYENNE</w:t>
            </w:r>
          </w:p>
        </w:tc>
      </w:tr>
      <w:tr>
        <w:trPr>
          <w:cantSplit/>
        </w:trPr>
        <w:tc>
          <w:tcPr>
            <w:tcW w:type="dxa" w:w="1757"/>
            <w:vAlign w:val="center"/>
          </w:tcPr>
          <w:p>
            <w:pPr>
              <w:spacing w:before="0" w:after="0" w:line="259" w:lineRule="auto"/>
              <w:jc w:val="left"/>
            </w:pPr>
            <w:r/>
            <w:r>
              <w:rPr>
                <w:rFonts w:ascii="Calibri" w:hAnsi="Calibri"/>
                <w:b w:val="0"/>
                <w:i w:val="0"/>
                <w:color w:val="000000"/>
                <w:sz w:val="15"/>
              </w:rPr>
              <w:t>Guides et formation</w:t>
            </w:r>
          </w:p>
        </w:tc>
        <w:tc>
          <w:tcPr>
            <w:tcW w:type="dxa" w:w="2376"/>
            <w:vAlign w:val="center"/>
          </w:tcPr>
          <w:p>
            <w:pPr>
              <w:spacing w:before="0" w:after="0" w:line="259" w:lineRule="auto"/>
              <w:jc w:val="left"/>
            </w:pPr>
            <w:r/>
            <w:r>
              <w:rPr>
                <w:rFonts w:ascii="Calibri" w:hAnsi="Calibri"/>
                <w:b w:val="0"/>
                <w:i w:val="0"/>
                <w:color w:val="000000"/>
                <w:sz w:val="15"/>
              </w:rPr>
              <w:t>Prévus dans le rapport.</w:t>
            </w:r>
          </w:p>
        </w:tc>
        <w:tc>
          <w:tcPr>
            <w:tcW w:type="dxa" w:w="3139"/>
            <w:vAlign w:val="center"/>
          </w:tcPr>
          <w:p>
            <w:pPr>
              <w:spacing w:before="0" w:after="0" w:line="259" w:lineRule="auto"/>
              <w:jc w:val="left"/>
            </w:pPr>
            <w:r/>
            <w:r>
              <w:rPr>
                <w:rFonts w:ascii="Calibri" w:hAnsi="Calibri"/>
                <w:b w:val="0"/>
                <w:i w:val="0"/>
                <w:color w:val="000000"/>
                <w:sz w:val="15"/>
              </w:rPr>
              <w:t>Guides par profil, supports et procès-verbal de formation.</w:t>
            </w:r>
          </w:p>
        </w:tc>
        <w:tc>
          <w:tcPr>
            <w:tcW w:type="dxa" w:w="979"/>
            <w:vAlign w:val="center"/>
            <w:shd w:fill="FCE4D6"/>
          </w:tcPr>
          <w:p>
            <w:pPr>
              <w:spacing w:before="0" w:after="0" w:line="259" w:lineRule="auto"/>
              <w:jc w:val="center"/>
            </w:pPr>
            <w:r/>
            <w:r>
              <w:rPr>
                <w:rFonts w:ascii="Calibri" w:hAnsi="Calibri"/>
                <w:b/>
                <w:i w:val="0"/>
                <w:color w:val="C00000"/>
                <w:sz w:val="15"/>
              </w:rPr>
              <w:t>ABSENT</w:t>
            </w:r>
          </w:p>
        </w:tc>
        <w:tc>
          <w:tcPr>
            <w:tcW w:type="dxa" w:w="1109"/>
            <w:vAlign w:val="center"/>
            <w:shd w:fill="F2F2F2"/>
          </w:tcPr>
          <w:p>
            <w:pPr>
              <w:spacing w:before="0" w:after="0" w:line="259" w:lineRule="auto"/>
              <w:jc w:val="center"/>
            </w:pPr>
            <w:r/>
            <w:r>
              <w:rPr>
                <w:rFonts w:ascii="Calibri" w:hAnsi="Calibri"/>
                <w:b/>
                <w:i w:val="0"/>
                <w:color w:val="666666"/>
                <w:sz w:val="15"/>
              </w:rPr>
              <w:t>FIN DE PROJET</w:t>
            </w:r>
          </w:p>
        </w:tc>
      </w:tr>
      <w:tr>
        <w:trPr>
          <w:cantSplit/>
        </w:trPr>
        <w:tc>
          <w:tcPr>
            <w:tcW w:type="dxa" w:w="1757"/>
            <w:vAlign w:val="center"/>
          </w:tcPr>
          <w:p>
            <w:pPr>
              <w:spacing w:before="0" w:after="0" w:line="259" w:lineRule="auto"/>
              <w:jc w:val="left"/>
            </w:pPr>
            <w:r/>
            <w:r>
              <w:rPr>
                <w:rFonts w:ascii="Calibri" w:hAnsi="Calibri"/>
                <w:b w:val="0"/>
                <w:i w:val="0"/>
                <w:color w:val="000000"/>
                <w:sz w:val="15"/>
              </w:rPr>
              <w:t>Production</w:t>
            </w:r>
          </w:p>
        </w:tc>
        <w:tc>
          <w:tcPr>
            <w:tcW w:type="dxa" w:w="2376"/>
            <w:vAlign w:val="center"/>
          </w:tcPr>
          <w:p>
            <w:pPr>
              <w:spacing w:before="0" w:after="0" w:line="259" w:lineRule="auto"/>
              <w:jc w:val="left"/>
            </w:pPr>
            <w:r/>
            <w:r>
              <w:rPr>
                <w:rFonts w:ascii="Calibri" w:hAnsi="Calibri"/>
                <w:b w:val="0"/>
                <w:i w:val="0"/>
                <w:color w:val="000000"/>
                <w:sz w:val="15"/>
              </w:rPr>
              <w:t>Configuration Render et exemples d’environnement.</w:t>
            </w:r>
          </w:p>
        </w:tc>
        <w:tc>
          <w:tcPr>
            <w:tcW w:type="dxa" w:w="3139"/>
            <w:vAlign w:val="center"/>
          </w:tcPr>
          <w:p>
            <w:pPr>
              <w:spacing w:before="0" w:after="0" w:line="259" w:lineRule="auto"/>
              <w:jc w:val="left"/>
            </w:pPr>
            <w:r/>
            <w:r>
              <w:rPr>
                <w:rFonts w:ascii="Calibri" w:hAnsi="Calibri"/>
                <w:b w:val="0"/>
                <w:i w:val="0"/>
                <w:color w:val="000000"/>
                <w:sz w:val="15"/>
              </w:rPr>
              <w:t>Domaine, certificats, secrets, sauvegardes et retour arrière.</w:t>
            </w:r>
          </w:p>
        </w:tc>
        <w:tc>
          <w:tcPr>
            <w:tcW w:type="dxa" w:w="979"/>
            <w:vAlign w:val="center"/>
            <w:shd w:fill="FFF2CC"/>
          </w:tcPr>
          <w:p>
            <w:pPr>
              <w:spacing w:before="0" w:after="0" w:line="259" w:lineRule="auto"/>
              <w:jc w:val="center"/>
            </w:pPr>
            <w:r/>
            <w:r>
              <w:rPr>
                <w:rFonts w:ascii="Calibri" w:hAnsi="Calibri"/>
                <w:b/>
                <w:i w:val="0"/>
                <w:color w:val="B26A00"/>
                <w:sz w:val="15"/>
              </w:rPr>
              <w:t>PARTIEL</w:t>
            </w:r>
          </w:p>
        </w:tc>
        <w:tc>
          <w:tcPr>
            <w:tcW w:type="dxa" w:w="1109"/>
            <w:vAlign w:val="center"/>
            <w:shd w:fill="FFF2CC"/>
          </w:tcPr>
          <w:p>
            <w:pPr>
              <w:spacing w:before="0" w:after="0" w:line="259" w:lineRule="auto"/>
              <w:jc w:val="center"/>
            </w:pPr>
            <w:r/>
            <w:r>
              <w:rPr>
                <w:rFonts w:ascii="Calibri" w:hAnsi="Calibri"/>
                <w:b/>
                <w:i w:val="0"/>
                <w:color w:val="B26A00"/>
                <w:sz w:val="15"/>
              </w:rPr>
              <w:t>HAUTE</w:t>
            </w:r>
          </w:p>
        </w:tc>
      </w:tr>
    </w:tbl>
    <w:p>
      <w:pPr>
        <w:spacing w:after="40"/>
      </w:pPr>
    </w:p>
    <w:p>
      <w:r>
        <w:br w:type="page"/>
      </w:r>
    </w:p>
    <w:p>
      <w:pPr>
        <w:pStyle w:val="Heading1"/>
        <w:keepNext/>
      </w:pPr>
      <w:r>
        <w:rPr>
          <w:rFonts w:ascii="Calibri" w:hAnsi="Calibri"/>
          <w:b/>
          <w:i w:val="0"/>
          <w:color w:val="2E74B5"/>
          <w:sz w:val="32"/>
        </w:rPr>
        <w:t>5. Feuille de route de finalisation</w:t>
      </w:r>
    </w:p>
    <w:tbl>
      <w:tblPr>
        <w:tblStyle w:val="TableGrid"/>
        <w:tblW w:type="dxa" w:w="9360"/>
        <w:jc w:val="left"/>
        <w:tblLayout w:type="fixed"/>
        <w:tblLook w:firstColumn="1" w:firstRow="1" w:lastColumn="0" w:lastRow="0" w:noHBand="0" w:noVBand="1" w:val="04A0"/>
        <w:tblInd w:w="120" w:type="dxa"/>
      </w:tblPr>
      <w:tblGrid>
        <w:gridCol w:w="691"/>
        <w:gridCol w:w="1987"/>
        <w:gridCol w:w="1325"/>
        <w:gridCol w:w="1757"/>
        <w:gridCol w:w="3600"/>
      </w:tblGrid>
      <w:tr>
        <w:trPr>
          <w:tblHeader w:val="true"/>
        </w:trPr>
        <w:tc>
          <w:tcPr>
            <w:tcW w:type="dxa" w:w="691"/>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Phase</w:t>
            </w:r>
          </w:p>
        </w:tc>
        <w:tc>
          <w:tcPr>
            <w:tcW w:type="dxa" w:w="198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Lot</w:t>
            </w:r>
          </w:p>
        </w:tc>
        <w:tc>
          <w:tcPr>
            <w:tcW w:type="dxa" w:w="1325"/>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Période</w:t>
            </w:r>
          </w:p>
        </w:tc>
        <w:tc>
          <w:tcPr>
            <w:tcW w:type="dxa" w:w="175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Pilote</w:t>
            </w:r>
          </w:p>
        </w:tc>
        <w:tc>
          <w:tcPr>
            <w:tcW w:type="dxa" w:w="3600"/>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Critère de sortie</w:t>
            </w:r>
          </w:p>
        </w:tc>
      </w:tr>
      <w:tr>
        <w:trPr>
          <w:cantSplit/>
        </w:trPr>
        <w:tc>
          <w:tcPr>
            <w:tcW w:type="dxa" w:w="691"/>
            <w:vAlign w:val="center"/>
          </w:tcPr>
          <w:p>
            <w:pPr>
              <w:spacing w:before="0" w:after="0" w:line="259" w:lineRule="auto"/>
              <w:jc w:val="left"/>
            </w:pPr>
            <w:r/>
            <w:r>
              <w:rPr>
                <w:rFonts w:ascii="Calibri" w:hAnsi="Calibri"/>
                <w:b w:val="0"/>
                <w:i w:val="0"/>
                <w:color w:val="000000"/>
                <w:sz w:val="16"/>
              </w:rPr>
              <w:t>1</w:t>
            </w:r>
          </w:p>
        </w:tc>
        <w:tc>
          <w:tcPr>
            <w:tcW w:type="dxa" w:w="1987"/>
            <w:vAlign w:val="center"/>
          </w:tcPr>
          <w:p>
            <w:pPr>
              <w:spacing w:before="0" w:after="0" w:line="259" w:lineRule="auto"/>
              <w:jc w:val="left"/>
            </w:pPr>
            <w:r/>
            <w:r>
              <w:rPr>
                <w:rFonts w:ascii="Calibri" w:hAnsi="Calibri"/>
                <w:b w:val="0"/>
                <w:i w:val="0"/>
                <w:color w:val="000000"/>
                <w:sz w:val="16"/>
              </w:rPr>
              <w:t>Arbitrage et gel</w:t>
            </w:r>
          </w:p>
        </w:tc>
        <w:tc>
          <w:tcPr>
            <w:tcW w:type="dxa" w:w="1325"/>
            <w:vAlign w:val="center"/>
          </w:tcPr>
          <w:p>
            <w:pPr>
              <w:spacing w:before="0" w:after="0" w:line="259" w:lineRule="auto"/>
              <w:jc w:val="left"/>
            </w:pPr>
            <w:r/>
            <w:r>
              <w:rPr>
                <w:rFonts w:ascii="Calibri" w:hAnsi="Calibri"/>
                <w:b w:val="0"/>
                <w:i w:val="0"/>
                <w:color w:val="000000"/>
                <w:sz w:val="16"/>
              </w:rPr>
              <w:t>Semaine 1</w:t>
            </w:r>
          </w:p>
        </w:tc>
        <w:tc>
          <w:tcPr>
            <w:tcW w:type="dxa" w:w="1757"/>
            <w:vAlign w:val="center"/>
          </w:tcPr>
          <w:p>
            <w:pPr>
              <w:spacing w:before="0" w:after="0" w:line="259" w:lineRule="auto"/>
              <w:jc w:val="left"/>
            </w:pPr>
            <w:r/>
            <w:r>
              <w:rPr>
                <w:rFonts w:ascii="Calibri" w:hAnsi="Calibri"/>
                <w:b w:val="0"/>
                <w:i w:val="0"/>
                <w:color w:val="000000"/>
                <w:sz w:val="16"/>
              </w:rPr>
              <w:t>Chef ESR + Actuaire</w:t>
            </w:r>
          </w:p>
        </w:tc>
        <w:tc>
          <w:tcPr>
            <w:tcW w:type="dxa" w:w="3600"/>
            <w:vAlign w:val="center"/>
          </w:tcPr>
          <w:p>
            <w:pPr>
              <w:spacing w:before="0" w:after="0" w:line="259" w:lineRule="auto"/>
              <w:jc w:val="left"/>
            </w:pPr>
            <w:r/>
            <w:r>
              <w:rPr>
                <w:rFonts w:ascii="Calibri" w:hAnsi="Calibri"/>
                <w:b w:val="0"/>
                <w:i w:val="0"/>
                <w:color w:val="000000"/>
                <w:sz w:val="16"/>
              </w:rPr>
              <w:t>PV d’arbitrage signé ; architecture approuvée.</w:t>
            </w:r>
          </w:p>
        </w:tc>
      </w:tr>
      <w:tr>
        <w:trPr>
          <w:cantSplit/>
        </w:trPr>
        <w:tc>
          <w:tcPr>
            <w:tcW w:type="dxa" w:w="691"/>
            <w:vAlign w:val="center"/>
          </w:tcPr>
          <w:p>
            <w:pPr>
              <w:spacing w:before="0" w:after="0" w:line="259" w:lineRule="auto"/>
              <w:jc w:val="left"/>
            </w:pPr>
            <w:r/>
            <w:r>
              <w:rPr>
                <w:rFonts w:ascii="Calibri" w:hAnsi="Calibri"/>
                <w:b w:val="0"/>
                <w:i w:val="0"/>
                <w:color w:val="000000"/>
                <w:sz w:val="16"/>
              </w:rPr>
              <w:t>2</w:t>
            </w:r>
          </w:p>
        </w:tc>
        <w:tc>
          <w:tcPr>
            <w:tcW w:type="dxa" w:w="1987"/>
            <w:vAlign w:val="center"/>
          </w:tcPr>
          <w:p>
            <w:pPr>
              <w:spacing w:before="0" w:after="0" w:line="259" w:lineRule="auto"/>
              <w:jc w:val="left"/>
            </w:pPr>
            <w:r/>
            <w:r>
              <w:rPr>
                <w:rFonts w:ascii="Calibri" w:hAnsi="Calibri"/>
                <w:b w:val="0"/>
                <w:i w:val="0"/>
                <w:color w:val="000000"/>
                <w:sz w:val="16"/>
              </w:rPr>
              <w:t>Moteur actuariel</w:t>
            </w:r>
          </w:p>
        </w:tc>
        <w:tc>
          <w:tcPr>
            <w:tcW w:type="dxa" w:w="1325"/>
            <w:vAlign w:val="center"/>
          </w:tcPr>
          <w:p>
            <w:pPr>
              <w:spacing w:before="0" w:after="0" w:line="259" w:lineRule="auto"/>
              <w:jc w:val="left"/>
            </w:pPr>
            <w:r/>
            <w:r>
              <w:rPr>
                <w:rFonts w:ascii="Calibri" w:hAnsi="Calibri"/>
                <w:b w:val="0"/>
                <w:i w:val="0"/>
                <w:color w:val="000000"/>
                <w:sz w:val="16"/>
              </w:rPr>
              <w:t>Semaines 1–2</w:t>
            </w:r>
          </w:p>
        </w:tc>
        <w:tc>
          <w:tcPr>
            <w:tcW w:type="dxa" w:w="1757"/>
            <w:vAlign w:val="center"/>
          </w:tcPr>
          <w:p>
            <w:pPr>
              <w:spacing w:before="0" w:after="0" w:line="259" w:lineRule="auto"/>
              <w:jc w:val="left"/>
            </w:pPr>
            <w:r/>
            <w:r>
              <w:rPr>
                <w:rFonts w:ascii="Calibri" w:hAnsi="Calibri"/>
                <w:b w:val="0"/>
                <w:i w:val="0"/>
                <w:color w:val="000000"/>
                <w:sz w:val="16"/>
              </w:rPr>
              <w:t>Développeur + Actuaire</w:t>
            </w:r>
          </w:p>
        </w:tc>
        <w:tc>
          <w:tcPr>
            <w:tcW w:type="dxa" w:w="3600"/>
            <w:vAlign w:val="center"/>
          </w:tcPr>
          <w:p>
            <w:pPr>
              <w:spacing w:before="0" w:after="0" w:line="259" w:lineRule="auto"/>
              <w:jc w:val="left"/>
            </w:pPr>
            <w:r/>
            <w:r>
              <w:rPr>
                <w:rFonts w:ascii="Calibri" w:hAnsi="Calibri"/>
                <w:b w:val="0"/>
                <w:i w:val="0"/>
                <w:color w:val="000000"/>
                <w:sz w:val="16"/>
              </w:rPr>
              <w:t>Cas tests conformes ; écart ≤ 0,1 %.</w:t>
            </w:r>
          </w:p>
        </w:tc>
      </w:tr>
      <w:tr>
        <w:trPr>
          <w:cantSplit/>
        </w:trPr>
        <w:tc>
          <w:tcPr>
            <w:tcW w:type="dxa" w:w="691"/>
            <w:vAlign w:val="center"/>
          </w:tcPr>
          <w:p>
            <w:pPr>
              <w:spacing w:before="0" w:after="0" w:line="259" w:lineRule="auto"/>
              <w:jc w:val="left"/>
            </w:pPr>
            <w:r/>
            <w:r>
              <w:rPr>
                <w:rFonts w:ascii="Calibri" w:hAnsi="Calibri"/>
                <w:b w:val="0"/>
                <w:i w:val="0"/>
                <w:color w:val="000000"/>
                <w:sz w:val="16"/>
              </w:rPr>
              <w:t>3</w:t>
            </w:r>
          </w:p>
        </w:tc>
        <w:tc>
          <w:tcPr>
            <w:tcW w:type="dxa" w:w="1987"/>
            <w:vAlign w:val="center"/>
          </w:tcPr>
          <w:p>
            <w:pPr>
              <w:spacing w:before="0" w:after="0" w:line="259" w:lineRule="auto"/>
              <w:jc w:val="left"/>
            </w:pPr>
            <w:r/>
            <w:r>
              <w:rPr>
                <w:rFonts w:ascii="Calibri" w:hAnsi="Calibri"/>
                <w:b w:val="0"/>
                <w:i w:val="0"/>
                <w:color w:val="000000"/>
                <w:sz w:val="16"/>
              </w:rPr>
              <w:t>Processus opérationnels</w:t>
            </w:r>
          </w:p>
        </w:tc>
        <w:tc>
          <w:tcPr>
            <w:tcW w:type="dxa" w:w="1325"/>
            <w:vAlign w:val="center"/>
          </w:tcPr>
          <w:p>
            <w:pPr>
              <w:spacing w:before="0" w:after="0" w:line="259" w:lineRule="auto"/>
              <w:jc w:val="left"/>
            </w:pPr>
            <w:r/>
            <w:r>
              <w:rPr>
                <w:rFonts w:ascii="Calibri" w:hAnsi="Calibri"/>
                <w:b w:val="0"/>
                <w:i w:val="0"/>
                <w:color w:val="000000"/>
                <w:sz w:val="16"/>
              </w:rPr>
              <w:t>Semaine 3</w:t>
            </w:r>
          </w:p>
        </w:tc>
        <w:tc>
          <w:tcPr>
            <w:tcW w:type="dxa" w:w="1757"/>
            <w:vAlign w:val="center"/>
          </w:tcPr>
          <w:p>
            <w:pPr>
              <w:spacing w:before="0" w:after="0" w:line="259" w:lineRule="auto"/>
              <w:jc w:val="left"/>
            </w:pPr>
            <w:r/>
            <w:r>
              <w:rPr>
                <w:rFonts w:ascii="Calibri" w:hAnsi="Calibri"/>
                <w:b w:val="0"/>
                <w:i w:val="0"/>
                <w:color w:val="000000"/>
                <w:sz w:val="16"/>
              </w:rPr>
              <w:t>Développeur + ESR + APS</w:t>
            </w:r>
          </w:p>
        </w:tc>
        <w:tc>
          <w:tcPr>
            <w:tcW w:type="dxa" w:w="3600"/>
            <w:vAlign w:val="center"/>
          </w:tcPr>
          <w:p>
            <w:pPr>
              <w:spacing w:before="0" w:after="0" w:line="259" w:lineRule="auto"/>
              <w:jc w:val="left"/>
            </w:pPr>
            <w:r/>
            <w:r>
              <w:rPr>
                <w:rFonts w:ascii="Calibri" w:hAnsi="Calibri"/>
                <w:b w:val="0"/>
                <w:i w:val="0"/>
                <w:color w:val="000000"/>
                <w:sz w:val="16"/>
              </w:rPr>
              <w:t>Précomptes, paiements et prestations de bout en bout.</w:t>
            </w:r>
          </w:p>
        </w:tc>
      </w:tr>
      <w:tr>
        <w:trPr>
          <w:cantSplit/>
        </w:trPr>
        <w:tc>
          <w:tcPr>
            <w:tcW w:type="dxa" w:w="691"/>
            <w:vAlign w:val="center"/>
          </w:tcPr>
          <w:p>
            <w:pPr>
              <w:spacing w:before="0" w:after="0" w:line="259" w:lineRule="auto"/>
              <w:jc w:val="left"/>
            </w:pPr>
            <w:r/>
            <w:r>
              <w:rPr>
                <w:rFonts w:ascii="Calibri" w:hAnsi="Calibri"/>
                <w:b w:val="0"/>
                <w:i w:val="0"/>
                <w:color w:val="000000"/>
                <w:sz w:val="16"/>
              </w:rPr>
              <w:t>4</w:t>
            </w:r>
          </w:p>
        </w:tc>
        <w:tc>
          <w:tcPr>
            <w:tcW w:type="dxa" w:w="1987"/>
            <w:vAlign w:val="center"/>
          </w:tcPr>
          <w:p>
            <w:pPr>
              <w:spacing w:before="0" w:after="0" w:line="259" w:lineRule="auto"/>
              <w:jc w:val="left"/>
            </w:pPr>
            <w:r/>
            <w:r>
              <w:rPr>
                <w:rFonts w:ascii="Calibri" w:hAnsi="Calibri"/>
                <w:b w:val="0"/>
                <w:i w:val="0"/>
                <w:color w:val="000000"/>
                <w:sz w:val="16"/>
              </w:rPr>
              <w:t>Documents et reporting</w:t>
            </w:r>
          </w:p>
        </w:tc>
        <w:tc>
          <w:tcPr>
            <w:tcW w:type="dxa" w:w="1325"/>
            <w:vAlign w:val="center"/>
          </w:tcPr>
          <w:p>
            <w:pPr>
              <w:spacing w:before="0" w:after="0" w:line="259" w:lineRule="auto"/>
              <w:jc w:val="left"/>
            </w:pPr>
            <w:r/>
            <w:r>
              <w:rPr>
                <w:rFonts w:ascii="Calibri" w:hAnsi="Calibri"/>
                <w:b w:val="0"/>
                <w:i w:val="0"/>
                <w:color w:val="000000"/>
                <w:sz w:val="16"/>
              </w:rPr>
              <w:t>Semaine 4</w:t>
            </w:r>
          </w:p>
        </w:tc>
        <w:tc>
          <w:tcPr>
            <w:tcW w:type="dxa" w:w="1757"/>
            <w:vAlign w:val="center"/>
          </w:tcPr>
          <w:p>
            <w:pPr>
              <w:spacing w:before="0" w:after="0" w:line="259" w:lineRule="auto"/>
              <w:jc w:val="left"/>
            </w:pPr>
            <w:r/>
            <w:r>
              <w:rPr>
                <w:rFonts w:ascii="Calibri" w:hAnsi="Calibri"/>
                <w:b w:val="0"/>
                <w:i w:val="0"/>
                <w:color w:val="000000"/>
                <w:sz w:val="16"/>
              </w:rPr>
              <w:t>Développeur + ESR + Finance</w:t>
            </w:r>
          </w:p>
        </w:tc>
        <w:tc>
          <w:tcPr>
            <w:tcW w:type="dxa" w:w="3600"/>
            <w:vAlign w:val="center"/>
          </w:tcPr>
          <w:p>
            <w:pPr>
              <w:spacing w:before="0" w:after="0" w:line="259" w:lineRule="auto"/>
              <w:jc w:val="left"/>
            </w:pPr>
            <w:r/>
            <w:r>
              <w:rPr>
                <w:rFonts w:ascii="Calibri" w:hAnsi="Calibri"/>
                <w:b w:val="0"/>
                <w:i w:val="0"/>
                <w:color w:val="000000"/>
                <w:sz w:val="16"/>
              </w:rPr>
              <w:t>Modèles PDF/Excel validés et réconciliés.</w:t>
            </w:r>
          </w:p>
        </w:tc>
      </w:tr>
      <w:tr>
        <w:trPr>
          <w:cantSplit/>
        </w:trPr>
        <w:tc>
          <w:tcPr>
            <w:tcW w:type="dxa" w:w="691"/>
            <w:vAlign w:val="center"/>
          </w:tcPr>
          <w:p>
            <w:pPr>
              <w:spacing w:before="0" w:after="0" w:line="259" w:lineRule="auto"/>
              <w:jc w:val="left"/>
            </w:pPr>
            <w:r/>
            <w:r>
              <w:rPr>
                <w:rFonts w:ascii="Calibri" w:hAnsi="Calibri"/>
                <w:b w:val="0"/>
                <w:i w:val="0"/>
                <w:color w:val="000000"/>
                <w:sz w:val="16"/>
              </w:rPr>
              <w:t>5</w:t>
            </w:r>
          </w:p>
        </w:tc>
        <w:tc>
          <w:tcPr>
            <w:tcW w:type="dxa" w:w="1987"/>
            <w:vAlign w:val="center"/>
          </w:tcPr>
          <w:p>
            <w:pPr>
              <w:spacing w:before="0" w:after="0" w:line="259" w:lineRule="auto"/>
              <w:jc w:val="left"/>
            </w:pPr>
            <w:r/>
            <w:r>
              <w:rPr>
                <w:rFonts w:ascii="Calibri" w:hAnsi="Calibri"/>
                <w:b w:val="0"/>
                <w:i w:val="0"/>
                <w:color w:val="000000"/>
                <w:sz w:val="16"/>
              </w:rPr>
              <w:t>Données, intégration, sécurité</w:t>
            </w:r>
          </w:p>
        </w:tc>
        <w:tc>
          <w:tcPr>
            <w:tcW w:type="dxa" w:w="1325"/>
            <w:vAlign w:val="center"/>
          </w:tcPr>
          <w:p>
            <w:pPr>
              <w:spacing w:before="0" w:after="0" w:line="259" w:lineRule="auto"/>
              <w:jc w:val="left"/>
            </w:pPr>
            <w:r/>
            <w:r>
              <w:rPr>
                <w:rFonts w:ascii="Calibri" w:hAnsi="Calibri"/>
                <w:b w:val="0"/>
                <w:i w:val="0"/>
                <w:color w:val="000000"/>
                <w:sz w:val="16"/>
              </w:rPr>
              <w:t>Semaine 5</w:t>
            </w:r>
          </w:p>
        </w:tc>
        <w:tc>
          <w:tcPr>
            <w:tcW w:type="dxa" w:w="1757"/>
            <w:vAlign w:val="center"/>
          </w:tcPr>
          <w:p>
            <w:pPr>
              <w:spacing w:before="0" w:after="0" w:line="259" w:lineRule="auto"/>
              <w:jc w:val="left"/>
            </w:pPr>
            <w:r/>
            <w:r>
              <w:rPr>
                <w:rFonts w:ascii="Calibri" w:hAnsi="Calibri"/>
                <w:b w:val="0"/>
                <w:i w:val="0"/>
                <w:color w:val="000000"/>
                <w:sz w:val="16"/>
              </w:rPr>
              <w:t>Développeur + DSI</w:t>
            </w:r>
          </w:p>
        </w:tc>
        <w:tc>
          <w:tcPr>
            <w:tcW w:type="dxa" w:w="3600"/>
            <w:vAlign w:val="center"/>
          </w:tcPr>
          <w:p>
            <w:pPr>
              <w:spacing w:before="0" w:after="0" w:line="259" w:lineRule="auto"/>
              <w:jc w:val="left"/>
            </w:pPr>
            <w:r/>
            <w:r>
              <w:rPr>
                <w:rFonts w:ascii="Calibri" w:hAnsi="Calibri"/>
                <w:b w:val="0"/>
                <w:i w:val="0"/>
                <w:color w:val="000000"/>
                <w:sz w:val="16"/>
              </w:rPr>
              <w:t>Migration contrôlée ; sauvegarde/restauration réussie.</w:t>
            </w:r>
          </w:p>
        </w:tc>
      </w:tr>
      <w:tr>
        <w:trPr>
          <w:cantSplit/>
        </w:trPr>
        <w:tc>
          <w:tcPr>
            <w:tcW w:type="dxa" w:w="691"/>
            <w:vAlign w:val="center"/>
          </w:tcPr>
          <w:p>
            <w:pPr>
              <w:spacing w:before="0" w:after="0" w:line="259" w:lineRule="auto"/>
              <w:jc w:val="left"/>
            </w:pPr>
            <w:r/>
            <w:r>
              <w:rPr>
                <w:rFonts w:ascii="Calibri" w:hAnsi="Calibri"/>
                <w:b w:val="0"/>
                <w:i w:val="0"/>
                <w:color w:val="000000"/>
                <w:sz w:val="16"/>
              </w:rPr>
              <w:t>6</w:t>
            </w:r>
          </w:p>
        </w:tc>
        <w:tc>
          <w:tcPr>
            <w:tcW w:type="dxa" w:w="1987"/>
            <w:vAlign w:val="center"/>
          </w:tcPr>
          <w:p>
            <w:pPr>
              <w:spacing w:before="0" w:after="0" w:line="259" w:lineRule="auto"/>
              <w:jc w:val="left"/>
            </w:pPr>
            <w:r/>
            <w:r>
              <w:rPr>
                <w:rFonts w:ascii="Calibri" w:hAnsi="Calibri"/>
                <w:b w:val="0"/>
                <w:i w:val="0"/>
                <w:color w:val="000000"/>
                <w:sz w:val="16"/>
              </w:rPr>
              <w:t>Recette et production</w:t>
            </w:r>
          </w:p>
        </w:tc>
        <w:tc>
          <w:tcPr>
            <w:tcW w:type="dxa" w:w="1325"/>
            <w:vAlign w:val="center"/>
          </w:tcPr>
          <w:p>
            <w:pPr>
              <w:spacing w:before="0" w:after="0" w:line="259" w:lineRule="auto"/>
              <w:jc w:val="left"/>
            </w:pPr>
            <w:r/>
            <w:r>
              <w:rPr>
                <w:rFonts w:ascii="Calibri" w:hAnsi="Calibri"/>
                <w:b w:val="0"/>
                <w:i w:val="0"/>
                <w:color w:val="000000"/>
                <w:sz w:val="16"/>
              </w:rPr>
              <w:t>Semaine 6</w:t>
            </w:r>
          </w:p>
        </w:tc>
        <w:tc>
          <w:tcPr>
            <w:tcW w:type="dxa" w:w="1757"/>
            <w:vAlign w:val="center"/>
          </w:tcPr>
          <w:p>
            <w:pPr>
              <w:spacing w:before="0" w:after="0" w:line="259" w:lineRule="auto"/>
              <w:jc w:val="left"/>
            </w:pPr>
            <w:r/>
            <w:r>
              <w:rPr>
                <w:rFonts w:ascii="Calibri" w:hAnsi="Calibri"/>
                <w:b w:val="0"/>
                <w:i w:val="0"/>
                <w:color w:val="000000"/>
                <w:sz w:val="16"/>
              </w:rPr>
              <w:t>MADGI + DSI + utilisateurs</w:t>
            </w:r>
          </w:p>
        </w:tc>
        <w:tc>
          <w:tcPr>
            <w:tcW w:type="dxa" w:w="3600"/>
            <w:vAlign w:val="center"/>
          </w:tcPr>
          <w:p>
            <w:pPr>
              <w:spacing w:before="0" w:after="0" w:line="259" w:lineRule="auto"/>
              <w:jc w:val="left"/>
            </w:pPr>
            <w:r/>
            <w:r>
              <w:rPr>
                <w:rFonts w:ascii="Calibri" w:hAnsi="Calibri"/>
                <w:b w:val="0"/>
                <w:i w:val="0"/>
                <w:color w:val="000000"/>
                <w:sz w:val="16"/>
              </w:rPr>
              <w:t>PV de recette, formation et mise en service.</w:t>
            </w:r>
          </w:p>
        </w:tc>
      </w:tr>
    </w:tbl>
    <w:p>
      <w:pPr>
        <w:spacing w:after="40"/>
      </w:pPr>
    </w:p>
    <w:p>
      <w:pPr>
        <w:pStyle w:val="Heading2"/>
        <w:keepNext/>
      </w:pPr>
      <w:r>
        <w:rPr>
          <w:rFonts w:ascii="Calibri" w:hAnsi="Calibri"/>
          <w:b/>
          <w:i w:val="0"/>
          <w:color w:val="2E74B5"/>
          <w:sz w:val="26"/>
        </w:rPr>
        <w:t>5.1 Semaine 1 — Arbitrage et gel</w:t>
      </w:r>
    </w:p>
    <w:p>
      <w:pPr>
        <w:pStyle w:val="ListBullet"/>
        <w:spacing w:after="80" w:line="300" w:lineRule="auto"/>
        <w:ind w:left="540" w:hanging="271"/>
      </w:pPr>
      <w:r>
        <w:rPr>
          <w:rFonts w:ascii="Calibri" w:hAnsi="Calibri"/>
          <w:b w:val="0"/>
          <w:i w:val="0"/>
          <w:color w:val="000000"/>
          <w:sz w:val="21"/>
        </w:rPr>
        <w:t>Signer les règles de rachat, décès, invalidité, rente, dates de valeur et arrondis.</w:t>
      </w:r>
    </w:p>
    <w:p>
      <w:pPr>
        <w:pStyle w:val="ListBullet"/>
        <w:spacing w:after="80" w:line="300" w:lineRule="auto"/>
        <w:ind w:left="540" w:hanging="271"/>
      </w:pPr>
      <w:r>
        <w:rPr>
          <w:rFonts w:ascii="Calibri" w:hAnsi="Calibri"/>
          <w:b w:val="0"/>
          <w:i w:val="0"/>
          <w:color w:val="000000"/>
          <w:sz w:val="21"/>
        </w:rPr>
        <w:t>Valider l’architecture technique et le périmètre du module Placement.</w:t>
      </w:r>
    </w:p>
    <w:p>
      <w:pPr>
        <w:pStyle w:val="ListBullet"/>
        <w:spacing w:after="80" w:line="300" w:lineRule="auto"/>
        <w:ind w:left="540" w:hanging="271"/>
      </w:pPr>
      <w:r>
        <w:rPr>
          <w:rFonts w:ascii="Calibri" w:hAnsi="Calibri"/>
          <w:b w:val="0"/>
          <w:i w:val="0"/>
          <w:color w:val="000000"/>
          <w:sz w:val="21"/>
        </w:rPr>
        <w:t>Recevoir les formats APS/DGI et les données de test anonymisées.</w:t>
      </w:r>
    </w:p>
    <w:p>
      <w:pPr>
        <w:pStyle w:val="ListBullet"/>
        <w:spacing w:after="80" w:line="300" w:lineRule="auto"/>
        <w:ind w:left="540" w:hanging="271"/>
      </w:pPr>
      <w:r>
        <w:rPr>
          <w:rFonts w:ascii="Calibri" w:hAnsi="Calibri"/>
          <w:b w:val="0"/>
          <w:i w:val="0"/>
          <w:color w:val="000000"/>
          <w:sz w:val="21"/>
        </w:rPr>
        <w:t>Créer le référentiel versionné des paramètres actuariels.</w:t>
      </w:r>
    </w:p>
    <w:p>
      <w:pPr>
        <w:pStyle w:val="Heading2"/>
        <w:keepNext/>
      </w:pPr>
      <w:r>
        <w:rPr>
          <w:rFonts w:ascii="Calibri" w:hAnsi="Calibri"/>
          <w:b/>
          <w:i w:val="0"/>
          <w:color w:val="2E74B5"/>
          <w:sz w:val="26"/>
        </w:rPr>
        <w:t>5.2 Semaines 1–2 — Moteur actuariel</w:t>
      </w:r>
    </w:p>
    <w:p>
      <w:pPr>
        <w:pStyle w:val="ListBullet"/>
        <w:spacing w:after="80" w:line="300" w:lineRule="auto"/>
        <w:ind w:left="540" w:hanging="271"/>
      </w:pPr>
      <w:r>
        <w:rPr>
          <w:rFonts w:ascii="Calibri" w:hAnsi="Calibri"/>
          <w:b w:val="0"/>
          <w:i w:val="0"/>
          <w:color w:val="000000"/>
          <w:sz w:val="21"/>
        </w:rPr>
        <w:t>Finaliser cotisation unique, PM individuelle/globale, rachat, décès, invalidité et rente.</w:t>
      </w:r>
    </w:p>
    <w:p>
      <w:pPr>
        <w:pStyle w:val="ListBullet"/>
        <w:spacing w:after="80" w:line="300" w:lineRule="auto"/>
        <w:ind w:left="540" w:hanging="271"/>
      </w:pPr>
      <w:r>
        <w:rPr>
          <w:rFonts w:ascii="Calibri" w:hAnsi="Calibri"/>
          <w:b w:val="0"/>
          <w:i w:val="0"/>
          <w:color w:val="000000"/>
          <w:sz w:val="21"/>
        </w:rPr>
        <w:t>Supprimer les placeholders et centraliser les règles dans un moteur auditable.</w:t>
      </w:r>
    </w:p>
    <w:p>
      <w:pPr>
        <w:pStyle w:val="ListBullet"/>
        <w:spacing w:after="80" w:line="300" w:lineRule="auto"/>
        <w:ind w:left="540" w:hanging="271"/>
      </w:pPr>
      <w:r>
        <w:rPr>
          <w:rFonts w:ascii="Calibri" w:hAnsi="Calibri"/>
          <w:b w:val="0"/>
          <w:i w:val="0"/>
          <w:color w:val="000000"/>
          <w:sz w:val="21"/>
        </w:rPr>
        <w:t>Créer les cas tests de non-régression et faire signer les résultats par l’actuaire.</w:t>
      </w:r>
    </w:p>
    <w:p>
      <w:pPr>
        <w:pStyle w:val="Heading2"/>
        <w:keepNext/>
      </w:pPr>
      <w:r>
        <w:rPr>
          <w:rFonts w:ascii="Calibri" w:hAnsi="Calibri"/>
          <w:b/>
          <w:i w:val="0"/>
          <w:color w:val="2E74B5"/>
          <w:sz w:val="26"/>
        </w:rPr>
        <w:t>5.3 Semaine 3 — Opérations</w:t>
      </w:r>
    </w:p>
    <w:p>
      <w:pPr>
        <w:pStyle w:val="ListBullet"/>
        <w:spacing w:after="80" w:line="300" w:lineRule="auto"/>
        <w:ind w:left="540" w:hanging="271"/>
      </w:pPr>
      <w:r>
        <w:rPr>
          <w:rFonts w:ascii="Calibri" w:hAnsi="Calibri"/>
          <w:b w:val="0"/>
          <w:i w:val="0"/>
          <w:color w:val="000000"/>
          <w:sz w:val="21"/>
        </w:rPr>
        <w:t>Finaliser les précomptes aller/retour APS-DGI et les régularisations.</w:t>
      </w:r>
    </w:p>
    <w:p>
      <w:pPr>
        <w:pStyle w:val="ListBullet"/>
        <w:spacing w:after="80" w:line="300" w:lineRule="auto"/>
        <w:ind w:left="540" w:hanging="271"/>
      </w:pPr>
      <w:r>
        <w:rPr>
          <w:rFonts w:ascii="Calibri" w:hAnsi="Calibri"/>
          <w:b w:val="0"/>
          <w:i w:val="0"/>
          <w:color w:val="000000"/>
          <w:sz w:val="21"/>
        </w:rPr>
        <w:t>Ajouter reçu, workflow chèque et mise à jour contrôlée du compte ESR.</w:t>
      </w:r>
    </w:p>
    <w:p>
      <w:pPr>
        <w:pStyle w:val="ListBullet"/>
        <w:spacing w:after="80" w:line="300" w:lineRule="auto"/>
        <w:ind w:left="540" w:hanging="271"/>
      </w:pPr>
      <w:r>
        <w:rPr>
          <w:rFonts w:ascii="Calibri" w:hAnsi="Calibri"/>
          <w:b w:val="0"/>
          <w:i w:val="0"/>
          <w:color w:val="000000"/>
          <w:sz w:val="21"/>
        </w:rPr>
        <w:t>Mettre en place les dossiers prestations de bout en bout.</w:t>
      </w:r>
    </w:p>
    <w:p>
      <w:pPr>
        <w:pStyle w:val="Heading2"/>
        <w:keepNext/>
      </w:pPr>
      <w:r>
        <w:rPr>
          <w:rFonts w:ascii="Calibri" w:hAnsi="Calibri"/>
          <w:b/>
          <w:i w:val="0"/>
          <w:color w:val="2E74B5"/>
          <w:sz w:val="26"/>
        </w:rPr>
        <w:t>5.4 Semaine 4 — Documents et reporting</w:t>
      </w:r>
    </w:p>
    <w:p>
      <w:pPr>
        <w:pStyle w:val="ListBullet"/>
        <w:spacing w:after="80" w:line="300" w:lineRule="auto"/>
        <w:ind w:left="540" w:hanging="271"/>
      </w:pPr>
      <w:r>
        <w:rPr>
          <w:rFonts w:ascii="Calibri" w:hAnsi="Calibri"/>
          <w:b w:val="0"/>
          <w:i w:val="0"/>
          <w:color w:val="000000"/>
          <w:sz w:val="21"/>
        </w:rPr>
        <w:t>Produire simulation, bulletin, reçus, liquidations, avis annuel et bordereaux APS.</w:t>
      </w:r>
    </w:p>
    <w:p>
      <w:pPr>
        <w:pStyle w:val="ListBullet"/>
        <w:spacing w:after="80" w:line="300" w:lineRule="auto"/>
        <w:ind w:left="540" w:hanging="271"/>
      </w:pPr>
      <w:r>
        <w:rPr>
          <w:rFonts w:ascii="Calibri" w:hAnsi="Calibri"/>
          <w:b w:val="0"/>
          <w:i w:val="0"/>
          <w:color w:val="000000"/>
          <w:sz w:val="21"/>
        </w:rPr>
        <w:t>Générer CIMA C-20, provisions, rentes, capitaux décès et bilan cantonné.</w:t>
      </w:r>
    </w:p>
    <w:p>
      <w:pPr>
        <w:pStyle w:val="ListBullet"/>
        <w:spacing w:after="80" w:line="300" w:lineRule="auto"/>
        <w:ind w:left="540" w:hanging="271"/>
      </w:pPr>
      <w:r>
        <w:rPr>
          <w:rFonts w:ascii="Calibri" w:hAnsi="Calibri"/>
          <w:b w:val="0"/>
          <w:i w:val="0"/>
          <w:color w:val="000000"/>
          <w:sz w:val="21"/>
        </w:rPr>
        <w:t>Valider les exports PDF/Excel et leur archivage.</w:t>
      </w:r>
    </w:p>
    <w:p>
      <w:pPr>
        <w:pStyle w:val="Heading2"/>
        <w:keepNext/>
      </w:pPr>
      <w:r>
        <w:rPr>
          <w:rFonts w:ascii="Calibri" w:hAnsi="Calibri"/>
          <w:b/>
          <w:i w:val="0"/>
          <w:color w:val="2E74B5"/>
          <w:sz w:val="26"/>
        </w:rPr>
        <w:t>5.5 Semaine 5 — Données et sécurité</w:t>
      </w:r>
    </w:p>
    <w:p>
      <w:pPr>
        <w:pStyle w:val="ListBullet"/>
        <w:spacing w:after="80" w:line="300" w:lineRule="auto"/>
        <w:ind w:left="540" w:hanging="271"/>
      </w:pPr>
      <w:r>
        <w:rPr>
          <w:rFonts w:ascii="Calibri" w:hAnsi="Calibri"/>
          <w:b w:val="0"/>
          <w:i w:val="0"/>
          <w:color w:val="000000"/>
          <w:sz w:val="21"/>
        </w:rPr>
        <w:t>Importer l’historique, contrôler les doublons et réconcilier les totaux.</w:t>
      </w:r>
    </w:p>
    <w:p>
      <w:pPr>
        <w:pStyle w:val="ListBullet"/>
        <w:spacing w:after="80" w:line="300" w:lineRule="auto"/>
        <w:ind w:left="540" w:hanging="271"/>
      </w:pPr>
      <w:r>
        <w:rPr>
          <w:rFonts w:ascii="Calibri" w:hAnsi="Calibri"/>
          <w:b w:val="0"/>
          <w:i w:val="0"/>
          <w:color w:val="000000"/>
          <w:sz w:val="21"/>
        </w:rPr>
        <w:t>Versionner le schéma, tester les droits, sécuriser les secrets et configurer HTTPS.</w:t>
      </w:r>
    </w:p>
    <w:p>
      <w:pPr>
        <w:pStyle w:val="ListBullet"/>
        <w:spacing w:after="80" w:line="300" w:lineRule="auto"/>
        <w:ind w:left="540" w:hanging="271"/>
      </w:pPr>
      <w:r>
        <w:rPr>
          <w:rFonts w:ascii="Calibri" w:hAnsi="Calibri"/>
          <w:b w:val="0"/>
          <w:i w:val="0"/>
          <w:color w:val="000000"/>
          <w:sz w:val="21"/>
        </w:rPr>
        <w:t>Tester sauvegarde, restauration, supervision et procédure de reprise.</w:t>
      </w:r>
    </w:p>
    <w:p>
      <w:pPr>
        <w:pStyle w:val="Heading2"/>
        <w:keepNext/>
      </w:pPr>
      <w:r>
        <w:rPr>
          <w:rFonts w:ascii="Calibri" w:hAnsi="Calibri"/>
          <w:b/>
          <w:i w:val="0"/>
          <w:color w:val="2E74B5"/>
          <w:sz w:val="26"/>
        </w:rPr>
        <w:t>5.6 Semaine 6 — Recette et production</w:t>
      </w:r>
    </w:p>
    <w:p>
      <w:pPr>
        <w:pStyle w:val="ListBullet"/>
        <w:spacing w:after="80" w:line="300" w:lineRule="auto"/>
        <w:ind w:left="540" w:hanging="271"/>
      </w:pPr>
      <w:r>
        <w:rPr>
          <w:rFonts w:ascii="Calibri" w:hAnsi="Calibri"/>
          <w:b w:val="0"/>
          <w:i w:val="0"/>
          <w:color w:val="000000"/>
          <w:sz w:val="21"/>
        </w:rPr>
        <w:t>Exécuter la recette métier sur des cas représentatifs.</w:t>
      </w:r>
    </w:p>
    <w:p>
      <w:pPr>
        <w:pStyle w:val="ListBullet"/>
        <w:spacing w:after="80" w:line="300" w:lineRule="auto"/>
        <w:ind w:left="540" w:hanging="271"/>
      </w:pPr>
      <w:r>
        <w:rPr>
          <w:rFonts w:ascii="Calibri" w:hAnsi="Calibri"/>
          <w:b w:val="0"/>
          <w:i w:val="0"/>
          <w:color w:val="000000"/>
          <w:sz w:val="21"/>
        </w:rPr>
        <w:t>Corriger les anomalies bloquantes et produire le PV de recette.</w:t>
      </w:r>
    </w:p>
    <w:p>
      <w:pPr>
        <w:pStyle w:val="ListBullet"/>
        <w:spacing w:after="80" w:line="300" w:lineRule="auto"/>
        <w:ind w:left="540" w:hanging="271"/>
      </w:pPr>
      <w:r>
        <w:rPr>
          <w:rFonts w:ascii="Calibri" w:hAnsi="Calibri"/>
          <w:b w:val="0"/>
          <w:i w:val="0"/>
          <w:color w:val="000000"/>
          <w:sz w:val="21"/>
        </w:rPr>
        <w:t>Former les profils, mettre en production et activer le suivi renforcé.</w:t>
      </w:r>
    </w:p>
    <w:p>
      <w:pPr>
        <w:pStyle w:val="Heading1"/>
        <w:keepNext/>
      </w:pPr>
      <w:r>
        <w:rPr>
          <w:rFonts w:ascii="Calibri" w:hAnsi="Calibri"/>
          <w:b/>
          <w:i w:val="0"/>
          <w:color w:val="2E74B5"/>
          <w:sz w:val="32"/>
        </w:rPr>
        <w:t>6. Documents et informations encore attendus</w:t>
      </w:r>
    </w:p>
    <w:p>
      <w:pPr>
        <w:pStyle w:val="ListBullet"/>
        <w:spacing w:after="20" w:line="300" w:lineRule="auto"/>
        <w:ind w:left="540" w:hanging="271"/>
      </w:pPr>
      <w:r>
        <w:rPr>
          <w:rFonts w:ascii="Calibri" w:hAnsi="Calibri"/>
          <w:b w:val="0"/>
          <w:i w:val="0"/>
          <w:color w:val="000000"/>
          <w:sz w:val="21"/>
        </w:rPr>
        <w:t>☐ Fichier réel de précompte transmis à l’APS.</w:t>
      </w:r>
    </w:p>
    <w:p>
      <w:pPr>
        <w:pStyle w:val="ListBullet"/>
        <w:spacing w:after="20" w:line="300" w:lineRule="auto"/>
        <w:ind w:left="540" w:hanging="271"/>
      </w:pPr>
      <w:r>
        <w:rPr>
          <w:rFonts w:ascii="Calibri" w:hAnsi="Calibri"/>
          <w:b w:val="0"/>
          <w:i w:val="0"/>
          <w:color w:val="000000"/>
          <w:sz w:val="21"/>
        </w:rPr>
        <w:t>☐ Fichier retour DGI avec les montants effectivement précomptés.</w:t>
      </w:r>
    </w:p>
    <w:p>
      <w:pPr>
        <w:pStyle w:val="ListBullet"/>
        <w:spacing w:after="20" w:line="300" w:lineRule="auto"/>
        <w:ind w:left="540" w:hanging="271"/>
      </w:pPr>
      <w:r>
        <w:rPr>
          <w:rFonts w:ascii="Calibri" w:hAnsi="Calibri"/>
          <w:b w:val="0"/>
          <w:i w:val="0"/>
          <w:color w:val="000000"/>
          <w:sz w:val="21"/>
        </w:rPr>
        <w:t>☐ Dictionnaire de données et accès de test APS/SIAPS.</w:t>
      </w:r>
    </w:p>
    <w:p>
      <w:pPr>
        <w:pStyle w:val="ListBullet"/>
        <w:spacing w:after="20" w:line="300" w:lineRule="auto"/>
        <w:ind w:left="540" w:hanging="271"/>
      </w:pPr>
      <w:r>
        <w:rPr>
          <w:rFonts w:ascii="Calibri" w:hAnsi="Calibri"/>
          <w:b w:val="0"/>
          <w:i w:val="0"/>
          <w:color w:val="000000"/>
          <w:sz w:val="21"/>
        </w:rPr>
        <w:t>☐ Modèle officiel d’impression d’une simulation.</w:t>
      </w:r>
    </w:p>
    <w:p>
      <w:pPr>
        <w:pStyle w:val="ListBullet"/>
        <w:spacing w:after="20" w:line="300" w:lineRule="auto"/>
        <w:ind w:left="540" w:hanging="271"/>
      </w:pPr>
      <w:r>
        <w:rPr>
          <w:rFonts w:ascii="Calibri" w:hAnsi="Calibri"/>
          <w:b w:val="0"/>
          <w:i w:val="0"/>
          <w:color w:val="000000"/>
          <w:sz w:val="21"/>
        </w:rPr>
        <w:t>☐ Modèle officiel du reçu de paiement spontané.</w:t>
      </w:r>
    </w:p>
    <w:p>
      <w:pPr>
        <w:pStyle w:val="ListBullet"/>
        <w:spacing w:after="20" w:line="300" w:lineRule="auto"/>
        <w:ind w:left="540" w:hanging="271"/>
      </w:pPr>
      <w:r>
        <w:rPr>
          <w:rFonts w:ascii="Calibri" w:hAnsi="Calibri"/>
          <w:b w:val="0"/>
          <w:i w:val="0"/>
          <w:color w:val="000000"/>
          <w:sz w:val="21"/>
        </w:rPr>
        <w:t>☐ Workflow validé des paiements par chèque.</w:t>
      </w:r>
    </w:p>
    <w:p>
      <w:pPr>
        <w:pStyle w:val="ListBullet"/>
        <w:spacing w:after="20" w:line="300" w:lineRule="auto"/>
        <w:ind w:left="540" w:hanging="271"/>
      </w:pPr>
      <w:r>
        <w:rPr>
          <w:rFonts w:ascii="Calibri" w:hAnsi="Calibri"/>
          <w:b w:val="0"/>
          <w:i w:val="0"/>
          <w:color w:val="000000"/>
          <w:sz w:val="21"/>
        </w:rPr>
        <w:t>☐ Liste définitive et modèles des reportings attendus.</w:t>
      </w:r>
    </w:p>
    <w:p>
      <w:pPr>
        <w:pStyle w:val="ListBullet"/>
        <w:spacing w:after="20" w:line="300" w:lineRule="auto"/>
        <w:ind w:left="540" w:hanging="271"/>
      </w:pPr>
      <w:r>
        <w:rPr>
          <w:rFonts w:ascii="Calibri" w:hAnsi="Calibri"/>
          <w:b w:val="0"/>
          <w:i w:val="0"/>
          <w:color w:val="000000"/>
          <w:sz w:val="21"/>
        </w:rPr>
        <w:t>☐ Fiches techniques et état de suivi des placements.</w:t>
      </w:r>
    </w:p>
    <w:p>
      <w:pPr>
        <w:pStyle w:val="ListBullet"/>
        <w:spacing w:after="20" w:line="300" w:lineRule="auto"/>
        <w:ind w:left="540" w:hanging="271"/>
      </w:pPr>
      <w:r>
        <w:rPr>
          <w:rFonts w:ascii="Calibri" w:hAnsi="Calibri"/>
          <w:b w:val="0"/>
          <w:i w:val="0"/>
          <w:color w:val="000000"/>
          <w:sz w:val="21"/>
        </w:rPr>
        <w:t>☐ Jeux de tests actuariels signés avec résultats attendus.</w:t>
      </w:r>
    </w:p>
    <w:p>
      <w:pPr>
        <w:pStyle w:val="ListBullet"/>
        <w:spacing w:after="20" w:line="300" w:lineRule="auto"/>
        <w:ind w:left="540" w:hanging="271"/>
      </w:pPr>
      <w:r>
        <w:rPr>
          <w:rFonts w:ascii="Calibri" w:hAnsi="Calibri"/>
          <w:b w:val="0"/>
          <w:i w:val="0"/>
          <w:color w:val="000000"/>
          <w:sz w:val="21"/>
        </w:rPr>
        <w:t>☐ Données historiques réelles à migrer.</w:t>
      </w:r>
    </w:p>
    <w:p>
      <w:pPr>
        <w:pStyle w:val="ListBullet"/>
        <w:spacing w:after="20" w:line="300" w:lineRule="auto"/>
        <w:ind w:left="540" w:hanging="271"/>
      </w:pPr>
      <w:r>
        <w:rPr>
          <w:rFonts w:ascii="Calibri" w:hAnsi="Calibri"/>
          <w:b w:val="0"/>
          <w:i w:val="0"/>
          <w:color w:val="000000"/>
          <w:sz w:val="21"/>
        </w:rPr>
        <w:t>☐ Décision écrite sur l’hébergement et la technologie.</w:t>
      </w:r>
    </w:p>
    <w:p>
      <w:pPr>
        <w:pStyle w:val="Heading1"/>
        <w:keepNext/>
      </w:pPr>
      <w:r>
        <w:rPr>
          <w:rFonts w:ascii="Calibri" w:hAnsi="Calibri"/>
          <w:b/>
          <w:i w:val="0"/>
          <w:color w:val="2E74B5"/>
          <w:sz w:val="32"/>
        </w:rPr>
        <w:t>7. Répartition des responsabilités (RACI)</w:t>
      </w:r>
    </w:p>
    <w:p>
      <w:pPr>
        <w:keepNext w:val="0"/>
        <w:spacing w:before="0" w:after="120" w:line="300" w:lineRule="auto"/>
        <w:jc w:val="left"/>
      </w:pPr>
      <w:r>
        <w:rPr>
          <w:rFonts w:ascii="Calibri" w:hAnsi="Calibri"/>
          <w:b w:val="0"/>
          <w:i w:val="0"/>
          <w:color w:val="666666"/>
          <w:sz w:val="19"/>
        </w:rPr>
        <w:t>R = Réalise  |  A = Approuve  |  C = Consulté  |  I = Informé</w:t>
      </w:r>
    </w:p>
    <w:tbl>
      <w:tblPr>
        <w:tblStyle w:val="TableGrid"/>
        <w:tblW w:type="dxa" w:w="9360"/>
        <w:jc w:val="left"/>
        <w:tblLayout w:type="fixed"/>
        <w:tblLook w:firstColumn="1" w:firstRow="1" w:lastColumn="0" w:lastRow="0" w:noHBand="0" w:noVBand="1" w:val="04A0"/>
        <w:tblInd w:w="120" w:type="dxa"/>
      </w:tblPr>
      <w:tblGrid>
        <w:gridCol w:w="2232"/>
        <w:gridCol w:w="1800"/>
        <w:gridCol w:w="1656"/>
        <w:gridCol w:w="2232"/>
        <w:gridCol w:w="1440"/>
      </w:tblGrid>
      <w:tr>
        <w:trPr>
          <w:tblHeader w:val="true"/>
        </w:trPr>
        <w:tc>
          <w:tcPr>
            <w:tcW w:type="dxa" w:w="223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Activité</w:t>
            </w:r>
          </w:p>
        </w:tc>
        <w:tc>
          <w:tcPr>
            <w:tcW w:type="dxa" w:w="1800"/>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w:t>
            </w:r>
          </w:p>
        </w:tc>
        <w:tc>
          <w:tcPr>
            <w:tcW w:type="dxa" w:w="1656"/>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A</w:t>
            </w:r>
          </w:p>
        </w:tc>
        <w:tc>
          <w:tcPr>
            <w:tcW w:type="dxa" w:w="223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C</w:t>
            </w:r>
          </w:p>
        </w:tc>
        <w:tc>
          <w:tcPr>
            <w:tcW w:type="dxa" w:w="1440"/>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I</w:t>
            </w:r>
          </w:p>
        </w:tc>
      </w:tr>
      <w:tr>
        <w:trPr>
          <w:cantSplit/>
        </w:trPr>
        <w:tc>
          <w:tcPr>
            <w:tcW w:type="dxa" w:w="2232"/>
            <w:vAlign w:val="center"/>
          </w:tcPr>
          <w:p>
            <w:pPr>
              <w:spacing w:before="0" w:after="0" w:line="259" w:lineRule="auto"/>
              <w:jc w:val="left"/>
            </w:pPr>
            <w:r/>
            <w:r>
              <w:rPr>
                <w:rFonts w:ascii="Calibri" w:hAnsi="Calibri"/>
                <w:b w:val="0"/>
                <w:i w:val="0"/>
                <w:color w:val="000000"/>
                <w:sz w:val="16"/>
              </w:rPr>
              <w:t>Arbitrages métier</w:t>
            </w:r>
          </w:p>
        </w:tc>
        <w:tc>
          <w:tcPr>
            <w:tcW w:type="dxa" w:w="1800"/>
            <w:vAlign w:val="center"/>
          </w:tcPr>
          <w:p>
            <w:pPr>
              <w:spacing w:before="0" w:after="0" w:line="259" w:lineRule="auto"/>
              <w:jc w:val="left"/>
            </w:pPr>
            <w:r/>
            <w:r>
              <w:rPr>
                <w:rFonts w:ascii="Calibri" w:hAnsi="Calibri"/>
                <w:b w:val="0"/>
                <w:i w:val="0"/>
                <w:color w:val="000000"/>
                <w:sz w:val="16"/>
              </w:rPr>
              <w:t>Chef ESR</w:t>
            </w:r>
          </w:p>
        </w:tc>
        <w:tc>
          <w:tcPr>
            <w:tcW w:type="dxa" w:w="1656"/>
            <w:vAlign w:val="center"/>
          </w:tcPr>
          <w:p>
            <w:pPr>
              <w:spacing w:before="0" w:after="0" w:line="259" w:lineRule="auto"/>
              <w:jc w:val="left"/>
            </w:pPr>
            <w:r/>
            <w:r>
              <w:rPr>
                <w:rFonts w:ascii="Calibri" w:hAnsi="Calibri"/>
                <w:b w:val="0"/>
                <w:i w:val="0"/>
                <w:color w:val="000000"/>
                <w:sz w:val="16"/>
              </w:rPr>
              <w:t>Direction</w:t>
            </w:r>
          </w:p>
        </w:tc>
        <w:tc>
          <w:tcPr>
            <w:tcW w:type="dxa" w:w="2232"/>
            <w:vAlign w:val="center"/>
          </w:tcPr>
          <w:p>
            <w:pPr>
              <w:spacing w:before="0" w:after="0" w:line="259" w:lineRule="auto"/>
              <w:jc w:val="left"/>
            </w:pPr>
            <w:r/>
            <w:r>
              <w:rPr>
                <w:rFonts w:ascii="Calibri" w:hAnsi="Calibri"/>
                <w:b w:val="0"/>
                <w:i w:val="0"/>
                <w:color w:val="000000"/>
                <w:sz w:val="16"/>
              </w:rPr>
              <w:t>Actuaire, Finance</w:t>
            </w:r>
          </w:p>
        </w:tc>
        <w:tc>
          <w:tcPr>
            <w:tcW w:type="dxa" w:w="1440"/>
            <w:vAlign w:val="center"/>
          </w:tcPr>
          <w:p>
            <w:pPr>
              <w:spacing w:before="0" w:after="0" w:line="259" w:lineRule="auto"/>
              <w:jc w:val="left"/>
            </w:pPr>
            <w:r/>
            <w:r>
              <w:rPr>
                <w:rFonts w:ascii="Calibri" w:hAnsi="Calibri"/>
                <w:b w:val="0"/>
                <w:i w:val="0"/>
                <w:color w:val="000000"/>
                <w:sz w:val="16"/>
              </w:rPr>
              <w:t>Développeur</w:t>
            </w:r>
          </w:p>
        </w:tc>
      </w:tr>
      <w:tr>
        <w:trPr>
          <w:cantSplit/>
        </w:trPr>
        <w:tc>
          <w:tcPr>
            <w:tcW w:type="dxa" w:w="2232"/>
            <w:vAlign w:val="center"/>
          </w:tcPr>
          <w:p>
            <w:pPr>
              <w:spacing w:before="0" w:after="0" w:line="259" w:lineRule="auto"/>
              <w:jc w:val="left"/>
            </w:pPr>
            <w:r/>
            <w:r>
              <w:rPr>
                <w:rFonts w:ascii="Calibri" w:hAnsi="Calibri"/>
                <w:b w:val="0"/>
                <w:i w:val="0"/>
                <w:color w:val="000000"/>
                <w:sz w:val="16"/>
              </w:rPr>
              <w:t>Formules et cas tests</w:t>
            </w:r>
          </w:p>
        </w:tc>
        <w:tc>
          <w:tcPr>
            <w:tcW w:type="dxa" w:w="1800"/>
            <w:vAlign w:val="center"/>
          </w:tcPr>
          <w:p>
            <w:pPr>
              <w:spacing w:before="0" w:after="0" w:line="259" w:lineRule="auto"/>
              <w:jc w:val="left"/>
            </w:pPr>
            <w:r/>
            <w:r>
              <w:rPr>
                <w:rFonts w:ascii="Calibri" w:hAnsi="Calibri"/>
                <w:b w:val="0"/>
                <w:i w:val="0"/>
                <w:color w:val="000000"/>
                <w:sz w:val="16"/>
              </w:rPr>
              <w:t>Actuaire</w:t>
            </w:r>
          </w:p>
        </w:tc>
        <w:tc>
          <w:tcPr>
            <w:tcW w:type="dxa" w:w="1656"/>
            <w:vAlign w:val="center"/>
          </w:tcPr>
          <w:p>
            <w:pPr>
              <w:spacing w:before="0" w:after="0" w:line="259" w:lineRule="auto"/>
              <w:jc w:val="left"/>
            </w:pPr>
            <w:r/>
            <w:r>
              <w:rPr>
                <w:rFonts w:ascii="Calibri" w:hAnsi="Calibri"/>
                <w:b w:val="0"/>
                <w:i w:val="0"/>
                <w:color w:val="000000"/>
                <w:sz w:val="16"/>
              </w:rPr>
              <w:t>Chef ESR</w:t>
            </w:r>
          </w:p>
        </w:tc>
        <w:tc>
          <w:tcPr>
            <w:tcW w:type="dxa" w:w="2232"/>
            <w:vAlign w:val="center"/>
          </w:tcPr>
          <w:p>
            <w:pPr>
              <w:spacing w:before="0" w:after="0" w:line="259" w:lineRule="auto"/>
              <w:jc w:val="left"/>
            </w:pPr>
            <w:r/>
            <w:r>
              <w:rPr>
                <w:rFonts w:ascii="Calibri" w:hAnsi="Calibri"/>
                <w:b w:val="0"/>
                <w:i w:val="0"/>
                <w:color w:val="000000"/>
                <w:sz w:val="16"/>
              </w:rPr>
              <w:t>Développeur</w:t>
            </w:r>
          </w:p>
        </w:tc>
        <w:tc>
          <w:tcPr>
            <w:tcW w:type="dxa" w:w="1440"/>
            <w:vAlign w:val="center"/>
          </w:tcPr>
          <w:p>
            <w:pPr>
              <w:spacing w:before="0" w:after="0" w:line="259" w:lineRule="auto"/>
              <w:jc w:val="left"/>
            </w:pPr>
            <w:r/>
            <w:r>
              <w:rPr>
                <w:rFonts w:ascii="Calibri" w:hAnsi="Calibri"/>
                <w:b w:val="0"/>
                <w:i w:val="0"/>
                <w:color w:val="000000"/>
                <w:sz w:val="16"/>
              </w:rPr>
              <w:t>Direction</w:t>
            </w:r>
          </w:p>
        </w:tc>
      </w:tr>
      <w:tr>
        <w:trPr>
          <w:cantSplit/>
        </w:trPr>
        <w:tc>
          <w:tcPr>
            <w:tcW w:type="dxa" w:w="2232"/>
            <w:vAlign w:val="center"/>
          </w:tcPr>
          <w:p>
            <w:pPr>
              <w:spacing w:before="0" w:after="0" w:line="259" w:lineRule="auto"/>
              <w:jc w:val="left"/>
            </w:pPr>
            <w:r/>
            <w:r>
              <w:rPr>
                <w:rFonts w:ascii="Calibri" w:hAnsi="Calibri"/>
                <w:b w:val="0"/>
                <w:i w:val="0"/>
                <w:color w:val="000000"/>
                <w:sz w:val="16"/>
              </w:rPr>
              <w:t>Intégration APS/SIAPS</w:t>
            </w:r>
          </w:p>
        </w:tc>
        <w:tc>
          <w:tcPr>
            <w:tcW w:type="dxa" w:w="1800"/>
            <w:vAlign w:val="center"/>
          </w:tcPr>
          <w:p>
            <w:pPr>
              <w:spacing w:before="0" w:after="0" w:line="259" w:lineRule="auto"/>
              <w:jc w:val="left"/>
            </w:pPr>
            <w:r/>
            <w:r>
              <w:rPr>
                <w:rFonts w:ascii="Calibri" w:hAnsi="Calibri"/>
                <w:b w:val="0"/>
                <w:i w:val="0"/>
                <w:color w:val="000000"/>
                <w:sz w:val="16"/>
              </w:rPr>
              <w:t>DSI / APS</w:t>
            </w:r>
          </w:p>
        </w:tc>
        <w:tc>
          <w:tcPr>
            <w:tcW w:type="dxa" w:w="1656"/>
            <w:vAlign w:val="center"/>
          </w:tcPr>
          <w:p>
            <w:pPr>
              <w:spacing w:before="0" w:after="0" w:line="259" w:lineRule="auto"/>
              <w:jc w:val="left"/>
            </w:pPr>
            <w:r/>
            <w:r>
              <w:rPr>
                <w:rFonts w:ascii="Calibri" w:hAnsi="Calibri"/>
                <w:b w:val="0"/>
                <w:i w:val="0"/>
                <w:color w:val="000000"/>
                <w:sz w:val="16"/>
              </w:rPr>
              <w:t>Direction</w:t>
            </w:r>
          </w:p>
        </w:tc>
        <w:tc>
          <w:tcPr>
            <w:tcW w:type="dxa" w:w="2232"/>
            <w:vAlign w:val="center"/>
          </w:tcPr>
          <w:p>
            <w:pPr>
              <w:spacing w:before="0" w:after="0" w:line="259" w:lineRule="auto"/>
              <w:jc w:val="left"/>
            </w:pPr>
            <w:r/>
            <w:r>
              <w:rPr>
                <w:rFonts w:ascii="Calibri" w:hAnsi="Calibri"/>
                <w:b w:val="0"/>
                <w:i w:val="0"/>
                <w:color w:val="000000"/>
                <w:sz w:val="16"/>
              </w:rPr>
              <w:t>Développeur</w:t>
            </w:r>
          </w:p>
        </w:tc>
        <w:tc>
          <w:tcPr>
            <w:tcW w:type="dxa" w:w="1440"/>
            <w:vAlign w:val="center"/>
          </w:tcPr>
          <w:p>
            <w:pPr>
              <w:spacing w:before="0" w:after="0" w:line="259" w:lineRule="auto"/>
              <w:jc w:val="left"/>
            </w:pPr>
            <w:r/>
            <w:r>
              <w:rPr>
                <w:rFonts w:ascii="Calibri" w:hAnsi="Calibri"/>
                <w:b w:val="0"/>
                <w:i w:val="0"/>
                <w:color w:val="000000"/>
                <w:sz w:val="16"/>
              </w:rPr>
              <w:t>Chef ESR</w:t>
            </w:r>
          </w:p>
        </w:tc>
      </w:tr>
      <w:tr>
        <w:trPr>
          <w:cantSplit/>
        </w:trPr>
        <w:tc>
          <w:tcPr>
            <w:tcW w:type="dxa" w:w="2232"/>
            <w:vAlign w:val="center"/>
          </w:tcPr>
          <w:p>
            <w:pPr>
              <w:spacing w:before="0" w:after="0" w:line="259" w:lineRule="auto"/>
              <w:jc w:val="left"/>
            </w:pPr>
            <w:r/>
            <w:r>
              <w:rPr>
                <w:rFonts w:ascii="Calibri" w:hAnsi="Calibri"/>
                <w:b w:val="0"/>
                <w:i w:val="0"/>
                <w:color w:val="000000"/>
                <w:sz w:val="16"/>
              </w:rPr>
              <w:t>Développement</w:t>
            </w:r>
          </w:p>
        </w:tc>
        <w:tc>
          <w:tcPr>
            <w:tcW w:type="dxa" w:w="1800"/>
            <w:vAlign w:val="center"/>
          </w:tcPr>
          <w:p>
            <w:pPr>
              <w:spacing w:before="0" w:after="0" w:line="259" w:lineRule="auto"/>
              <w:jc w:val="left"/>
            </w:pPr>
            <w:r/>
            <w:r>
              <w:rPr>
                <w:rFonts w:ascii="Calibri" w:hAnsi="Calibri"/>
                <w:b w:val="0"/>
                <w:i w:val="0"/>
                <w:color w:val="000000"/>
                <w:sz w:val="16"/>
              </w:rPr>
              <w:t>Développeur</w:t>
            </w:r>
          </w:p>
        </w:tc>
        <w:tc>
          <w:tcPr>
            <w:tcW w:type="dxa" w:w="1656"/>
            <w:vAlign w:val="center"/>
          </w:tcPr>
          <w:p>
            <w:pPr>
              <w:spacing w:before="0" w:after="0" w:line="259" w:lineRule="auto"/>
              <w:jc w:val="left"/>
            </w:pPr>
            <w:r/>
            <w:r>
              <w:rPr>
                <w:rFonts w:ascii="Calibri" w:hAnsi="Calibri"/>
                <w:b w:val="0"/>
                <w:i w:val="0"/>
                <w:color w:val="000000"/>
                <w:sz w:val="16"/>
              </w:rPr>
              <w:t>Chef ESR</w:t>
            </w:r>
          </w:p>
        </w:tc>
        <w:tc>
          <w:tcPr>
            <w:tcW w:type="dxa" w:w="2232"/>
            <w:vAlign w:val="center"/>
          </w:tcPr>
          <w:p>
            <w:pPr>
              <w:spacing w:before="0" w:after="0" w:line="259" w:lineRule="auto"/>
              <w:jc w:val="left"/>
            </w:pPr>
            <w:r/>
            <w:r>
              <w:rPr>
                <w:rFonts w:ascii="Calibri" w:hAnsi="Calibri"/>
                <w:b w:val="0"/>
                <w:i w:val="0"/>
                <w:color w:val="000000"/>
                <w:sz w:val="16"/>
              </w:rPr>
              <w:t>Actuaire, utilisateurs</w:t>
            </w:r>
          </w:p>
        </w:tc>
        <w:tc>
          <w:tcPr>
            <w:tcW w:type="dxa" w:w="1440"/>
            <w:vAlign w:val="center"/>
          </w:tcPr>
          <w:p>
            <w:pPr>
              <w:spacing w:before="0" w:after="0" w:line="259" w:lineRule="auto"/>
              <w:jc w:val="left"/>
            </w:pPr>
            <w:r/>
            <w:r>
              <w:rPr>
                <w:rFonts w:ascii="Calibri" w:hAnsi="Calibri"/>
                <w:b w:val="0"/>
                <w:i w:val="0"/>
                <w:color w:val="000000"/>
                <w:sz w:val="16"/>
              </w:rPr>
              <w:t>Direction</w:t>
            </w:r>
          </w:p>
        </w:tc>
      </w:tr>
      <w:tr>
        <w:trPr>
          <w:cantSplit/>
        </w:trPr>
        <w:tc>
          <w:tcPr>
            <w:tcW w:type="dxa" w:w="2232"/>
            <w:vAlign w:val="center"/>
          </w:tcPr>
          <w:p>
            <w:pPr>
              <w:spacing w:before="0" w:after="0" w:line="259" w:lineRule="auto"/>
              <w:jc w:val="left"/>
            </w:pPr>
            <w:r/>
            <w:r>
              <w:rPr>
                <w:rFonts w:ascii="Calibri" w:hAnsi="Calibri"/>
                <w:b w:val="0"/>
                <w:i w:val="0"/>
                <w:color w:val="000000"/>
                <w:sz w:val="16"/>
              </w:rPr>
              <w:t>Reporting comptable</w:t>
            </w:r>
          </w:p>
        </w:tc>
        <w:tc>
          <w:tcPr>
            <w:tcW w:type="dxa" w:w="1800"/>
            <w:vAlign w:val="center"/>
          </w:tcPr>
          <w:p>
            <w:pPr>
              <w:spacing w:before="0" w:after="0" w:line="259" w:lineRule="auto"/>
              <w:jc w:val="left"/>
            </w:pPr>
            <w:r/>
            <w:r>
              <w:rPr>
                <w:rFonts w:ascii="Calibri" w:hAnsi="Calibri"/>
                <w:b w:val="0"/>
                <w:i w:val="0"/>
                <w:color w:val="000000"/>
                <w:sz w:val="16"/>
              </w:rPr>
              <w:t>Finance</w:t>
            </w:r>
          </w:p>
        </w:tc>
        <w:tc>
          <w:tcPr>
            <w:tcW w:type="dxa" w:w="1656"/>
            <w:vAlign w:val="center"/>
          </w:tcPr>
          <w:p>
            <w:pPr>
              <w:spacing w:before="0" w:after="0" w:line="259" w:lineRule="auto"/>
              <w:jc w:val="left"/>
            </w:pPr>
            <w:r/>
            <w:r>
              <w:rPr>
                <w:rFonts w:ascii="Calibri" w:hAnsi="Calibri"/>
                <w:b w:val="0"/>
                <w:i w:val="0"/>
                <w:color w:val="000000"/>
                <w:sz w:val="16"/>
              </w:rPr>
              <w:t>Chef ESR</w:t>
            </w:r>
          </w:p>
        </w:tc>
        <w:tc>
          <w:tcPr>
            <w:tcW w:type="dxa" w:w="2232"/>
            <w:vAlign w:val="center"/>
          </w:tcPr>
          <w:p>
            <w:pPr>
              <w:spacing w:before="0" w:after="0" w:line="259" w:lineRule="auto"/>
              <w:jc w:val="left"/>
            </w:pPr>
            <w:r/>
            <w:r>
              <w:rPr>
                <w:rFonts w:ascii="Calibri" w:hAnsi="Calibri"/>
                <w:b w:val="0"/>
                <w:i w:val="0"/>
                <w:color w:val="000000"/>
                <w:sz w:val="16"/>
              </w:rPr>
              <w:t>Actuaire, développeur</w:t>
            </w:r>
          </w:p>
        </w:tc>
        <w:tc>
          <w:tcPr>
            <w:tcW w:type="dxa" w:w="1440"/>
            <w:vAlign w:val="center"/>
          </w:tcPr>
          <w:p>
            <w:pPr>
              <w:spacing w:before="0" w:after="0" w:line="259" w:lineRule="auto"/>
              <w:jc w:val="left"/>
            </w:pPr>
            <w:r/>
            <w:r>
              <w:rPr>
                <w:rFonts w:ascii="Calibri" w:hAnsi="Calibri"/>
                <w:b w:val="0"/>
                <w:i w:val="0"/>
                <w:color w:val="000000"/>
                <w:sz w:val="16"/>
              </w:rPr>
              <w:t>Direction</w:t>
            </w:r>
          </w:p>
        </w:tc>
      </w:tr>
      <w:tr>
        <w:trPr>
          <w:cantSplit/>
        </w:trPr>
        <w:tc>
          <w:tcPr>
            <w:tcW w:type="dxa" w:w="2232"/>
            <w:vAlign w:val="center"/>
          </w:tcPr>
          <w:p>
            <w:pPr>
              <w:spacing w:before="0" w:after="0" w:line="259" w:lineRule="auto"/>
              <w:jc w:val="left"/>
            </w:pPr>
            <w:r/>
            <w:r>
              <w:rPr>
                <w:rFonts w:ascii="Calibri" w:hAnsi="Calibri"/>
                <w:b w:val="0"/>
                <w:i w:val="0"/>
                <w:color w:val="000000"/>
                <w:sz w:val="16"/>
              </w:rPr>
              <w:t>Recette métier</w:t>
            </w:r>
          </w:p>
        </w:tc>
        <w:tc>
          <w:tcPr>
            <w:tcW w:type="dxa" w:w="1800"/>
            <w:vAlign w:val="center"/>
          </w:tcPr>
          <w:p>
            <w:pPr>
              <w:spacing w:before="0" w:after="0" w:line="259" w:lineRule="auto"/>
              <w:jc w:val="left"/>
            </w:pPr>
            <w:r/>
            <w:r>
              <w:rPr>
                <w:rFonts w:ascii="Calibri" w:hAnsi="Calibri"/>
                <w:b w:val="0"/>
                <w:i w:val="0"/>
                <w:color w:val="000000"/>
                <w:sz w:val="16"/>
              </w:rPr>
              <w:t>Utilisateurs ESR</w:t>
            </w:r>
          </w:p>
        </w:tc>
        <w:tc>
          <w:tcPr>
            <w:tcW w:type="dxa" w:w="1656"/>
            <w:vAlign w:val="center"/>
          </w:tcPr>
          <w:p>
            <w:pPr>
              <w:spacing w:before="0" w:after="0" w:line="259" w:lineRule="auto"/>
              <w:jc w:val="left"/>
            </w:pPr>
            <w:r/>
            <w:r>
              <w:rPr>
                <w:rFonts w:ascii="Calibri" w:hAnsi="Calibri"/>
                <w:b w:val="0"/>
                <w:i w:val="0"/>
                <w:color w:val="000000"/>
                <w:sz w:val="16"/>
              </w:rPr>
              <w:t>Chef ESR</w:t>
            </w:r>
          </w:p>
        </w:tc>
        <w:tc>
          <w:tcPr>
            <w:tcW w:type="dxa" w:w="2232"/>
            <w:vAlign w:val="center"/>
          </w:tcPr>
          <w:p>
            <w:pPr>
              <w:spacing w:before="0" w:after="0" w:line="259" w:lineRule="auto"/>
              <w:jc w:val="left"/>
            </w:pPr>
            <w:r/>
            <w:r>
              <w:rPr>
                <w:rFonts w:ascii="Calibri" w:hAnsi="Calibri"/>
                <w:b w:val="0"/>
                <w:i w:val="0"/>
                <w:color w:val="000000"/>
                <w:sz w:val="16"/>
              </w:rPr>
              <w:t>Actuaire, DSI</w:t>
            </w:r>
          </w:p>
        </w:tc>
        <w:tc>
          <w:tcPr>
            <w:tcW w:type="dxa" w:w="1440"/>
            <w:vAlign w:val="center"/>
          </w:tcPr>
          <w:p>
            <w:pPr>
              <w:spacing w:before="0" w:after="0" w:line="259" w:lineRule="auto"/>
              <w:jc w:val="left"/>
            </w:pPr>
            <w:r/>
            <w:r>
              <w:rPr>
                <w:rFonts w:ascii="Calibri" w:hAnsi="Calibri"/>
                <w:b w:val="0"/>
                <w:i w:val="0"/>
                <w:color w:val="000000"/>
                <w:sz w:val="16"/>
              </w:rPr>
              <w:t>Direction</w:t>
            </w:r>
          </w:p>
        </w:tc>
      </w:tr>
      <w:tr>
        <w:trPr>
          <w:cantSplit/>
        </w:trPr>
        <w:tc>
          <w:tcPr>
            <w:tcW w:type="dxa" w:w="2232"/>
            <w:vAlign w:val="center"/>
          </w:tcPr>
          <w:p>
            <w:pPr>
              <w:spacing w:before="0" w:after="0" w:line="259" w:lineRule="auto"/>
              <w:jc w:val="left"/>
            </w:pPr>
            <w:r/>
            <w:r>
              <w:rPr>
                <w:rFonts w:ascii="Calibri" w:hAnsi="Calibri"/>
                <w:b w:val="0"/>
                <w:i w:val="0"/>
                <w:color w:val="000000"/>
                <w:sz w:val="16"/>
              </w:rPr>
              <w:t>Mise en production</w:t>
            </w:r>
          </w:p>
        </w:tc>
        <w:tc>
          <w:tcPr>
            <w:tcW w:type="dxa" w:w="1800"/>
            <w:vAlign w:val="center"/>
          </w:tcPr>
          <w:p>
            <w:pPr>
              <w:spacing w:before="0" w:after="0" w:line="259" w:lineRule="auto"/>
              <w:jc w:val="left"/>
            </w:pPr>
            <w:r/>
            <w:r>
              <w:rPr>
                <w:rFonts w:ascii="Calibri" w:hAnsi="Calibri"/>
                <w:b w:val="0"/>
                <w:i w:val="0"/>
                <w:color w:val="000000"/>
                <w:sz w:val="16"/>
              </w:rPr>
              <w:t>DSI</w:t>
            </w:r>
          </w:p>
        </w:tc>
        <w:tc>
          <w:tcPr>
            <w:tcW w:type="dxa" w:w="1656"/>
            <w:vAlign w:val="center"/>
          </w:tcPr>
          <w:p>
            <w:pPr>
              <w:spacing w:before="0" w:after="0" w:line="259" w:lineRule="auto"/>
              <w:jc w:val="left"/>
            </w:pPr>
            <w:r/>
            <w:r>
              <w:rPr>
                <w:rFonts w:ascii="Calibri" w:hAnsi="Calibri"/>
                <w:b w:val="0"/>
                <w:i w:val="0"/>
                <w:color w:val="000000"/>
                <w:sz w:val="16"/>
              </w:rPr>
              <w:t>Direction</w:t>
            </w:r>
          </w:p>
        </w:tc>
        <w:tc>
          <w:tcPr>
            <w:tcW w:type="dxa" w:w="2232"/>
            <w:vAlign w:val="center"/>
          </w:tcPr>
          <w:p>
            <w:pPr>
              <w:spacing w:before="0" w:after="0" w:line="259" w:lineRule="auto"/>
              <w:jc w:val="left"/>
            </w:pPr>
            <w:r/>
            <w:r>
              <w:rPr>
                <w:rFonts w:ascii="Calibri" w:hAnsi="Calibri"/>
                <w:b w:val="0"/>
                <w:i w:val="0"/>
                <w:color w:val="000000"/>
                <w:sz w:val="16"/>
              </w:rPr>
              <w:t>Développeur, ESR</w:t>
            </w:r>
          </w:p>
        </w:tc>
        <w:tc>
          <w:tcPr>
            <w:tcW w:type="dxa" w:w="1440"/>
            <w:vAlign w:val="center"/>
          </w:tcPr>
          <w:p>
            <w:pPr>
              <w:spacing w:before="0" w:after="0" w:line="259" w:lineRule="auto"/>
              <w:jc w:val="left"/>
            </w:pPr>
            <w:r/>
            <w:r>
              <w:rPr>
                <w:rFonts w:ascii="Calibri" w:hAnsi="Calibri"/>
                <w:b w:val="0"/>
                <w:i w:val="0"/>
                <w:color w:val="000000"/>
                <w:sz w:val="16"/>
              </w:rPr>
              <w:t>Utilisateurs</w:t>
            </w:r>
          </w:p>
        </w:tc>
      </w:tr>
    </w:tbl>
    <w:p>
      <w:pPr>
        <w:spacing w:after="40"/>
      </w:pPr>
    </w:p>
    <w:p>
      <w:r>
        <w:br w:type="page"/>
      </w:r>
    </w:p>
    <w:p>
      <w:pPr>
        <w:pStyle w:val="Heading1"/>
        <w:keepNext/>
      </w:pPr>
      <w:r>
        <w:rPr>
          <w:rFonts w:ascii="Calibri" w:hAnsi="Calibri"/>
          <w:b/>
          <w:i w:val="0"/>
          <w:color w:val="2E74B5"/>
          <w:sz w:val="32"/>
        </w:rPr>
        <w:t>8. Registre des risques prioritaires</w:t>
      </w:r>
    </w:p>
    <w:tbl>
      <w:tblPr>
        <w:tblStyle w:val="TableGrid"/>
        <w:tblW w:type="dxa" w:w="9360"/>
        <w:jc w:val="left"/>
        <w:tblLayout w:type="fixed"/>
        <w:tblLook w:firstColumn="1" w:firstRow="1" w:lastColumn="0" w:lastRow="0" w:noHBand="0" w:noVBand="1" w:val="04A0"/>
        <w:tblInd w:w="120" w:type="dxa"/>
      </w:tblPr>
      <w:tblGrid>
        <w:gridCol w:w="1872"/>
        <w:gridCol w:w="1181"/>
        <w:gridCol w:w="1181"/>
        <w:gridCol w:w="3384"/>
        <w:gridCol w:w="1742"/>
      </w:tblGrid>
      <w:tr>
        <w:trPr>
          <w:tblHeader w:val="true"/>
        </w:trPr>
        <w:tc>
          <w:tcPr>
            <w:tcW w:type="dxa" w:w="187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Risque</w:t>
            </w:r>
          </w:p>
        </w:tc>
        <w:tc>
          <w:tcPr>
            <w:tcW w:type="dxa" w:w="1181"/>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Impact</w:t>
            </w:r>
          </w:p>
        </w:tc>
        <w:tc>
          <w:tcPr>
            <w:tcW w:type="dxa" w:w="1181"/>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Probabilité</w:t>
            </w:r>
          </w:p>
        </w:tc>
        <w:tc>
          <w:tcPr>
            <w:tcW w:type="dxa" w:w="3384"/>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Réponse</w:t>
            </w:r>
          </w:p>
        </w:tc>
        <w:tc>
          <w:tcPr>
            <w:tcW w:type="dxa" w:w="174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Propriétaire</w:t>
            </w:r>
          </w:p>
        </w:tc>
      </w:tr>
      <w:tr>
        <w:trPr>
          <w:cantSplit/>
        </w:trPr>
        <w:tc>
          <w:tcPr>
            <w:tcW w:type="dxa" w:w="1872"/>
            <w:vAlign w:val="center"/>
          </w:tcPr>
          <w:p>
            <w:pPr>
              <w:spacing w:before="0" w:after="0" w:line="259" w:lineRule="auto"/>
              <w:jc w:val="left"/>
            </w:pPr>
            <w:r/>
            <w:r>
              <w:rPr>
                <w:rFonts w:ascii="Calibri" w:hAnsi="Calibri"/>
                <w:b w:val="0"/>
                <w:i w:val="0"/>
                <w:color w:val="000000"/>
                <w:sz w:val="16"/>
              </w:rPr>
              <w:t>Règle actuarielle erronée</w:t>
            </w:r>
          </w:p>
        </w:tc>
        <w:tc>
          <w:tcPr>
            <w:tcW w:type="dxa" w:w="1181"/>
            <w:vAlign w:val="center"/>
          </w:tcPr>
          <w:p>
            <w:pPr>
              <w:spacing w:before="0" w:after="0" w:line="259" w:lineRule="auto"/>
              <w:jc w:val="left"/>
            </w:pPr>
            <w:r/>
            <w:r>
              <w:rPr>
                <w:rFonts w:ascii="Calibri" w:hAnsi="Calibri"/>
                <w:b w:val="0"/>
                <w:i w:val="0"/>
                <w:color w:val="000000"/>
                <w:sz w:val="16"/>
              </w:rPr>
              <w:t>Très élevé</w:t>
            </w:r>
          </w:p>
        </w:tc>
        <w:tc>
          <w:tcPr>
            <w:tcW w:type="dxa" w:w="1181"/>
            <w:vAlign w:val="center"/>
          </w:tcPr>
          <w:p>
            <w:pPr>
              <w:spacing w:before="0" w:after="0" w:line="259" w:lineRule="auto"/>
              <w:jc w:val="left"/>
            </w:pPr>
            <w:r/>
            <w:r>
              <w:rPr>
                <w:rFonts w:ascii="Calibri" w:hAnsi="Calibri"/>
                <w:b w:val="0"/>
                <w:i w:val="0"/>
                <w:color w:val="000000"/>
                <w:sz w:val="16"/>
              </w:rPr>
              <w:t>Très élevée</w:t>
            </w:r>
          </w:p>
        </w:tc>
        <w:tc>
          <w:tcPr>
            <w:tcW w:type="dxa" w:w="3384"/>
            <w:vAlign w:val="center"/>
          </w:tcPr>
          <w:p>
            <w:pPr>
              <w:spacing w:before="0" w:after="0" w:line="259" w:lineRule="auto"/>
              <w:jc w:val="left"/>
            </w:pPr>
            <w:r/>
            <w:r>
              <w:rPr>
                <w:rFonts w:ascii="Calibri" w:hAnsi="Calibri"/>
                <w:b w:val="0"/>
                <w:i w:val="0"/>
                <w:color w:val="000000"/>
                <w:sz w:val="16"/>
              </w:rPr>
              <w:t>PV signé + tests croisés obligatoires.</w:t>
            </w:r>
          </w:p>
        </w:tc>
        <w:tc>
          <w:tcPr>
            <w:tcW w:type="dxa" w:w="1742"/>
            <w:vAlign w:val="center"/>
          </w:tcPr>
          <w:p>
            <w:pPr>
              <w:spacing w:before="0" w:after="0" w:line="259" w:lineRule="auto"/>
              <w:jc w:val="left"/>
            </w:pPr>
            <w:r/>
            <w:r>
              <w:rPr>
                <w:rFonts w:ascii="Calibri" w:hAnsi="Calibri"/>
                <w:b w:val="0"/>
                <w:i w:val="0"/>
                <w:color w:val="000000"/>
                <w:sz w:val="16"/>
              </w:rPr>
              <w:t>Chef ESR / Actuaire</w:t>
            </w:r>
          </w:p>
        </w:tc>
      </w:tr>
      <w:tr>
        <w:trPr>
          <w:cantSplit/>
        </w:trPr>
        <w:tc>
          <w:tcPr>
            <w:tcW w:type="dxa" w:w="1872"/>
            <w:vAlign w:val="center"/>
          </w:tcPr>
          <w:p>
            <w:pPr>
              <w:spacing w:before="0" w:after="0" w:line="259" w:lineRule="auto"/>
              <w:jc w:val="left"/>
            </w:pPr>
            <w:r/>
            <w:r>
              <w:rPr>
                <w:rFonts w:ascii="Calibri" w:hAnsi="Calibri"/>
                <w:b w:val="0"/>
                <w:i w:val="0"/>
                <w:color w:val="000000"/>
                <w:sz w:val="16"/>
              </w:rPr>
              <w:t>Architecture non approuvée</w:t>
            </w:r>
          </w:p>
        </w:tc>
        <w:tc>
          <w:tcPr>
            <w:tcW w:type="dxa" w:w="1181"/>
            <w:vAlign w:val="center"/>
          </w:tcPr>
          <w:p>
            <w:pPr>
              <w:spacing w:before="0" w:after="0" w:line="259" w:lineRule="auto"/>
              <w:jc w:val="left"/>
            </w:pPr>
            <w:r/>
            <w:r>
              <w:rPr>
                <w:rFonts w:ascii="Calibri" w:hAnsi="Calibri"/>
                <w:b w:val="0"/>
                <w:i w:val="0"/>
                <w:color w:val="000000"/>
                <w:sz w:val="16"/>
              </w:rPr>
              <w:t>Très élevé</w:t>
            </w:r>
          </w:p>
        </w:tc>
        <w:tc>
          <w:tcPr>
            <w:tcW w:type="dxa" w:w="1181"/>
            <w:vAlign w:val="center"/>
          </w:tcPr>
          <w:p>
            <w:pPr>
              <w:spacing w:before="0" w:after="0" w:line="259" w:lineRule="auto"/>
              <w:jc w:val="left"/>
            </w:pPr>
            <w:r/>
            <w:r>
              <w:rPr>
                <w:rFonts w:ascii="Calibri" w:hAnsi="Calibri"/>
                <w:b w:val="0"/>
                <w:i w:val="0"/>
                <w:color w:val="000000"/>
                <w:sz w:val="16"/>
              </w:rPr>
              <w:t>Élevée</w:t>
            </w:r>
          </w:p>
        </w:tc>
        <w:tc>
          <w:tcPr>
            <w:tcW w:type="dxa" w:w="3384"/>
            <w:vAlign w:val="center"/>
          </w:tcPr>
          <w:p>
            <w:pPr>
              <w:spacing w:before="0" w:after="0" w:line="259" w:lineRule="auto"/>
              <w:jc w:val="left"/>
            </w:pPr>
            <w:r/>
            <w:r>
              <w:rPr>
                <w:rFonts w:ascii="Calibri" w:hAnsi="Calibri"/>
                <w:b w:val="0"/>
                <w:i w:val="0"/>
                <w:color w:val="000000"/>
                <w:sz w:val="16"/>
              </w:rPr>
              <w:t>Décision DSI avant poursuite de la finalisation.</w:t>
            </w:r>
          </w:p>
        </w:tc>
        <w:tc>
          <w:tcPr>
            <w:tcW w:type="dxa" w:w="1742"/>
            <w:vAlign w:val="center"/>
          </w:tcPr>
          <w:p>
            <w:pPr>
              <w:spacing w:before="0" w:after="0" w:line="259" w:lineRule="auto"/>
              <w:jc w:val="left"/>
            </w:pPr>
            <w:r/>
            <w:r>
              <w:rPr>
                <w:rFonts w:ascii="Calibri" w:hAnsi="Calibri"/>
                <w:b w:val="0"/>
                <w:i w:val="0"/>
                <w:color w:val="000000"/>
                <w:sz w:val="16"/>
              </w:rPr>
              <w:t>Direction / DSI</w:t>
            </w:r>
          </w:p>
        </w:tc>
      </w:tr>
      <w:tr>
        <w:trPr>
          <w:cantSplit/>
        </w:trPr>
        <w:tc>
          <w:tcPr>
            <w:tcW w:type="dxa" w:w="1872"/>
            <w:vAlign w:val="center"/>
          </w:tcPr>
          <w:p>
            <w:pPr>
              <w:spacing w:before="0" w:after="0" w:line="259" w:lineRule="auto"/>
              <w:jc w:val="left"/>
            </w:pPr>
            <w:r/>
            <w:r>
              <w:rPr>
                <w:rFonts w:ascii="Calibri" w:hAnsi="Calibri"/>
                <w:b w:val="0"/>
                <w:i w:val="0"/>
                <w:color w:val="000000"/>
                <w:sz w:val="16"/>
              </w:rPr>
              <w:t>Format APS indisponible</w:t>
            </w:r>
          </w:p>
        </w:tc>
        <w:tc>
          <w:tcPr>
            <w:tcW w:type="dxa" w:w="1181"/>
            <w:vAlign w:val="center"/>
          </w:tcPr>
          <w:p>
            <w:pPr>
              <w:spacing w:before="0" w:after="0" w:line="259" w:lineRule="auto"/>
              <w:jc w:val="left"/>
            </w:pPr>
            <w:r/>
            <w:r>
              <w:rPr>
                <w:rFonts w:ascii="Calibri" w:hAnsi="Calibri"/>
                <w:b w:val="0"/>
                <w:i w:val="0"/>
                <w:color w:val="000000"/>
                <w:sz w:val="16"/>
              </w:rPr>
              <w:t>Élevé</w:t>
            </w:r>
          </w:p>
        </w:tc>
        <w:tc>
          <w:tcPr>
            <w:tcW w:type="dxa" w:w="1181"/>
            <w:vAlign w:val="center"/>
          </w:tcPr>
          <w:p>
            <w:pPr>
              <w:spacing w:before="0" w:after="0" w:line="259" w:lineRule="auto"/>
              <w:jc w:val="left"/>
            </w:pPr>
            <w:r/>
            <w:r>
              <w:rPr>
                <w:rFonts w:ascii="Calibri" w:hAnsi="Calibri"/>
                <w:b w:val="0"/>
                <w:i w:val="0"/>
                <w:color w:val="000000"/>
                <w:sz w:val="16"/>
              </w:rPr>
              <w:t>Élevée</w:t>
            </w:r>
          </w:p>
        </w:tc>
        <w:tc>
          <w:tcPr>
            <w:tcW w:type="dxa" w:w="3384"/>
            <w:vAlign w:val="center"/>
          </w:tcPr>
          <w:p>
            <w:pPr>
              <w:spacing w:before="0" w:after="0" w:line="259" w:lineRule="auto"/>
              <w:jc w:val="left"/>
            </w:pPr>
            <w:r/>
            <w:r>
              <w:rPr>
                <w:rFonts w:ascii="Calibri" w:hAnsi="Calibri"/>
                <w:b w:val="0"/>
                <w:i w:val="0"/>
                <w:color w:val="000000"/>
                <w:sz w:val="16"/>
              </w:rPr>
              <w:t>Obtenir fichiers aller/retour et données anonymisées.</w:t>
            </w:r>
          </w:p>
        </w:tc>
        <w:tc>
          <w:tcPr>
            <w:tcW w:type="dxa" w:w="1742"/>
            <w:vAlign w:val="center"/>
          </w:tcPr>
          <w:p>
            <w:pPr>
              <w:spacing w:before="0" w:after="0" w:line="259" w:lineRule="auto"/>
              <w:jc w:val="left"/>
            </w:pPr>
            <w:r/>
            <w:r>
              <w:rPr>
                <w:rFonts w:ascii="Calibri" w:hAnsi="Calibri"/>
                <w:b w:val="0"/>
                <w:i w:val="0"/>
                <w:color w:val="000000"/>
                <w:sz w:val="16"/>
              </w:rPr>
              <w:t>APS</w:t>
            </w:r>
          </w:p>
        </w:tc>
      </w:tr>
      <w:tr>
        <w:trPr>
          <w:cantSplit/>
        </w:trPr>
        <w:tc>
          <w:tcPr>
            <w:tcW w:type="dxa" w:w="1872"/>
            <w:vAlign w:val="center"/>
          </w:tcPr>
          <w:p>
            <w:pPr>
              <w:spacing w:before="0" w:after="0" w:line="259" w:lineRule="auto"/>
              <w:jc w:val="left"/>
            </w:pPr>
            <w:r/>
            <w:r>
              <w:rPr>
                <w:rFonts w:ascii="Calibri" w:hAnsi="Calibri"/>
                <w:b w:val="0"/>
                <w:i w:val="0"/>
                <w:color w:val="000000"/>
                <w:sz w:val="16"/>
              </w:rPr>
              <w:t>Historique de mauvaise qualité</w:t>
            </w:r>
          </w:p>
        </w:tc>
        <w:tc>
          <w:tcPr>
            <w:tcW w:type="dxa" w:w="1181"/>
            <w:vAlign w:val="center"/>
          </w:tcPr>
          <w:p>
            <w:pPr>
              <w:spacing w:before="0" w:after="0" w:line="259" w:lineRule="auto"/>
              <w:jc w:val="left"/>
            </w:pPr>
            <w:r/>
            <w:r>
              <w:rPr>
                <w:rFonts w:ascii="Calibri" w:hAnsi="Calibri"/>
                <w:b w:val="0"/>
                <w:i w:val="0"/>
                <w:color w:val="000000"/>
                <w:sz w:val="16"/>
              </w:rPr>
              <w:t>Élevé</w:t>
            </w:r>
          </w:p>
        </w:tc>
        <w:tc>
          <w:tcPr>
            <w:tcW w:type="dxa" w:w="1181"/>
            <w:vAlign w:val="center"/>
          </w:tcPr>
          <w:p>
            <w:pPr>
              <w:spacing w:before="0" w:after="0" w:line="259" w:lineRule="auto"/>
              <w:jc w:val="left"/>
            </w:pPr>
            <w:r/>
            <w:r>
              <w:rPr>
                <w:rFonts w:ascii="Calibri" w:hAnsi="Calibri"/>
                <w:b w:val="0"/>
                <w:i w:val="0"/>
                <w:color w:val="000000"/>
                <w:sz w:val="16"/>
              </w:rPr>
              <w:t>Moyenne</w:t>
            </w:r>
          </w:p>
        </w:tc>
        <w:tc>
          <w:tcPr>
            <w:tcW w:type="dxa" w:w="3384"/>
            <w:vAlign w:val="center"/>
          </w:tcPr>
          <w:p>
            <w:pPr>
              <w:spacing w:before="0" w:after="0" w:line="259" w:lineRule="auto"/>
              <w:jc w:val="left"/>
            </w:pPr>
            <w:r/>
            <w:r>
              <w:rPr>
                <w:rFonts w:ascii="Calibri" w:hAnsi="Calibri"/>
                <w:b w:val="0"/>
                <w:i w:val="0"/>
                <w:color w:val="000000"/>
                <w:sz w:val="16"/>
              </w:rPr>
              <w:t>Profilage, nettoyage, doublons et réconciliation.</w:t>
            </w:r>
          </w:p>
        </w:tc>
        <w:tc>
          <w:tcPr>
            <w:tcW w:type="dxa" w:w="1742"/>
            <w:vAlign w:val="center"/>
          </w:tcPr>
          <w:p>
            <w:pPr>
              <w:spacing w:before="0" w:after="0" w:line="259" w:lineRule="auto"/>
              <w:jc w:val="left"/>
            </w:pPr>
            <w:r/>
            <w:r>
              <w:rPr>
                <w:rFonts w:ascii="Calibri" w:hAnsi="Calibri"/>
                <w:b w:val="0"/>
                <w:i w:val="0"/>
                <w:color w:val="000000"/>
                <w:sz w:val="16"/>
              </w:rPr>
              <w:t>ESR / Développeur</w:t>
            </w:r>
          </w:p>
        </w:tc>
      </w:tr>
      <w:tr>
        <w:trPr>
          <w:cantSplit/>
        </w:trPr>
        <w:tc>
          <w:tcPr>
            <w:tcW w:type="dxa" w:w="1872"/>
            <w:vAlign w:val="center"/>
          </w:tcPr>
          <w:p>
            <w:pPr>
              <w:spacing w:before="0" w:after="0" w:line="259" w:lineRule="auto"/>
              <w:jc w:val="left"/>
            </w:pPr>
            <w:r/>
            <w:r>
              <w:rPr>
                <w:rFonts w:ascii="Calibri" w:hAnsi="Calibri"/>
                <w:b w:val="0"/>
                <w:i w:val="0"/>
                <w:color w:val="000000"/>
                <w:sz w:val="16"/>
              </w:rPr>
              <w:t>Paiement non contrôlé</w:t>
            </w:r>
          </w:p>
        </w:tc>
        <w:tc>
          <w:tcPr>
            <w:tcW w:type="dxa" w:w="1181"/>
            <w:vAlign w:val="center"/>
          </w:tcPr>
          <w:p>
            <w:pPr>
              <w:spacing w:before="0" w:after="0" w:line="259" w:lineRule="auto"/>
              <w:jc w:val="left"/>
            </w:pPr>
            <w:r/>
            <w:r>
              <w:rPr>
                <w:rFonts w:ascii="Calibri" w:hAnsi="Calibri"/>
                <w:b w:val="0"/>
                <w:i w:val="0"/>
                <w:color w:val="000000"/>
                <w:sz w:val="16"/>
              </w:rPr>
              <w:t>Élevé</w:t>
            </w:r>
          </w:p>
        </w:tc>
        <w:tc>
          <w:tcPr>
            <w:tcW w:type="dxa" w:w="1181"/>
            <w:vAlign w:val="center"/>
          </w:tcPr>
          <w:p>
            <w:pPr>
              <w:spacing w:before="0" w:after="0" w:line="259" w:lineRule="auto"/>
              <w:jc w:val="left"/>
            </w:pPr>
            <w:r/>
            <w:r>
              <w:rPr>
                <w:rFonts w:ascii="Calibri" w:hAnsi="Calibri"/>
                <w:b w:val="0"/>
                <w:i w:val="0"/>
                <w:color w:val="000000"/>
                <w:sz w:val="16"/>
              </w:rPr>
              <w:t>Moyenne</w:t>
            </w:r>
          </w:p>
        </w:tc>
        <w:tc>
          <w:tcPr>
            <w:tcW w:type="dxa" w:w="3384"/>
            <w:vAlign w:val="center"/>
          </w:tcPr>
          <w:p>
            <w:pPr>
              <w:spacing w:before="0" w:after="0" w:line="259" w:lineRule="auto"/>
              <w:jc w:val="left"/>
            </w:pPr>
            <w:r/>
            <w:r>
              <w:rPr>
                <w:rFonts w:ascii="Calibri" w:hAnsi="Calibri"/>
                <w:b w:val="0"/>
                <w:i w:val="0"/>
                <w:color w:val="000000"/>
                <w:sz w:val="16"/>
              </w:rPr>
              <w:t>Séparation saisie/validation/encaissement.</w:t>
            </w:r>
          </w:p>
        </w:tc>
        <w:tc>
          <w:tcPr>
            <w:tcW w:type="dxa" w:w="1742"/>
            <w:vAlign w:val="center"/>
          </w:tcPr>
          <w:p>
            <w:pPr>
              <w:spacing w:before="0" w:after="0" w:line="259" w:lineRule="auto"/>
              <w:jc w:val="left"/>
            </w:pPr>
            <w:r/>
            <w:r>
              <w:rPr>
                <w:rFonts w:ascii="Calibri" w:hAnsi="Calibri"/>
                <w:b w:val="0"/>
                <w:i w:val="0"/>
                <w:color w:val="000000"/>
                <w:sz w:val="16"/>
              </w:rPr>
              <w:t>Finance / ESR</w:t>
            </w:r>
          </w:p>
        </w:tc>
      </w:tr>
      <w:tr>
        <w:trPr>
          <w:cantSplit/>
        </w:trPr>
        <w:tc>
          <w:tcPr>
            <w:tcW w:type="dxa" w:w="1872"/>
            <w:vAlign w:val="center"/>
          </w:tcPr>
          <w:p>
            <w:pPr>
              <w:spacing w:before="0" w:after="0" w:line="259" w:lineRule="auto"/>
              <w:jc w:val="left"/>
            </w:pPr>
            <w:r/>
            <w:r>
              <w:rPr>
                <w:rFonts w:ascii="Calibri" w:hAnsi="Calibri"/>
                <w:b w:val="0"/>
                <w:i w:val="0"/>
                <w:color w:val="000000"/>
                <w:sz w:val="16"/>
              </w:rPr>
              <w:t>Absence de restauration testée</w:t>
            </w:r>
          </w:p>
        </w:tc>
        <w:tc>
          <w:tcPr>
            <w:tcW w:type="dxa" w:w="1181"/>
            <w:vAlign w:val="center"/>
          </w:tcPr>
          <w:p>
            <w:pPr>
              <w:spacing w:before="0" w:after="0" w:line="259" w:lineRule="auto"/>
              <w:jc w:val="left"/>
            </w:pPr>
            <w:r/>
            <w:r>
              <w:rPr>
                <w:rFonts w:ascii="Calibri" w:hAnsi="Calibri"/>
                <w:b w:val="0"/>
                <w:i w:val="0"/>
                <w:color w:val="000000"/>
                <w:sz w:val="16"/>
              </w:rPr>
              <w:t>Très élevé</w:t>
            </w:r>
          </w:p>
        </w:tc>
        <w:tc>
          <w:tcPr>
            <w:tcW w:type="dxa" w:w="1181"/>
            <w:vAlign w:val="center"/>
          </w:tcPr>
          <w:p>
            <w:pPr>
              <w:spacing w:before="0" w:after="0" w:line="259" w:lineRule="auto"/>
              <w:jc w:val="left"/>
            </w:pPr>
            <w:r/>
            <w:r>
              <w:rPr>
                <w:rFonts w:ascii="Calibri" w:hAnsi="Calibri"/>
                <w:b w:val="0"/>
                <w:i w:val="0"/>
                <w:color w:val="000000"/>
                <w:sz w:val="16"/>
              </w:rPr>
              <w:t>Moyenne</w:t>
            </w:r>
          </w:p>
        </w:tc>
        <w:tc>
          <w:tcPr>
            <w:tcW w:type="dxa" w:w="3384"/>
            <w:vAlign w:val="center"/>
          </w:tcPr>
          <w:p>
            <w:pPr>
              <w:spacing w:before="0" w:after="0" w:line="259" w:lineRule="auto"/>
              <w:jc w:val="left"/>
            </w:pPr>
            <w:r/>
            <w:r>
              <w:rPr>
                <w:rFonts w:ascii="Calibri" w:hAnsi="Calibri"/>
                <w:b w:val="0"/>
                <w:i w:val="0"/>
                <w:color w:val="000000"/>
                <w:sz w:val="16"/>
              </w:rPr>
              <w:t>Test PRA avant mise en service.</w:t>
            </w:r>
          </w:p>
        </w:tc>
        <w:tc>
          <w:tcPr>
            <w:tcW w:type="dxa" w:w="1742"/>
            <w:vAlign w:val="center"/>
          </w:tcPr>
          <w:p>
            <w:pPr>
              <w:spacing w:before="0" w:after="0" w:line="259" w:lineRule="auto"/>
              <w:jc w:val="left"/>
            </w:pPr>
            <w:r/>
            <w:r>
              <w:rPr>
                <w:rFonts w:ascii="Calibri" w:hAnsi="Calibri"/>
                <w:b w:val="0"/>
                <w:i w:val="0"/>
                <w:color w:val="000000"/>
                <w:sz w:val="16"/>
              </w:rPr>
              <w:t>DSI</w:t>
            </w:r>
          </w:p>
        </w:tc>
      </w:tr>
    </w:tbl>
    <w:p>
      <w:pPr>
        <w:spacing w:after="40"/>
      </w:pPr>
    </w:p>
    <w:p>
      <w:pPr>
        <w:pStyle w:val="Heading1"/>
        <w:keepNext/>
      </w:pPr>
      <w:r>
        <w:rPr>
          <w:rFonts w:ascii="Calibri" w:hAnsi="Calibri"/>
          <w:b/>
          <w:i w:val="0"/>
          <w:color w:val="2E74B5"/>
          <w:sz w:val="32"/>
        </w:rPr>
        <w:t>9. Tableau hebdomadaire de pilotage</w:t>
      </w:r>
    </w:p>
    <w:p>
      <w:pPr>
        <w:keepNext w:val="0"/>
        <w:spacing w:before="0" w:after="120" w:line="300" w:lineRule="auto"/>
        <w:jc w:val="left"/>
      </w:pPr>
      <w:r>
        <w:rPr>
          <w:rFonts w:ascii="Calibri" w:hAnsi="Calibri"/>
          <w:b w:val="0"/>
          <w:i w:val="0"/>
          <w:color w:val="000000"/>
          <w:sz w:val="22"/>
        </w:rPr>
        <w:t>À renseigner lors de chaque réunion de suivi. Une action n’est terminée que si la preuve associée est disponible : PV, capture, test, document validé ou rapport.</w:t>
      </w:r>
    </w:p>
    <w:tbl>
      <w:tblPr>
        <w:tblStyle w:val="TableGrid"/>
        <w:tblW w:type="dxa" w:w="9360"/>
        <w:jc w:val="left"/>
        <w:tblLayout w:type="fixed"/>
        <w:tblLook w:firstColumn="1" w:firstRow="1" w:lastColumn="0" w:lastRow="0" w:noHBand="0" w:noVBand="1" w:val="04A0"/>
        <w:tblInd w:w="120" w:type="dxa"/>
      </w:tblPr>
      <w:tblGrid>
        <w:gridCol w:w="504"/>
        <w:gridCol w:w="2232"/>
        <w:gridCol w:w="1440"/>
        <w:gridCol w:w="1037"/>
        <w:gridCol w:w="1699"/>
        <w:gridCol w:w="1080"/>
        <w:gridCol w:w="1368"/>
      </w:tblGrid>
      <w:tr>
        <w:trPr>
          <w:tblHeader w:val="true"/>
        </w:trPr>
        <w:tc>
          <w:tcPr>
            <w:tcW w:type="dxa" w:w="504"/>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N°</w:t>
            </w:r>
          </w:p>
        </w:tc>
        <w:tc>
          <w:tcPr>
            <w:tcW w:type="dxa" w:w="2232"/>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Action</w:t>
            </w:r>
          </w:p>
        </w:tc>
        <w:tc>
          <w:tcPr>
            <w:tcW w:type="dxa" w:w="1440"/>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Responsable</w:t>
            </w:r>
          </w:p>
        </w:tc>
        <w:tc>
          <w:tcPr>
            <w:tcW w:type="dxa" w:w="1037"/>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Échéance</w:t>
            </w:r>
          </w:p>
        </w:tc>
        <w:tc>
          <w:tcPr>
            <w:tcW w:type="dxa" w:w="1699"/>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Preuve attendue</w:t>
            </w:r>
          </w:p>
        </w:tc>
        <w:tc>
          <w:tcPr>
            <w:tcW w:type="dxa" w:w="1080"/>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Statut</w:t>
            </w:r>
          </w:p>
        </w:tc>
        <w:tc>
          <w:tcPr>
            <w:tcW w:type="dxa" w:w="1368"/>
            <w:tcMar>
              <w:top w:w="80" w:type="dxa"/>
              <w:start w:w="120" w:type="dxa"/>
              <w:bottom w:w="80" w:type="dxa"/>
              <w:end w:w="120" w:type="dxa"/>
            </w:tcMar>
            <w:shd w:fill="E8EEF5"/>
            <w:vAlign w:val="center"/>
          </w:tcPr>
          <w:p>
            <w:pPr>
              <w:spacing w:before="0" w:after="0" w:line="259" w:lineRule="auto"/>
              <w:jc w:val="center"/>
            </w:pPr>
            <w:r/>
            <w:r>
              <w:rPr>
                <w:rFonts w:ascii="Calibri" w:hAnsi="Calibri"/>
                <w:b/>
                <w:i w:val="0"/>
                <w:color w:val="17365D"/>
                <w:sz w:val="17"/>
              </w:rPr>
              <w:t>Blocage</w:t>
            </w:r>
          </w:p>
        </w:tc>
      </w:tr>
      <w:tr>
        <w:trPr>
          <w:cantSplit/>
        </w:trPr>
        <w:tc>
          <w:tcPr>
            <w:tcW w:type="dxa" w:w="504"/>
            <w:vAlign w:val="center"/>
          </w:tcPr>
          <w:p>
            <w:pPr>
              <w:spacing w:before="0" w:after="0" w:line="259" w:lineRule="auto"/>
              <w:jc w:val="left"/>
            </w:pPr>
            <w:r/>
            <w:r>
              <w:rPr>
                <w:rFonts w:ascii="Calibri" w:hAnsi="Calibri"/>
                <w:b w:val="0"/>
                <w:i w:val="0"/>
                <w:color w:val="000000"/>
                <w:sz w:val="15"/>
              </w:rPr>
              <w:t>1</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2</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3</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4</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5</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6</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7</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8</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9</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10</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11</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r>
        <w:trPr>
          <w:cantSplit/>
        </w:trPr>
        <w:tc>
          <w:tcPr>
            <w:tcW w:type="dxa" w:w="504"/>
            <w:vAlign w:val="center"/>
          </w:tcPr>
          <w:p>
            <w:pPr>
              <w:spacing w:before="0" w:after="0" w:line="259" w:lineRule="auto"/>
              <w:jc w:val="left"/>
            </w:pPr>
            <w:r/>
            <w:r>
              <w:rPr>
                <w:rFonts w:ascii="Calibri" w:hAnsi="Calibri"/>
                <w:b w:val="0"/>
                <w:i w:val="0"/>
                <w:color w:val="000000"/>
                <w:sz w:val="15"/>
              </w:rPr>
              <w:t>12</w:t>
            </w:r>
          </w:p>
        </w:tc>
        <w:tc>
          <w:tcPr>
            <w:tcW w:type="dxa" w:w="2232"/>
            <w:vAlign w:val="center"/>
          </w:tcPr>
          <w:p>
            <w:pPr>
              <w:spacing w:before="0" w:after="0" w:line="259" w:lineRule="auto"/>
              <w:jc w:val="left"/>
            </w:pPr>
            <w:r/>
            <w:r>
              <w:rPr>
                <w:rFonts w:ascii="Calibri" w:hAnsi="Calibri"/>
                <w:b w:val="0"/>
                <w:i w:val="0"/>
                <w:color w:val="000000"/>
                <w:sz w:val="15"/>
              </w:rPr>
            </w:r>
          </w:p>
        </w:tc>
        <w:tc>
          <w:tcPr>
            <w:tcW w:type="dxa" w:w="1440"/>
            <w:vAlign w:val="center"/>
          </w:tcPr>
          <w:p>
            <w:pPr>
              <w:spacing w:before="0" w:after="0" w:line="259" w:lineRule="auto"/>
              <w:jc w:val="left"/>
            </w:pPr>
            <w:r/>
            <w:r>
              <w:rPr>
                <w:rFonts w:ascii="Calibri" w:hAnsi="Calibri"/>
                <w:b w:val="0"/>
                <w:i w:val="0"/>
                <w:color w:val="000000"/>
                <w:sz w:val="15"/>
              </w:rPr>
            </w:r>
          </w:p>
        </w:tc>
        <w:tc>
          <w:tcPr>
            <w:tcW w:type="dxa" w:w="1037"/>
            <w:vAlign w:val="center"/>
          </w:tcPr>
          <w:p>
            <w:pPr>
              <w:spacing w:before="0" w:after="0" w:line="259" w:lineRule="auto"/>
              <w:jc w:val="left"/>
            </w:pPr>
            <w:r/>
            <w:r>
              <w:rPr>
                <w:rFonts w:ascii="Calibri" w:hAnsi="Calibri"/>
                <w:b w:val="0"/>
                <w:i w:val="0"/>
                <w:color w:val="000000"/>
                <w:sz w:val="15"/>
              </w:rPr>
            </w:r>
          </w:p>
        </w:tc>
        <w:tc>
          <w:tcPr>
            <w:tcW w:type="dxa" w:w="1699"/>
            <w:vAlign w:val="center"/>
          </w:tcPr>
          <w:p>
            <w:pPr>
              <w:spacing w:before="0" w:after="0" w:line="259" w:lineRule="auto"/>
              <w:jc w:val="left"/>
            </w:pPr>
            <w:r/>
            <w:r>
              <w:rPr>
                <w:rFonts w:ascii="Calibri" w:hAnsi="Calibri"/>
                <w:b w:val="0"/>
                <w:i w:val="0"/>
                <w:color w:val="000000"/>
                <w:sz w:val="15"/>
              </w:rPr>
            </w:r>
          </w:p>
        </w:tc>
        <w:tc>
          <w:tcPr>
            <w:tcW w:type="dxa" w:w="1080"/>
            <w:vAlign w:val="center"/>
          </w:tcPr>
          <w:p>
            <w:pPr>
              <w:spacing w:before="0" w:after="0" w:line="259" w:lineRule="auto"/>
              <w:jc w:val="left"/>
            </w:pPr>
            <w:r/>
            <w:r>
              <w:rPr>
                <w:rFonts w:ascii="Calibri" w:hAnsi="Calibri"/>
                <w:b w:val="0"/>
                <w:i w:val="0"/>
                <w:color w:val="000000"/>
                <w:sz w:val="15"/>
              </w:rPr>
              <w:t>À lancer</w:t>
            </w:r>
          </w:p>
        </w:tc>
        <w:tc>
          <w:tcPr>
            <w:tcW w:type="dxa" w:w="1368"/>
            <w:vAlign w:val="center"/>
          </w:tcPr>
          <w:p>
            <w:pPr>
              <w:spacing w:before="0" w:after="0" w:line="259" w:lineRule="auto"/>
              <w:jc w:val="left"/>
            </w:pPr>
            <w:r/>
            <w:r>
              <w:rPr>
                <w:rFonts w:ascii="Calibri" w:hAnsi="Calibri"/>
                <w:b w:val="0"/>
                <w:i w:val="0"/>
                <w:color w:val="000000"/>
                <w:sz w:val="15"/>
              </w:rPr>
            </w:r>
          </w:p>
        </w:tc>
      </w:tr>
    </w:tbl>
    <w:p>
      <w:pPr>
        <w:spacing w:after="40"/>
      </w:pPr>
    </w:p>
    <w:p>
      <w:r>
        <w:br w:type="page"/>
      </w:r>
    </w:p>
    <w:p>
      <w:pPr>
        <w:pStyle w:val="Heading1"/>
        <w:keepNext/>
      </w:pPr>
      <w:r>
        <w:rPr>
          <w:rFonts w:ascii="Calibri" w:hAnsi="Calibri"/>
          <w:b/>
          <w:i w:val="0"/>
          <w:color w:val="2E74B5"/>
          <w:sz w:val="32"/>
        </w:rPr>
        <w:t>10. Critères de mise en production</w:t>
      </w:r>
    </w:p>
    <w:p>
      <w:pPr>
        <w:pStyle w:val="ListBullet"/>
        <w:spacing w:after="80" w:line="300" w:lineRule="auto"/>
        <w:ind w:left="540" w:hanging="271"/>
      </w:pPr>
      <w:r>
        <w:rPr>
          <w:rFonts w:ascii="Calibri" w:hAnsi="Calibri"/>
          <w:b w:val="0"/>
          <w:i w:val="0"/>
          <w:color w:val="000000"/>
          <w:sz w:val="21"/>
        </w:rPr>
        <w:t>☐ Toutes les décisions bloquantes sont signées.</w:t>
      </w:r>
    </w:p>
    <w:p>
      <w:pPr>
        <w:pStyle w:val="ListBullet"/>
        <w:spacing w:after="80" w:line="300" w:lineRule="auto"/>
        <w:ind w:left="540" w:hanging="271"/>
      </w:pPr>
      <w:r>
        <w:rPr>
          <w:rFonts w:ascii="Calibri" w:hAnsi="Calibri"/>
          <w:b w:val="0"/>
          <w:i w:val="0"/>
          <w:color w:val="000000"/>
          <w:sz w:val="21"/>
        </w:rPr>
        <w:t>☐ Aucun calcul actuariel ne dépend d’un montant saisi manuellement sans contrôle.</w:t>
      </w:r>
    </w:p>
    <w:p>
      <w:pPr>
        <w:pStyle w:val="ListBullet"/>
        <w:spacing w:after="80" w:line="300" w:lineRule="auto"/>
        <w:ind w:left="540" w:hanging="271"/>
      </w:pPr>
      <w:r>
        <w:rPr>
          <w:rFonts w:ascii="Calibri" w:hAnsi="Calibri"/>
          <w:b w:val="0"/>
          <w:i w:val="0"/>
          <w:color w:val="000000"/>
          <w:sz w:val="21"/>
        </w:rPr>
        <w:t>☐ Les tests croisés respectent la tolérance maximale de 0,1 %.</w:t>
      </w:r>
    </w:p>
    <w:p>
      <w:pPr>
        <w:pStyle w:val="ListBullet"/>
        <w:spacing w:after="80" w:line="300" w:lineRule="auto"/>
        <w:ind w:left="540" w:hanging="271"/>
      </w:pPr>
      <w:r>
        <w:rPr>
          <w:rFonts w:ascii="Calibri" w:hAnsi="Calibri"/>
          <w:b w:val="0"/>
          <w:i w:val="0"/>
          <w:color w:val="000000"/>
          <w:sz w:val="21"/>
        </w:rPr>
        <w:t>☐ Les flux APS/DGI sont testés sur un aller-retour complet.</w:t>
      </w:r>
    </w:p>
    <w:p>
      <w:pPr>
        <w:pStyle w:val="ListBullet"/>
        <w:spacing w:after="80" w:line="300" w:lineRule="auto"/>
        <w:ind w:left="540" w:hanging="271"/>
      </w:pPr>
      <w:r>
        <w:rPr>
          <w:rFonts w:ascii="Calibri" w:hAnsi="Calibri"/>
          <w:b w:val="0"/>
          <w:i w:val="0"/>
          <w:color w:val="000000"/>
          <w:sz w:val="21"/>
        </w:rPr>
        <w:t>☐ Les paiements exigent les validations définies et alimentent correctement le compte ESR.</w:t>
      </w:r>
    </w:p>
    <w:p>
      <w:pPr>
        <w:pStyle w:val="ListBullet"/>
        <w:spacing w:after="80" w:line="300" w:lineRule="auto"/>
        <w:ind w:left="540" w:hanging="271"/>
      </w:pPr>
      <w:r>
        <w:rPr>
          <w:rFonts w:ascii="Calibri" w:hAnsi="Calibri"/>
          <w:b w:val="0"/>
          <w:i w:val="0"/>
          <w:color w:val="000000"/>
          <w:sz w:val="21"/>
        </w:rPr>
        <w:t>☐ Les prestations respectent les pièces, calculs, validations et délais.</w:t>
      </w:r>
    </w:p>
    <w:p>
      <w:pPr>
        <w:pStyle w:val="ListBullet"/>
        <w:spacing w:after="80" w:line="300" w:lineRule="auto"/>
        <w:ind w:left="540" w:hanging="271"/>
      </w:pPr>
      <w:r>
        <w:rPr>
          <w:rFonts w:ascii="Calibri" w:hAnsi="Calibri"/>
          <w:b w:val="0"/>
          <w:i w:val="0"/>
          <w:color w:val="000000"/>
          <w:sz w:val="21"/>
        </w:rPr>
        <w:t>☐ Les états réglementaires sont réconciliés avec la base et la comptabilité.</w:t>
      </w:r>
    </w:p>
    <w:p>
      <w:pPr>
        <w:pStyle w:val="ListBullet"/>
        <w:spacing w:after="80" w:line="300" w:lineRule="auto"/>
        <w:ind w:left="540" w:hanging="271"/>
      </w:pPr>
      <w:r>
        <w:rPr>
          <w:rFonts w:ascii="Calibri" w:hAnsi="Calibri"/>
          <w:b w:val="0"/>
          <w:i w:val="0"/>
          <w:color w:val="000000"/>
          <w:sz w:val="21"/>
        </w:rPr>
        <w:t>☐ Les rôles et droits ont été testés pour chaque profil.</w:t>
      </w:r>
    </w:p>
    <w:p>
      <w:pPr>
        <w:pStyle w:val="ListBullet"/>
        <w:spacing w:after="80" w:line="300" w:lineRule="auto"/>
        <w:ind w:left="540" w:hanging="271"/>
      </w:pPr>
      <w:r>
        <w:rPr>
          <w:rFonts w:ascii="Calibri" w:hAnsi="Calibri"/>
          <w:b w:val="0"/>
          <w:i w:val="0"/>
          <w:color w:val="000000"/>
          <w:sz w:val="21"/>
        </w:rPr>
        <w:t>☐ La sauvegarde et la restauration ont été testées avec succès.</w:t>
      </w:r>
    </w:p>
    <w:p>
      <w:pPr>
        <w:pStyle w:val="ListBullet"/>
        <w:spacing w:after="80" w:line="300" w:lineRule="auto"/>
        <w:ind w:left="540" w:hanging="271"/>
      </w:pPr>
      <w:r>
        <w:rPr>
          <w:rFonts w:ascii="Calibri" w:hAnsi="Calibri"/>
          <w:b w:val="0"/>
          <w:i w:val="0"/>
          <w:color w:val="000000"/>
          <w:sz w:val="21"/>
        </w:rPr>
        <w:t>☐ Le PV de recette, les guides et le plan de retour arrière sont validés.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2F0D9"/>
          </w:tcPr>
          <w:p>
            <w:pPr>
              <w:spacing w:after="40" w:line="276" w:lineRule="auto"/>
            </w:pPr>
            <w:r/>
            <w:r>
              <w:rPr>
                <w:rFonts w:ascii="Calibri" w:hAnsi="Calibri"/>
                <w:b/>
                <w:i w:val="0"/>
                <w:color w:val="2E7D32"/>
                <w:sz w:val="21"/>
              </w:rPr>
              <w:t xml:space="preserve">RÈGLE DE PILOTAGE. </w:t>
            </w:r>
            <w:r>
              <w:rPr>
                <w:rFonts w:ascii="Calibri" w:hAnsi="Calibri"/>
                <w:b w:val="0"/>
                <w:i w:val="0"/>
                <w:color w:val="000000"/>
                <w:sz w:val="21"/>
              </w:rPr>
              <w:t>Le logiciel ne doit pas être déclaré finalisé parce que les écrans existent. La finalisation est atteinte lorsque les règles sont signées, les calculs réconciliés, les workflows contrôlés, les documents produits et la reprise après incident testée.</w:t>
            </w:r>
          </w:p>
        </w:tc>
      </w:tr>
    </w:tbl>
    <w:p>
      <w:pPr>
        <w:spacing w:after="20"/>
      </w:pPr>
    </w:p>
    <w:p>
      <w:pPr>
        <w:pStyle w:val="Heading1"/>
        <w:keepNext/>
      </w:pPr>
      <w:r>
        <w:rPr>
          <w:rFonts w:ascii="Calibri" w:hAnsi="Calibri"/>
          <w:b/>
          <w:i w:val="0"/>
          <w:color w:val="2E74B5"/>
          <w:sz w:val="32"/>
        </w:rPr>
        <w:t>11. Sources analysées</w:t>
      </w:r>
    </w:p>
    <w:p>
      <w:pPr>
        <w:pStyle w:val="ListBullet"/>
        <w:spacing w:after="80" w:line="300" w:lineRule="auto"/>
        <w:ind w:left="540" w:hanging="271"/>
      </w:pPr>
      <w:r>
        <w:rPr>
          <w:rFonts w:ascii="Calibri" w:hAnsi="Calibri"/>
          <w:b w:val="0"/>
          <w:i w:val="0"/>
          <w:color w:val="000000"/>
          <w:sz w:val="21"/>
        </w:rPr>
        <w:t>Compte rendu de réunion de présentation ESR — juin 2026.</w:t>
      </w:r>
    </w:p>
    <w:p>
      <w:pPr>
        <w:pStyle w:val="ListBullet"/>
        <w:spacing w:after="80" w:line="300" w:lineRule="auto"/>
        <w:ind w:left="540" w:hanging="271"/>
      </w:pPr>
      <w:r>
        <w:rPr>
          <w:rFonts w:ascii="Calibri" w:hAnsi="Calibri"/>
          <w:b w:val="0"/>
          <w:i w:val="0"/>
          <w:color w:val="000000"/>
          <w:sz w:val="21"/>
        </w:rPr>
        <w:t>Note technique MADGI Épargne Santé Retraite.</w:t>
      </w:r>
    </w:p>
    <w:p>
      <w:pPr>
        <w:pStyle w:val="ListBullet"/>
        <w:spacing w:after="80" w:line="300" w:lineRule="auto"/>
        <w:ind w:left="540" w:hanging="271"/>
      </w:pPr>
      <w:r>
        <w:rPr>
          <w:rFonts w:ascii="Calibri" w:hAnsi="Calibri"/>
          <w:b w:val="0"/>
          <w:i w:val="0"/>
          <w:color w:val="000000"/>
          <w:sz w:val="21"/>
        </w:rPr>
        <w:t>Module Cotisation Épargne Santé Retraite MADGI 2.xlsm.</w:t>
      </w:r>
    </w:p>
    <w:p>
      <w:pPr>
        <w:pStyle w:val="ListBullet"/>
        <w:spacing w:after="80" w:line="300" w:lineRule="auto"/>
        <w:ind w:left="540" w:hanging="271"/>
      </w:pPr>
      <w:r>
        <w:rPr>
          <w:rFonts w:ascii="Calibri" w:hAnsi="Calibri"/>
          <w:b w:val="0"/>
          <w:i w:val="0"/>
          <w:color w:val="000000"/>
          <w:sz w:val="21"/>
        </w:rPr>
        <w:t>PM MADGI-ESR exemple.xlsx.</w:t>
      </w:r>
    </w:p>
    <w:p>
      <w:pPr>
        <w:pStyle w:val="ListBullet"/>
        <w:spacing w:after="80" w:line="300" w:lineRule="auto"/>
        <w:ind w:left="540" w:hanging="271"/>
      </w:pPr>
      <w:r>
        <w:rPr>
          <w:rFonts w:ascii="Calibri" w:hAnsi="Calibri"/>
          <w:b w:val="0"/>
          <w:i w:val="0"/>
          <w:color w:val="000000"/>
          <w:sz w:val="21"/>
        </w:rPr>
        <w:t>Rachat total ESR.xlsx.</w:t>
      </w:r>
    </w:p>
    <w:p>
      <w:pPr>
        <w:pStyle w:val="ListBullet"/>
        <w:spacing w:after="80" w:line="300" w:lineRule="auto"/>
        <w:ind w:left="540" w:hanging="271"/>
      </w:pPr>
      <w:r>
        <w:rPr>
          <w:rFonts w:ascii="Calibri" w:hAnsi="Calibri"/>
          <w:b w:val="0"/>
          <w:i w:val="0"/>
          <w:color w:val="000000"/>
          <w:sz w:val="21"/>
        </w:rPr>
        <w:t>Capital décès agent en activité.xlsx.</w:t>
      </w:r>
    </w:p>
    <w:p>
      <w:pPr>
        <w:pStyle w:val="ListBullet"/>
        <w:spacing w:after="80" w:line="300" w:lineRule="auto"/>
        <w:ind w:left="540" w:hanging="271"/>
      </w:pPr>
      <w:r>
        <w:rPr>
          <w:rFonts w:ascii="Calibri" w:hAnsi="Calibri"/>
          <w:b w:val="0"/>
          <w:i w:val="0"/>
          <w:color w:val="000000"/>
          <w:sz w:val="21"/>
        </w:rPr>
        <w:t>Explication du remboursement du capital décès.docx.</w:t>
      </w:r>
    </w:p>
    <w:p>
      <w:pPr>
        <w:pStyle w:val="ListBullet"/>
        <w:spacing w:after="80" w:line="300" w:lineRule="auto"/>
        <w:ind w:left="540" w:hanging="271"/>
      </w:pPr>
      <w:r>
        <w:rPr>
          <w:rFonts w:ascii="Calibri" w:hAnsi="Calibri"/>
          <w:b w:val="0"/>
          <w:i w:val="0"/>
          <w:color w:val="000000"/>
          <w:sz w:val="21"/>
        </w:rPr>
        <w:t>Rapport des travaux de l’Équipe Projet — version définitive.</w:t>
      </w:r>
    </w:p>
    <w:p>
      <w:pPr>
        <w:pStyle w:val="ListBullet"/>
        <w:spacing w:after="80" w:line="300" w:lineRule="auto"/>
        <w:ind w:left="540" w:hanging="271"/>
      </w:pPr>
      <w:r>
        <w:rPr>
          <w:rFonts w:ascii="Calibri" w:hAnsi="Calibri"/>
          <w:b w:val="0"/>
          <w:i w:val="0"/>
          <w:color w:val="000000"/>
          <w:sz w:val="21"/>
        </w:rPr>
        <w:t>Dépôt applicatif MADGI ESR : frontend React et API Express/TypeScript.</w:t>
      </w:r>
    </w:p>
    <w:p>
      <w:pPr>
        <w:keepNext w:val="0"/>
        <w:spacing w:before="360" w:after="120" w:line="300" w:lineRule="auto"/>
        <w:jc w:val="center"/>
      </w:pPr>
      <w:r>
        <w:rPr>
          <w:rFonts w:ascii="Calibri" w:hAnsi="Calibri"/>
          <w:b w:val="0"/>
          <w:i/>
          <w:color w:val="666666"/>
          <w:sz w:val="19"/>
        </w:rPr>
        <w:t>Fin du document — prochaine mise à jour recommandée après la réunion d’arbitrage de la semaine 1.</w:t>
      </w:r>
    </w:p>
    <w:sectPr w:rsidR="00FC693F" w:rsidRPr="0006063C" w:rsidSect="00034616">
      <w:headerReference w:type="default" r:id="rId9"/>
      <w:footerReference w:type="default" r:id="rId10"/>
      <w:pgSz w:w="12240" w:h="15840"/>
      <w:pgMar w:top="1181" w:right="1440" w:bottom="1123"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b w:val="0"/>
        <w:i w:val="0"/>
        <w:color w:val="666666"/>
        <w:sz w:val="17"/>
      </w:rPr>
      <w:t xml:space="preserve">Document de pilotage interne  •  25 juillet 2026  •  Page </w:t>
    </w:r>
    <w:r>
      <w:rPr>
        <w:rFonts w:ascii="Calibri" w:hAnsi="Calibri"/>
        <w:b w:val="0"/>
        <w:i w:val="0"/>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6666"/>
        <w:sz w:val="17"/>
      </w:rPr>
      <w:t>MADGI — ÉPARGNE SANTÉ RETRAITE  |  BOUSSOLE DE FINALISATION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