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B529F"/>
          <w:sz w:val="64"/>
          <w:szCs w:val="64"/>
        </w:rPr>
        <w:t xml:space="preserve">MADGI ESR</w:t>
      </w:r>
    </w:p>
    <w:p>
      <w:pPr>
        <w:spacing w:after="100" w:before="200"/>
        <w:jc w:val="center"/>
      </w:pPr>
      <w:r>
        <w:rPr>
          <w:i/>
          <w:iCs/>
          <w:color w:val="595959"/>
          <w:sz w:val="30"/>
          <w:szCs w:val="30"/>
        </w:rPr>
        <w:t xml:space="preserve">Épargne Santé Retraite</w:t>
      </w:r>
    </w:p>
    <w:p>
      <w:pPr>
        <w:spacing w:after="100" w:before="500"/>
        <w:jc w:val="center"/>
      </w:pPr>
      <w:r>
        <w:rPr>
          <w:b/>
          <w:bCs/>
          <w:sz w:val="34"/>
          <w:szCs w:val="34"/>
        </w:rPr>
        <w:t xml:space="preserve">Guide de présentation de la plateforme</w:t>
      </w:r>
    </w:p>
    <w:p>
      <w:pPr>
        <w:spacing w:after="100" w:before="100"/>
        <w:jc w:val="center"/>
      </w:pPr>
      <w:r>
        <w:rPr>
          <w:color w:val="595959"/>
          <w:sz w:val="22"/>
          <w:szCs w:val="22"/>
        </w:rPr>
        <w:t xml:space="preserve">Support de séance à suivre pas à pas</w:t>
      </w:r>
    </w:p>
    <w:p>
      <w:pPr>
        <w:spacing w:before="800"/>
        <w:jc w:val="center"/>
      </w:pPr>
      <w:r>
        <w:rPr>
          <w:b/>
          <w:bCs/>
          <w:color w:val="2B529F"/>
          <w:sz w:val="24"/>
          <w:szCs w:val="24"/>
        </w:rPr>
        <w:t xml:space="preserve">Séance de démonstration — 11 août 2026</w:t>
      </w:r>
    </w:p>
    <w:p>
      <w:pPr>
        <w:spacing w:before="100"/>
        <w:jc w:val="center"/>
      </w:pPr>
      <w:r>
        <w:rPr>
          <w:color w:val="595959"/>
          <w:sz w:val="20"/>
          <w:szCs w:val="20"/>
        </w:rPr>
        <w:t xml:space="preserve">Mutuelle des Agents de la Direction Générale des Impôts</w:t>
      </w:r>
    </w:p>
    <w:p>
      <w:r>
        <w:br w:type="page"/>
      </w:r>
    </w:p>
    <w:p>
      <w:pPr>
        <w:pStyle w:val="Heading1"/>
        <w:spacing w:after="160" w:before="36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Objectif de la séance</w:t>
      </w:r>
    </w:p>
    <w:p>
      <w:pPr>
        <w:spacing w:after="120"/>
      </w:pPr>
      <w:r>
        <w:t xml:space="preserve">Cette séance a pour but de présenter la plateforme MADGI ESR aux parties prenantes du projet : montrer les fonctionnalités disponibles pour chaque profil d'utilisateur, partager l'état d'avancement réel du chantier, et recueillir les validations métier encore nécessaires avant la mise en production.</w:t>
      </w:r>
    </w:p>
    <w:p>
      <w:pPr>
        <w:pStyle w:val="Heading2"/>
        <w:spacing w:after="120" w:before="260"/>
      </w:pPr>
      <w:r>
        <w:t xml:space="preserve">Objectifs pédagogiques</w:t>
      </w:r>
    </w:p>
    <w:p>
      <w:pPr>
        <w:pStyle w:val="ListParagraph"/>
        <w:numPr>
          <w:ilvl w:val="0"/>
          <w:numId w:val="1"/>
        </w:numPr>
        <w:spacing w:after="80"/>
      </w:pPr>
      <w:r>
        <w:t xml:space="preserve">Faire découvrir la plateforme et son ergonomie aux personnes présentes.</w:t>
      </w:r>
    </w:p>
    <w:p>
      <w:pPr>
        <w:pStyle w:val="ListParagraph"/>
        <w:numPr>
          <w:ilvl w:val="0"/>
          <w:numId w:val="1"/>
        </w:numPr>
        <w:spacing w:after="80"/>
      </w:pPr>
      <w:r>
        <w:t xml:space="preserve">Démontrer le parcours complet : adhésion, cotisation, compte individuel, prestation, reporting.</w:t>
      </w:r>
    </w:p>
    <w:p>
      <w:pPr>
        <w:pStyle w:val="ListParagraph"/>
        <w:numPr>
          <w:ilvl w:val="0"/>
          <w:numId w:val="1"/>
        </w:numPr>
        <w:spacing w:after="80"/>
      </w:pPr>
      <w:r>
        <w:t xml:space="preserve">Mettre en avant les garanties de sécurité et de contrôle intégrées à l'outil.</w:t>
      </w:r>
    </w:p>
    <w:p>
      <w:pPr>
        <w:pStyle w:val="ListParagraph"/>
        <w:numPr>
          <w:ilvl w:val="0"/>
          <w:numId w:val="1"/>
        </w:numPr>
        <w:spacing w:after="80"/>
      </w:pPr>
      <w:r>
        <w:t xml:space="preserve">Présenter honnêtement ce qui est terminé, ce qui est réalisé techniquement mais en attente de validation, et ce qu'il reste à faire.</w:t>
      </w:r>
    </w:p>
    <w:p>
      <w:pPr>
        <w:pStyle w:val="ListParagraph"/>
        <w:numPr>
          <w:ilvl w:val="0"/>
          <w:numId w:val="1"/>
        </w:numPr>
        <w:spacing w:after="80"/>
      </w:pPr>
      <w:r>
        <w:t xml:space="preserve">Obtenir un accord sur les prochaines étapes et les responsables de chaque validation.</w:t>
      </w:r>
    </w:p>
    <w:p>
      <w:pPr>
        <w:pStyle w:val="Heading2"/>
        <w:spacing w:after="120" w:before="260"/>
      </w:pPr>
      <w:r>
        <w:t xml:space="preserve">Public visé</w:t>
      </w:r>
    </w:p>
    <w:p>
      <w:pPr>
        <w:spacing w:after="120"/>
      </w:pPr>
      <w:r>
        <w:t xml:space="preserve">Direction, responsables ESR, gestionnaires, actuaire, DSI — à ajuster selon les personnes réellement présentes demain.</w:t>
      </w:r>
    </w:p>
    <w:p>
      <w:pPr>
        <w:pStyle w:val="Heading2"/>
        <w:spacing w:after="120" w:before="260"/>
      </w:pPr>
      <w:r>
        <w:t xml:space="preserve">Durée indicative</w:t>
      </w:r>
    </w:p>
    <w:p>
      <w:pPr>
        <w:spacing w:after="120"/>
      </w:pPr>
      <w:r>
        <w:t xml:space="preserve">Environ 60 minutes : 20 minutes de présentation, 30 minutes de démonstration guidée, 10 minutes de questions/réponses. Le minutage est donné à titre indicatif et peut être adapté sur place.</w:t>
      </w:r>
    </w:p>
    <w:p>
      <w:pPr>
        <w:pStyle w:val="Heading1"/>
        <w:spacing w:after="160" w:before="360"/>
      </w:pPr>
      <w:r>
        <w:t xml:space="preserve">2. Plan de la séance</w:t>
      </w:r>
    </w:p>
    <w:p>
      <w:pPr>
        <w:spacing w:after="120"/>
      </w:pPr>
      <w:r>
        <w:t xml:space="preserve">Utilisez ce tableau comme fil conducteur pendant la présentation ; chaque ligne correspond à une section de ce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50"/>
      </w:tblGrid>
      <w:tr>
        <w:trPr>
          <w:tblHeader/>
        </w:trPr>
        <w:tc>
          <w:tcPr>
            <w:tcW w:type="dxa" w:w="900"/>
            <w:shd w:fill="2B529F" w:val="clear"/>
            <w:tcMar>
              <w:top w:type="dxa" w:w="100"/>
              <w:left w:type="dxa" w:w="120"/>
              <w:bottom w:type="dxa" w:w="100"/>
              <w:right w:type="dxa" w:w="120"/>
            </w:tcMar>
            <w:vAlign w:val="center"/>
          </w:tcPr>
          <w:p>
            <w:r>
              <w:rPr>
                <w:b/>
                <w:bCs/>
                <w:color w:val="FFFFFF"/>
                <w:sz w:val="20"/>
                <w:szCs w:val="20"/>
              </w:rPr>
              <w:t xml:space="preserve">Étape</w:t>
            </w:r>
          </w:p>
        </w:tc>
        <w:tc>
          <w:tcPr>
            <w:tcW w:type="dxa" w:w="5500"/>
            <w:shd w:fill="2B529F" w:val="clear"/>
            <w:tcMar>
              <w:top w:type="dxa" w:w="100"/>
              <w:left w:type="dxa" w:w="120"/>
              <w:bottom w:type="dxa" w:w="100"/>
              <w:right w:type="dxa" w:w="120"/>
            </w:tcMar>
            <w:vAlign w:val="center"/>
          </w:tcPr>
          <w:p>
            <w:r>
              <w:rPr>
                <w:b/>
                <w:bCs/>
                <w:color w:val="FFFFFF"/>
                <w:sz w:val="20"/>
                <w:szCs w:val="20"/>
              </w:rPr>
              <w:t xml:space="preserve">Contenu</w:t>
            </w:r>
          </w:p>
        </w:tc>
        <w:tc>
          <w:tcPr>
            <w:tcW w:type="dxa" w:w="2950"/>
            <w:shd w:fill="2B529F" w:val="clear"/>
            <w:tcMar>
              <w:top w:type="dxa" w:w="100"/>
              <w:left w:type="dxa" w:w="120"/>
              <w:bottom w:type="dxa" w:w="100"/>
              <w:right w:type="dxa" w:w="120"/>
            </w:tcMar>
            <w:vAlign w:val="center"/>
          </w:tcPr>
          <w:p>
            <w:r>
              <w:rPr>
                <w:b/>
                <w:bCs/>
                <w:color w:val="FFFFFF"/>
                <w:sz w:val="20"/>
                <w:szCs w:val="20"/>
              </w:rPr>
              <w:t xml:space="preserve">Durée indicative</w:t>
            </w:r>
          </w:p>
        </w:tc>
      </w:tr>
      <w:tr>
        <w:tc>
          <w:tcPr>
            <w:tcW w:type="dxa" w:w="900"/>
            <w:tcMar>
              <w:top w:type="dxa" w:w="100"/>
              <w:left w:type="dxa" w:w="120"/>
              <w:bottom w:type="dxa" w:w="100"/>
              <w:right w:type="dxa" w:w="120"/>
            </w:tcMar>
            <w:vAlign w:val="center"/>
          </w:tcPr>
          <w:p>
            <w:r>
              <w:rPr>
                <w:b w:val="false"/>
                <w:bCs w:val="false"/>
                <w:sz w:val="20"/>
                <w:szCs w:val="20"/>
              </w:rPr>
              <w:t xml:space="preserve">1</w:t>
            </w:r>
          </w:p>
        </w:tc>
        <w:tc>
          <w:tcPr>
            <w:tcW w:type="dxa" w:w="5500"/>
            <w:tcMar>
              <w:top w:type="dxa" w:w="100"/>
              <w:left w:type="dxa" w:w="120"/>
              <w:bottom w:type="dxa" w:w="100"/>
              <w:right w:type="dxa" w:w="120"/>
            </w:tcMar>
            <w:vAlign w:val="center"/>
          </w:tcPr>
          <w:p>
            <w:r>
              <w:rPr>
                <w:b w:val="false"/>
                <w:bCs w:val="false"/>
                <w:sz w:val="20"/>
                <w:szCs w:val="20"/>
              </w:rPr>
              <w:t xml:space="preserve">Introduction et contexte du projet</w:t>
            </w:r>
          </w:p>
        </w:tc>
        <w:tc>
          <w:tcPr>
            <w:tcW w:type="dxa" w:w="2950"/>
            <w:tcMar>
              <w:top w:type="dxa" w:w="100"/>
              <w:left w:type="dxa" w:w="120"/>
              <w:bottom w:type="dxa" w:w="100"/>
              <w:right w:type="dxa" w:w="120"/>
            </w:tcMar>
            <w:vAlign w:val="center"/>
          </w:tcPr>
          <w:p>
            <w:r>
              <w:rPr>
                <w:b w:val="false"/>
                <w:bCs w:val="false"/>
                <w:sz w:val="20"/>
                <w:szCs w:val="20"/>
              </w:rPr>
              <w:t xml:space="preserve">5 min</w:t>
            </w:r>
          </w:p>
        </w:tc>
      </w:tr>
      <w:tr>
        <w:tc>
          <w:tcPr>
            <w:tcW w:type="dxa" w:w="900"/>
            <w:shd w:fill="F2F5FA" w:val="clear"/>
            <w:tcMar>
              <w:top w:type="dxa" w:w="100"/>
              <w:left w:type="dxa" w:w="120"/>
              <w:bottom w:type="dxa" w:w="100"/>
              <w:right w:type="dxa" w:w="120"/>
            </w:tcMar>
            <w:vAlign w:val="center"/>
          </w:tcPr>
          <w:p>
            <w:r>
              <w:rPr>
                <w:b w:val="false"/>
                <w:bCs w:val="false"/>
                <w:sz w:val="20"/>
                <w:szCs w:val="20"/>
              </w:rPr>
              <w:t xml:space="preserve">2</w:t>
            </w:r>
          </w:p>
        </w:tc>
        <w:tc>
          <w:tcPr>
            <w:tcW w:type="dxa" w:w="5500"/>
            <w:shd w:fill="F2F5FA" w:val="clear"/>
            <w:tcMar>
              <w:top w:type="dxa" w:w="100"/>
              <w:left w:type="dxa" w:w="120"/>
              <w:bottom w:type="dxa" w:w="100"/>
              <w:right w:type="dxa" w:w="120"/>
            </w:tcMar>
            <w:vAlign w:val="center"/>
          </w:tcPr>
          <w:p>
            <w:r>
              <w:rPr>
                <w:b w:val="false"/>
                <w:bCs w:val="false"/>
                <w:sz w:val="20"/>
                <w:szCs w:val="20"/>
              </w:rPr>
              <w:t xml:space="preserve">Profils utilisateurs et parcours</w:t>
            </w:r>
          </w:p>
        </w:tc>
        <w:tc>
          <w:tcPr>
            <w:tcW w:type="dxa" w:w="2950"/>
            <w:shd w:fill="F2F5FA" w:val="clear"/>
            <w:tcMar>
              <w:top w:type="dxa" w:w="100"/>
              <w:left w:type="dxa" w:w="120"/>
              <w:bottom w:type="dxa" w:w="100"/>
              <w:right w:type="dxa" w:w="120"/>
            </w:tcMar>
            <w:vAlign w:val="center"/>
          </w:tcPr>
          <w:p>
            <w:r>
              <w:rPr>
                <w:b w:val="false"/>
                <w:bCs w:val="false"/>
                <w:sz w:val="20"/>
                <w:szCs w:val="20"/>
              </w:rPr>
              <w:t xml:space="preserve">5 min</w:t>
            </w:r>
          </w:p>
        </w:tc>
      </w:tr>
      <w:tr>
        <w:tc>
          <w:tcPr>
            <w:tcW w:type="dxa" w:w="900"/>
            <w:tcMar>
              <w:top w:type="dxa" w:w="100"/>
              <w:left w:type="dxa" w:w="120"/>
              <w:bottom w:type="dxa" w:w="100"/>
              <w:right w:type="dxa" w:w="120"/>
            </w:tcMar>
            <w:vAlign w:val="center"/>
          </w:tcPr>
          <w:p>
            <w:r>
              <w:rPr>
                <w:b w:val="false"/>
                <w:bCs w:val="false"/>
                <w:sz w:val="20"/>
                <w:szCs w:val="20"/>
              </w:rPr>
              <w:t xml:space="preserve">3</w:t>
            </w:r>
          </w:p>
        </w:tc>
        <w:tc>
          <w:tcPr>
            <w:tcW w:type="dxa" w:w="5500"/>
            <w:tcMar>
              <w:top w:type="dxa" w:w="100"/>
              <w:left w:type="dxa" w:w="120"/>
              <w:bottom w:type="dxa" w:w="100"/>
              <w:right w:type="dxa" w:w="120"/>
            </w:tcMar>
            <w:vAlign w:val="center"/>
          </w:tcPr>
          <w:p>
            <w:r>
              <w:rPr>
                <w:b w:val="false"/>
                <w:bCs w:val="false"/>
                <w:sz w:val="20"/>
                <w:szCs w:val="20"/>
              </w:rPr>
              <w:t xml:space="preserve">Démonstration guidée module par module</w:t>
            </w:r>
          </w:p>
        </w:tc>
        <w:tc>
          <w:tcPr>
            <w:tcW w:type="dxa" w:w="2950"/>
            <w:tcMar>
              <w:top w:type="dxa" w:w="100"/>
              <w:left w:type="dxa" w:w="120"/>
              <w:bottom w:type="dxa" w:w="100"/>
              <w:right w:type="dxa" w:w="120"/>
            </w:tcMar>
            <w:vAlign w:val="center"/>
          </w:tcPr>
          <w:p>
            <w:r>
              <w:rPr>
                <w:b w:val="false"/>
                <w:bCs w:val="false"/>
                <w:sz w:val="20"/>
                <w:szCs w:val="20"/>
              </w:rPr>
              <w:t xml:space="preserve">30 min</w:t>
            </w:r>
          </w:p>
        </w:tc>
      </w:tr>
      <w:tr>
        <w:tc>
          <w:tcPr>
            <w:tcW w:type="dxa" w:w="900"/>
            <w:shd w:fill="F2F5FA" w:val="clear"/>
            <w:tcMar>
              <w:top w:type="dxa" w:w="100"/>
              <w:left w:type="dxa" w:w="120"/>
              <w:bottom w:type="dxa" w:w="100"/>
              <w:right w:type="dxa" w:w="120"/>
            </w:tcMar>
            <w:vAlign w:val="center"/>
          </w:tcPr>
          <w:p>
            <w:r>
              <w:rPr>
                <w:b w:val="false"/>
                <w:bCs w:val="false"/>
                <w:sz w:val="20"/>
                <w:szCs w:val="20"/>
              </w:rPr>
              <w:t xml:space="preserve">4</w:t>
            </w:r>
          </w:p>
        </w:tc>
        <w:tc>
          <w:tcPr>
            <w:tcW w:type="dxa" w:w="5500"/>
            <w:shd w:fill="F2F5FA" w:val="clear"/>
            <w:tcMar>
              <w:top w:type="dxa" w:w="100"/>
              <w:left w:type="dxa" w:w="120"/>
              <w:bottom w:type="dxa" w:w="100"/>
              <w:right w:type="dxa" w:w="120"/>
            </w:tcMar>
            <w:vAlign w:val="center"/>
          </w:tcPr>
          <w:p>
            <w:r>
              <w:rPr>
                <w:b w:val="false"/>
                <w:bCs w:val="false"/>
                <w:sz w:val="20"/>
                <w:szCs w:val="20"/>
              </w:rPr>
              <w:t xml:space="preserve">Points forts et garanties de sécurité</w:t>
            </w:r>
          </w:p>
        </w:tc>
        <w:tc>
          <w:tcPr>
            <w:tcW w:type="dxa" w:w="2950"/>
            <w:shd w:fill="F2F5FA" w:val="clear"/>
            <w:tcMar>
              <w:top w:type="dxa" w:w="100"/>
              <w:left w:type="dxa" w:w="120"/>
              <w:bottom w:type="dxa" w:w="100"/>
              <w:right w:type="dxa" w:w="120"/>
            </w:tcMar>
            <w:vAlign w:val="center"/>
          </w:tcPr>
          <w:p>
            <w:r>
              <w:rPr>
                <w:b w:val="false"/>
                <w:bCs w:val="false"/>
                <w:sz w:val="20"/>
                <w:szCs w:val="20"/>
              </w:rPr>
              <w:t xml:space="preserve">5 min</w:t>
            </w:r>
          </w:p>
        </w:tc>
      </w:tr>
      <w:tr>
        <w:tc>
          <w:tcPr>
            <w:tcW w:type="dxa" w:w="900"/>
            <w:tcMar>
              <w:top w:type="dxa" w:w="100"/>
              <w:left w:type="dxa" w:w="120"/>
              <w:bottom w:type="dxa" w:w="100"/>
              <w:right w:type="dxa" w:w="120"/>
            </w:tcMar>
            <w:vAlign w:val="center"/>
          </w:tcPr>
          <w:p>
            <w:r>
              <w:rPr>
                <w:b w:val="false"/>
                <w:bCs w:val="false"/>
                <w:sz w:val="20"/>
                <w:szCs w:val="20"/>
              </w:rPr>
              <w:t xml:space="preserve">5</w:t>
            </w:r>
          </w:p>
        </w:tc>
        <w:tc>
          <w:tcPr>
            <w:tcW w:type="dxa" w:w="5500"/>
            <w:tcMar>
              <w:top w:type="dxa" w:w="100"/>
              <w:left w:type="dxa" w:w="120"/>
              <w:bottom w:type="dxa" w:w="100"/>
              <w:right w:type="dxa" w:w="120"/>
            </w:tcMar>
            <w:vAlign w:val="center"/>
          </w:tcPr>
          <w:p>
            <w:r>
              <w:rPr>
                <w:b w:val="false"/>
                <w:bCs w:val="false"/>
                <w:sz w:val="20"/>
                <w:szCs w:val="20"/>
              </w:rPr>
              <w:t xml:space="preserve">État d'avancement et prochaines étapes</w:t>
            </w:r>
          </w:p>
        </w:tc>
        <w:tc>
          <w:tcPr>
            <w:tcW w:type="dxa" w:w="2950"/>
            <w:tcMar>
              <w:top w:type="dxa" w:w="100"/>
              <w:left w:type="dxa" w:w="120"/>
              <w:bottom w:type="dxa" w:w="100"/>
              <w:right w:type="dxa" w:w="120"/>
            </w:tcMar>
            <w:vAlign w:val="center"/>
          </w:tcPr>
          <w:p>
            <w:r>
              <w:rPr>
                <w:b w:val="false"/>
                <w:bCs w:val="false"/>
                <w:sz w:val="20"/>
                <w:szCs w:val="20"/>
              </w:rPr>
              <w:t xml:space="preserve">10 min</w:t>
            </w:r>
          </w:p>
        </w:tc>
      </w:tr>
      <w:tr>
        <w:tc>
          <w:tcPr>
            <w:tcW w:type="dxa" w:w="900"/>
            <w:shd w:fill="F2F5FA" w:val="clear"/>
            <w:tcMar>
              <w:top w:type="dxa" w:w="100"/>
              <w:left w:type="dxa" w:w="120"/>
              <w:bottom w:type="dxa" w:w="100"/>
              <w:right w:type="dxa" w:w="120"/>
            </w:tcMar>
            <w:vAlign w:val="center"/>
          </w:tcPr>
          <w:p>
            <w:r>
              <w:rPr>
                <w:b w:val="false"/>
                <w:bCs w:val="false"/>
                <w:sz w:val="20"/>
                <w:szCs w:val="20"/>
              </w:rPr>
              <w:t xml:space="preserve">6</w:t>
            </w:r>
          </w:p>
        </w:tc>
        <w:tc>
          <w:tcPr>
            <w:tcW w:type="dxa" w:w="5500"/>
            <w:shd w:fill="F2F5FA" w:val="clear"/>
            <w:tcMar>
              <w:top w:type="dxa" w:w="100"/>
              <w:left w:type="dxa" w:w="120"/>
              <w:bottom w:type="dxa" w:w="100"/>
              <w:right w:type="dxa" w:w="120"/>
            </w:tcMar>
            <w:vAlign w:val="center"/>
          </w:tcPr>
          <w:p>
            <w:r>
              <w:rPr>
                <w:b w:val="false"/>
                <w:bCs w:val="false"/>
                <w:sz w:val="20"/>
                <w:szCs w:val="20"/>
              </w:rPr>
              <w:t xml:space="preserve">Questions et échanges</w:t>
            </w:r>
          </w:p>
        </w:tc>
        <w:tc>
          <w:tcPr>
            <w:tcW w:type="dxa" w:w="2950"/>
            <w:shd w:fill="F2F5FA" w:val="clear"/>
            <w:tcMar>
              <w:top w:type="dxa" w:w="100"/>
              <w:left w:type="dxa" w:w="120"/>
              <w:bottom w:type="dxa" w:w="100"/>
              <w:right w:type="dxa" w:w="120"/>
            </w:tcMar>
            <w:vAlign w:val="center"/>
          </w:tcPr>
          <w:p>
            <w:r>
              <w:rPr>
                <w:b w:val="false"/>
                <w:bCs w:val="false"/>
                <w:sz w:val="20"/>
                <w:szCs w:val="20"/>
              </w:rPr>
              <w:t xml:space="preserve">15 min</w:t>
            </w:r>
          </w:p>
        </w:tc>
      </w:tr>
    </w:tbl>
    <w:p>
      <w:pPr>
        <w:pStyle w:val="Heading1"/>
        <w:spacing w:after="160" w:before="360"/>
      </w:pPr>
      <w:r>
        <w:t xml:space="preserve">3. Message clé à retenir</w:t>
      </w:r>
    </w:p>
    <w:p>
      <w:pPr>
        <w:spacing w:after="120"/>
      </w:pPr>
      <w:r>
        <w:t xml:space="preserve">Une phrase à garder en tête pendant toute la présentation, à réutiliser en introduction et en conclusion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b w:val="false"/>
                <w:bCs w:val="false"/>
                <w:color w:val="B45309"/>
              </w:rPr>
              <w:t xml:space="preserve">« MADGI ESR digitalise l'intégralité du parcours Épargne Santé Retraite des agents de la DGI : de l'adhésion en ligne jusqu'au paiement des prestations, avec des calculs automatiques, tracés et contrôlés à chaque étape. Le socle technique est prêt et testé ; il reste à confirmer avec vous certains paramètres métier avant la mise en production. »</w:t>
            </w:r>
          </w:p>
        </w:tc>
      </w:tr>
    </w:tbl>
    <w:p>
      <w:pPr>
        <w:pStyle w:val="Heading1"/>
        <w:spacing w:after="160" w:before="360"/>
      </w:pPr>
      <w:r>
        <w:t xml:space="preserve">4. Contexte du projet</w:t>
      </w:r>
    </w:p>
    <w:p>
      <w:pPr>
        <w:pStyle w:val="Heading2"/>
        <w:spacing w:after="120" w:before="260"/>
      </w:pPr>
      <w:r>
        <w:t xml:space="preserve">Qu'est-ce que MADGI ESR ?</w:t>
      </w:r>
    </w:p>
    <w:p>
      <w:pPr>
        <w:spacing w:after="120"/>
      </w:pPr>
      <w:r>
        <w:t xml:space="preserve">MADGI ESR est l'application de gestion de l'Épargne Santé Retraite : adhésions, cotisations, précomptes DGI, comptes individuels, prestations, paiements, documents et reporting réglementaire CIMA.</w:t>
      </w:r>
    </w:p>
    <w:p>
      <w:pPr>
        <w:pStyle w:val="Heading2"/>
        <w:spacing w:after="120" w:before="260"/>
      </w:pPr>
      <w:r>
        <w:t xml:space="preserve">Le socle technique, en une phrase</w:t>
      </w:r>
    </w:p>
    <w:p>
      <w:pPr>
        <w:spacing w:after="120"/>
      </w:pPr>
      <w:r>
        <w:t xml:space="preserve">Une application web moderne et sécurisée (React), connectée à une base de données professionnelle (Supabase / PostgreSQL) via une interface serveur (Express), avec authentification par matricule et journal d'audit complet — inutile d'entrer dans le détail technique en séance, mais utile pour répondre à une question de la DSI.</w:t>
      </w:r>
    </w:p>
    <w:p>
      <w:pPr>
        <w:pStyle w:val="Heading2"/>
        <w:spacing w:after="120" w:before="260"/>
      </w:pPr>
      <w:r>
        <w:t xml:space="preserve">Le jeu de données de démonstration</w:t>
      </w:r>
    </w:p>
    <w:p>
      <w:pPr>
        <w:spacing w:after="120"/>
      </w:pPr>
      <w:r>
        <w:t xml:space="preserve">La démonstration utilise des profils et des données fictives pré-configurées (« Accès Démo ») afin de ne pas exposer de vraies informations d'adhérents. Précisez-le clairement à l'auditoire avant de commencer la démo : les montants affichés (ex. 12 adhérents actifs, 1 457 700 F CFA de cotisation trimestrielle) sont des exemples, pas des chiffres réels.</w:t>
      </w:r>
    </w:p>
    <w:p>
      <w:pPr>
        <w:pStyle w:val="Heading1"/>
        <w:spacing w:after="160" w:before="360"/>
      </w:pPr>
      <w:r>
        <w:t xml:space="preserve">5. Profils utilisateurs et parcours</w:t>
      </w:r>
    </w:p>
    <w:p>
      <w:pPr>
        <w:spacing w:after="120"/>
      </w:pPr>
      <w:r>
        <w:t xml:space="preserve">La plateforme adapte le menu et les écrans visibles selon le profil connecté. Ce tableau peut être projeté tel quel.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650"/>
      </w:tblGrid>
      <w:tr>
        <w:trPr>
          <w:tblHeader/>
        </w:trPr>
        <w:tc>
          <w:tcPr>
            <w:tcW w:type="dxa" w:w="2000"/>
            <w:shd w:fill="2B529F" w:val="clear"/>
            <w:tcMar>
              <w:top w:type="dxa" w:w="100"/>
              <w:left w:type="dxa" w:w="120"/>
              <w:bottom w:type="dxa" w:w="100"/>
              <w:right w:type="dxa" w:w="120"/>
            </w:tcMar>
            <w:vAlign w:val="center"/>
          </w:tcPr>
          <w:p>
            <w:r>
              <w:rPr>
                <w:b/>
                <w:bCs/>
                <w:color w:val="FFFFFF"/>
                <w:sz w:val="20"/>
                <w:szCs w:val="20"/>
              </w:rPr>
              <w:t xml:space="preserve">Profil</w:t>
            </w:r>
          </w:p>
        </w:tc>
        <w:tc>
          <w:tcPr>
            <w:tcW w:type="dxa" w:w="5700"/>
            <w:shd w:fill="2B529F" w:val="clear"/>
            <w:tcMar>
              <w:top w:type="dxa" w:w="100"/>
              <w:left w:type="dxa" w:w="120"/>
              <w:bottom w:type="dxa" w:w="100"/>
              <w:right w:type="dxa" w:w="120"/>
            </w:tcMar>
            <w:vAlign w:val="center"/>
          </w:tcPr>
          <w:p>
            <w:r>
              <w:rPr>
                <w:b/>
                <w:bCs/>
                <w:color w:val="FFFFFF"/>
                <w:sz w:val="20"/>
                <w:szCs w:val="20"/>
              </w:rPr>
              <w:t xml:space="preserve">Ce que le profil peut faire</w:t>
            </w:r>
          </w:p>
        </w:tc>
        <w:tc>
          <w:tcPr>
            <w:tcW w:type="dxa" w:w="1650"/>
            <w:shd w:fill="2B529F" w:val="clear"/>
            <w:tcMar>
              <w:top w:type="dxa" w:w="100"/>
              <w:left w:type="dxa" w:w="120"/>
              <w:bottom w:type="dxa" w:w="100"/>
              <w:right w:type="dxa" w:w="120"/>
            </w:tcMar>
            <w:vAlign w:val="center"/>
          </w:tcPr>
          <w:p>
            <w:r>
              <w:rPr>
                <w:b/>
                <w:bCs/>
                <w:color w:val="FFFFFF"/>
                <w:sz w:val="20"/>
                <w:szCs w:val="20"/>
              </w:rPr>
              <w:t xml:space="preserve">Espace</w:t>
            </w:r>
          </w:p>
        </w:tc>
      </w:tr>
      <w:tr>
        <w:tc>
          <w:tcPr>
            <w:tcW w:type="dxa" w:w="2000"/>
            <w:tcMar>
              <w:top w:type="dxa" w:w="100"/>
              <w:left w:type="dxa" w:w="120"/>
              <w:bottom w:type="dxa" w:w="100"/>
              <w:right w:type="dxa" w:w="120"/>
            </w:tcMar>
            <w:vAlign w:val="center"/>
          </w:tcPr>
          <w:p>
            <w:r>
              <w:rPr>
                <w:b w:val="false"/>
                <w:bCs w:val="false"/>
                <w:sz w:val="20"/>
                <w:szCs w:val="20"/>
              </w:rPr>
              <w:t xml:space="preserve">Adhérent</w:t>
            </w:r>
          </w:p>
        </w:tc>
        <w:tc>
          <w:tcPr>
            <w:tcW w:type="dxa" w:w="5700"/>
            <w:tcMar>
              <w:top w:type="dxa" w:w="100"/>
              <w:left w:type="dxa" w:w="120"/>
              <w:bottom w:type="dxa" w:w="100"/>
              <w:right w:type="dxa" w:w="120"/>
            </w:tcMar>
            <w:vAlign w:val="center"/>
          </w:tcPr>
          <w:p>
            <w:r>
              <w:rPr>
                <w:b w:val="false"/>
                <w:bCs w:val="false"/>
                <w:sz w:val="20"/>
                <w:szCs w:val="20"/>
              </w:rPr>
              <w:t xml:space="preserve">Consulter son profil, ses bénéficiaires et son compte ESR ; télécharger son avis annuel ; signaler une erreur au gestionnaire.</w:t>
            </w:r>
          </w:p>
        </w:tc>
        <w:tc>
          <w:tcPr>
            <w:tcW w:type="dxa" w:w="1650"/>
            <w:tcMar>
              <w:top w:type="dxa" w:w="100"/>
              <w:left w:type="dxa" w:w="120"/>
              <w:bottom w:type="dxa" w:w="100"/>
              <w:right w:type="dxa" w:w="120"/>
            </w:tcMar>
            <w:vAlign w:val="center"/>
          </w:tcPr>
          <w:p>
            <w:r>
              <w:rPr>
                <w:b w:val="false"/>
                <w:bCs w:val="false"/>
                <w:sz w:val="20"/>
                <w:szCs w:val="20"/>
              </w:rPr>
              <w:t xml:space="preserve">Espace dédié</w:t>
            </w:r>
          </w:p>
        </w:tc>
      </w:tr>
      <w:tr>
        <w:tc>
          <w:tcPr>
            <w:tcW w:type="dxa" w:w="2000"/>
            <w:shd w:fill="F2F5FA" w:val="clear"/>
            <w:tcMar>
              <w:top w:type="dxa" w:w="100"/>
              <w:left w:type="dxa" w:w="120"/>
              <w:bottom w:type="dxa" w:w="100"/>
              <w:right w:type="dxa" w:w="120"/>
            </w:tcMar>
            <w:vAlign w:val="center"/>
          </w:tcPr>
          <w:p>
            <w:r>
              <w:rPr>
                <w:b w:val="false"/>
                <w:bCs w:val="false"/>
                <w:sz w:val="20"/>
                <w:szCs w:val="20"/>
              </w:rPr>
              <w:t xml:space="preserve">Gestionnaire ESR</w:t>
            </w:r>
          </w:p>
        </w:tc>
        <w:tc>
          <w:tcPr>
            <w:tcW w:type="dxa" w:w="5700"/>
            <w:shd w:fill="F2F5FA" w:val="clear"/>
            <w:tcMar>
              <w:top w:type="dxa" w:w="100"/>
              <w:left w:type="dxa" w:w="120"/>
              <w:bottom w:type="dxa" w:w="100"/>
              <w:right w:type="dxa" w:w="120"/>
            </w:tcMar>
            <w:vAlign w:val="center"/>
          </w:tcPr>
          <w:p>
            <w:r>
              <w:rPr>
                <w:b w:val="false"/>
                <w:bCs w:val="false"/>
                <w:sz w:val="20"/>
                <w:szCs w:val="20"/>
              </w:rPr>
              <w:t xml:space="preserve">Gérer les adhérents, les cotisations, les précomptes, les prestations et les rachats au quotidien.</w:t>
            </w:r>
          </w:p>
        </w:tc>
        <w:tc>
          <w:tcPr>
            <w:tcW w:type="dxa" w:w="1650"/>
            <w:shd w:fill="F2F5FA" w:val="clear"/>
            <w:tcMar>
              <w:top w:type="dxa" w:w="100"/>
              <w:left w:type="dxa" w:w="120"/>
              <w:bottom w:type="dxa" w:w="100"/>
              <w:right w:type="dxa" w:w="120"/>
            </w:tcMar>
            <w:vAlign w:val="center"/>
          </w:tcPr>
          <w:p>
            <w:r>
              <w:rPr>
                <w:b w:val="false"/>
                <w:bCs w:val="false"/>
                <w:sz w:val="20"/>
                <w:szCs w:val="20"/>
              </w:rPr>
              <w:t xml:space="preserve">Interface complète</w:t>
            </w:r>
          </w:p>
        </w:tc>
      </w:tr>
      <w:tr>
        <w:tc>
          <w:tcPr>
            <w:tcW w:type="dxa" w:w="2000"/>
            <w:tcMar>
              <w:top w:type="dxa" w:w="100"/>
              <w:left w:type="dxa" w:w="120"/>
              <w:bottom w:type="dxa" w:w="100"/>
              <w:right w:type="dxa" w:w="120"/>
            </w:tcMar>
            <w:vAlign w:val="center"/>
          </w:tcPr>
          <w:p>
            <w:r>
              <w:rPr>
                <w:b w:val="false"/>
                <w:bCs w:val="false"/>
                <w:sz w:val="20"/>
                <w:szCs w:val="20"/>
              </w:rPr>
              <w:t xml:space="preserve">Administrateur</w:t>
            </w:r>
          </w:p>
        </w:tc>
        <w:tc>
          <w:tcPr>
            <w:tcW w:type="dxa" w:w="5700"/>
            <w:tcMar>
              <w:top w:type="dxa" w:w="100"/>
              <w:left w:type="dxa" w:w="120"/>
              <w:bottom w:type="dxa" w:w="100"/>
              <w:right w:type="dxa" w:w="120"/>
            </w:tcMar>
            <w:vAlign w:val="center"/>
          </w:tcPr>
          <w:p>
            <w:r>
              <w:rPr>
                <w:b w:val="false"/>
                <w:bCs w:val="false"/>
                <w:sz w:val="20"/>
                <w:szCs w:val="20"/>
              </w:rPr>
              <w:t xml:space="preserve">Configurer les paramètres métier, gérer les comptes utilisateurs, superviser la sécurité et les sauvegardes.</w:t>
            </w:r>
          </w:p>
        </w:tc>
        <w:tc>
          <w:tcPr>
            <w:tcW w:type="dxa" w:w="1650"/>
            <w:tcMar>
              <w:top w:type="dxa" w:w="100"/>
              <w:left w:type="dxa" w:w="120"/>
              <w:bottom w:type="dxa" w:w="100"/>
              <w:right w:type="dxa" w:w="120"/>
            </w:tcMar>
            <w:vAlign w:val="center"/>
          </w:tcPr>
          <w:p>
            <w:r>
              <w:rPr>
                <w:b w:val="false"/>
                <w:bCs w:val="false"/>
                <w:sz w:val="20"/>
                <w:szCs w:val="20"/>
              </w:rPr>
              <w:t xml:space="preserve">Interface complète</w:t>
            </w:r>
          </w:p>
        </w:tc>
      </w:tr>
      <w:tr>
        <w:tc>
          <w:tcPr>
            <w:tcW w:type="dxa" w:w="2000"/>
            <w:shd w:fill="F2F5FA" w:val="clear"/>
            <w:tcMar>
              <w:top w:type="dxa" w:w="100"/>
              <w:left w:type="dxa" w:w="120"/>
              <w:bottom w:type="dxa" w:w="100"/>
              <w:right w:type="dxa" w:w="120"/>
            </w:tcMar>
            <w:vAlign w:val="center"/>
          </w:tcPr>
          <w:p>
            <w:r>
              <w:rPr>
                <w:b w:val="false"/>
                <w:bCs w:val="false"/>
                <w:sz w:val="20"/>
                <w:szCs w:val="20"/>
              </w:rPr>
              <w:t xml:space="preserve">Superadministrateur</w:t>
            </w:r>
          </w:p>
        </w:tc>
        <w:tc>
          <w:tcPr>
            <w:tcW w:type="dxa" w:w="5700"/>
            <w:shd w:fill="F2F5FA" w:val="clear"/>
            <w:tcMar>
              <w:top w:type="dxa" w:w="100"/>
              <w:left w:type="dxa" w:w="120"/>
              <w:bottom w:type="dxa" w:w="100"/>
              <w:right w:type="dxa" w:w="120"/>
            </w:tcMar>
            <w:vAlign w:val="center"/>
          </w:tcPr>
          <w:p>
            <w:r>
              <w:rPr>
                <w:b w:val="false"/>
                <w:bCs w:val="false"/>
                <w:sz w:val="20"/>
                <w:szCs w:val="20"/>
              </w:rPr>
              <w:t xml:space="preserve">Intervenir uniquement sur les opérations exceptionnelles : configuration initiale, rotation des secrets, reprise après incident.</w:t>
            </w:r>
          </w:p>
        </w:tc>
        <w:tc>
          <w:tcPr>
            <w:tcW w:type="dxa" w:w="1650"/>
            <w:shd w:fill="F2F5FA" w:val="clear"/>
            <w:tcMar>
              <w:top w:type="dxa" w:w="100"/>
              <w:left w:type="dxa" w:w="120"/>
              <w:bottom w:type="dxa" w:w="100"/>
              <w:right w:type="dxa" w:w="120"/>
            </w:tcMar>
            <w:vAlign w:val="center"/>
          </w:tcPr>
          <w:p>
            <w:r>
              <w:rPr>
                <w:b w:val="false"/>
                <w:bCs w:val="false"/>
                <w:sz w:val="20"/>
                <w:szCs w:val="20"/>
              </w:rPr>
              <w:t xml:space="preserve">Interface complète</w:t>
            </w:r>
          </w:p>
        </w:tc>
      </w:tr>
    </w:tbl>
    <w:p>
      <w:pPr>
        <w:spacing w:after="160"/>
      </w:pPr>
    </w:p>
    <w:p>
      <w:pPr>
        <w:spacing w:after="120"/>
      </w:pPr>
      <w:r>
        <w:t xml:space="preserve">Astuce pour la démo : utilisez le bouton « Accès Démo » sur l'écran de connexion pour basculer instantanément entre les profils Adhérent, Gestionnaire et Administrateur sans ressaisir de mot de passe.</w:t>
      </w:r>
    </w:p>
    <w:p>
      <w:pPr>
        <w:pStyle w:val="Heading1"/>
        <w:spacing w:after="160" w:before="360"/>
      </w:pPr>
      <w:r>
        <w:t xml:space="preserve">6. Démonstration guidée, module par module</w:t>
      </w:r>
    </w:p>
    <w:p>
      <w:pPr>
        <w:spacing w:after="120"/>
      </w:pPr>
      <w:r>
        <w:t xml:space="preserve">Pour chaque module ci-dessous : le titre indique l'écran à ouvrir, « Ce que je montre » liste les actions à l'écran, « Ce que je dis » donne des éléments de discours prêts à l'emploi.</w:t>
      </w:r>
    </w:p>
    <w:p>
      <w:pPr>
        <w:pStyle w:val="Heading2"/>
        <w:spacing w:after="120" w:before="260"/>
      </w:pPr>
      <w:r>
        <w:t xml:space="preserve">6.1 Connexion et première connexion</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Écran de connexion par matricule.</w:t>
      </w:r>
    </w:p>
    <w:p>
      <w:pPr>
        <w:pStyle w:val="ListParagraph"/>
        <w:numPr>
          <w:ilvl w:val="1"/>
          <w:numId w:val="1"/>
        </w:numPr>
        <w:spacing w:after="80"/>
      </w:pPr>
      <w:r>
        <w:t xml:space="preserve">Bandeau « Première connexion ? » et « Mot de passe oublié ? ».</w:t>
      </w:r>
    </w:p>
    <w:p>
      <w:pPr>
        <w:pStyle w:val="ListParagraph"/>
        <w:numPr>
          <w:ilvl w:val="1"/>
          <w:numId w:val="1"/>
        </w:numPr>
        <w:spacing w:after="80"/>
      </w:pPr>
      <w:r>
        <w:t xml:space="preserve">Bouton « Accès Démo » pour basculer entre profils.</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La connexion se fait par matricule fonctionnaire — l'identifiant que l'agent connaît déjà. »</w:t>
      </w:r>
    </w:p>
    <w:p>
      <w:pPr>
        <w:pStyle w:val="ListParagraph"/>
        <w:numPr>
          <w:ilvl w:val="1"/>
          <w:numId w:val="1"/>
        </w:numPr>
        <w:spacing w:after="80"/>
      </w:pPr>
      <w:r>
        <w:t xml:space="preserve">« Lors de la toute première connexion, le mot de passe initial est le matricule ; l'adhérent doit ensuite définir un mot de passe personnel. »</w:t>
      </w:r>
    </w:p>
    <w:p>
      <w:pPr>
        <w:pStyle w:val="ListParagraph"/>
        <w:numPr>
          <w:ilvl w:val="1"/>
          <w:numId w:val="1"/>
        </w:numPr>
        <w:spacing w:after="80"/>
      </w:pPr>
      <w:r>
        <w:t xml:space="preserve">« En cas d'oubli, un lien de réinitialisation est envoyé par email, ce qui évite de faire reposer la sécurité sur la seule connaissance du matricule. »</w:t>
      </w:r>
    </w:p>
    <w:p>
      <w:pPr>
        <w:spacing w:after="120"/>
      </w:pPr>
      <w:r>
        <w:rPr>
          <w:b/>
          <w:bCs/>
        </w:rPr>
        <w:t xml:space="preserve">Point de vigilance : </w:t>
      </w:r>
      <w:r>
        <w:t xml:space="preserve">En production, l'OTP fixe est désactivé et un vrai fournisseur SMS est requis — ne pas laisser penser que le mode démo reflète la sécurité de production.</w:t>
      </w:r>
    </w:p>
    <w:p>
      <w:pPr>
        <w:pStyle w:val="Heading2"/>
        <w:spacing w:after="120" w:before="260"/>
      </w:pPr>
      <w:r>
        <w:t xml:space="preserve">6.2 Tableau de bord</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Indicateurs clés : adhérents actifs, cotisation trimestrielle, prestations, provision totale.</w:t>
      </w:r>
    </w:p>
    <w:p>
      <w:pPr>
        <w:pStyle w:val="ListParagraph"/>
        <w:numPr>
          <w:ilvl w:val="1"/>
          <w:numId w:val="1"/>
        </w:numPr>
        <w:spacing w:after="80"/>
      </w:pPr>
      <w:r>
        <w:t xml:space="preserve">Graphique capital acquis / provisions mathématiques.</w:t>
      </w:r>
    </w:p>
    <w:p>
      <w:pPr>
        <w:pStyle w:val="ListParagraph"/>
        <w:numPr>
          <w:ilvl w:val="1"/>
          <w:numId w:val="1"/>
        </w:numPr>
        <w:spacing w:after="80"/>
      </w:pPr>
      <w:r>
        <w:t xml:space="preserve">Listes des dernières cotisations et des dernières prestations.</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En un coup d'œil, le gestionnaire voit l'activité récente et l'état global du portefeuille. »</w:t>
      </w:r>
    </w:p>
    <w:p>
      <w:pPr>
        <w:pStyle w:val="ListParagraph"/>
        <w:numPr>
          <w:ilvl w:val="1"/>
          <w:numId w:val="1"/>
        </w:numPr>
        <w:spacing w:after="80"/>
      </w:pPr>
      <w:r>
        <w:t xml:space="preserve">« Ces chiffres sont ceux du jeu de démonstration, pas des données réelles. »</w:t>
      </w:r>
    </w:p>
    <w:p>
      <w:pPr>
        <w:pStyle w:val="Heading2"/>
        <w:spacing w:after="120" w:before="260"/>
      </w:pPr>
      <w:r>
        <w:t xml:space="preserve">6.3 Adhésions en ligne</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Formulaire public d'adhésion en ligne (parcours candidat).</w:t>
      </w:r>
    </w:p>
    <w:p>
      <w:pPr>
        <w:pStyle w:val="ListParagraph"/>
        <w:numPr>
          <w:ilvl w:val="1"/>
          <w:numId w:val="1"/>
        </w:numPr>
        <w:spacing w:after="80"/>
      </w:pPr>
      <w:r>
        <w:t xml:space="preserve">Écran gestionnaire de traitement des demandes reçues.</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Un agent peut initier son adhésion en ligne ; le gestionnaire instruit ensuite la demande avant validation. »</w:t>
      </w:r>
    </w:p>
    <w:p>
      <w:pPr>
        <w:pStyle w:val="Heading2"/>
        <w:spacing w:after="120" w:before="260"/>
      </w:pPr>
      <w:r>
        <w:t xml:space="preserve">6.4 Adhérents</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Liste des adhérents avec recherche et filtres.</w:t>
      </w:r>
    </w:p>
    <w:p>
      <w:pPr>
        <w:pStyle w:val="ListParagraph"/>
        <w:numPr>
          <w:ilvl w:val="1"/>
          <w:numId w:val="1"/>
        </w:numPr>
        <w:spacing w:after="80"/>
      </w:pPr>
      <w:r>
        <w:t xml:space="preserve">Préchargement automatique des informations agent par matricule.</w:t>
      </w:r>
    </w:p>
    <w:p>
      <w:pPr>
        <w:pStyle w:val="ListParagraph"/>
        <w:numPr>
          <w:ilvl w:val="1"/>
          <w:numId w:val="1"/>
        </w:numPr>
        <w:spacing w:after="80"/>
      </w:pPr>
      <w:r>
        <w:t xml:space="preserve">Fiche adhérent : profil, bénéficiaires, répartition en pourcentage.</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La recherche par matricule précharge les informations connues de l'agent, ce qui réduit la ressaisie et les erreurs. »</w:t>
      </w:r>
    </w:p>
    <w:p>
      <w:pPr>
        <w:pStyle w:val="ListParagraph"/>
        <w:numPr>
          <w:ilvl w:val="1"/>
          <w:numId w:val="1"/>
        </w:numPr>
        <w:spacing w:after="80"/>
      </w:pPr>
      <w:r>
        <w:t xml:space="preserve">« La répartition des bénéficiaires est contrôlée : le dossier ne peut être validé que si elle atteint exactement 100 %. »</w:t>
      </w:r>
    </w:p>
    <w:p>
      <w:pPr>
        <w:pStyle w:val="Heading2"/>
        <w:spacing w:after="120" w:before="260"/>
      </w:pPr>
      <w:r>
        <w:t xml:space="preserve">6.5 Cotisations</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Gestion des précomptes : génération et import du retour DGI.</w:t>
      </w:r>
    </w:p>
    <w:p>
      <w:pPr>
        <w:pStyle w:val="ListParagraph"/>
        <w:numPr>
          <w:ilvl w:val="1"/>
          <w:numId w:val="1"/>
        </w:numPr>
        <w:spacing w:after="80"/>
      </w:pPr>
      <w:r>
        <w:t xml:space="preserve">Régularisation de précompte.</w:t>
      </w:r>
    </w:p>
    <w:p>
      <w:pPr>
        <w:pStyle w:val="ListParagraph"/>
        <w:numPr>
          <w:ilvl w:val="1"/>
          <w:numId w:val="1"/>
        </w:numPr>
        <w:spacing w:after="80"/>
      </w:pPr>
      <w:r>
        <w:t xml:space="preserve">Cotisation spontanée : saisie manuelle avec circuit de contrôle.</w:t>
      </w:r>
    </w:p>
    <w:p>
      <w:pPr>
        <w:pStyle w:val="ListParagraph"/>
        <w:numPr>
          <w:ilvl w:val="1"/>
          <w:numId w:val="1"/>
        </w:numPr>
        <w:spacing w:after="80"/>
      </w:pPr>
      <w:r>
        <w:t xml:space="preserve">Liste des cotisations et clôture de période.</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Le précompte suit un cycle aller-retour avec la DGI : ce qui est encaissé, ce qui est en écart, et ce qui n'a pas été précompté sont traités séparément. »</w:t>
      </w:r>
    </w:p>
    <w:p>
      <w:pPr>
        <w:pStyle w:val="ListParagraph"/>
        <w:numPr>
          <w:ilvl w:val="1"/>
          <w:numId w:val="1"/>
        </w:numPr>
        <w:spacing w:after="80"/>
      </w:pPr>
      <w:r>
        <w:t xml:space="preserve">« Une cotisation spontanée passe par un circuit de contrôle avant d'être encaissée — on ne peut pas sauter une étape. »</w:t>
      </w:r>
    </w:p>
    <w:p>
      <w:pPr>
        <w:pStyle w:val="Heading2"/>
        <w:spacing w:after="120" w:before="260"/>
      </w:pPr>
      <w:r>
        <w:t xml:space="preserve">6.6 Prestations</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Ouverture d'un dossier de prestation (retraite, décès, invalidité).</w:t>
      </w:r>
    </w:p>
    <w:p>
      <w:pPr>
        <w:pStyle w:val="ListParagraph"/>
        <w:numPr>
          <w:ilvl w:val="1"/>
          <w:numId w:val="1"/>
        </w:numPr>
        <w:spacing w:after="80"/>
      </w:pPr>
      <w:r>
        <w:t xml:space="preserve">Ajout des pièces justificatives et mise en contrôle du dossier.</w:t>
      </w:r>
    </w:p>
    <w:p>
      <w:pPr>
        <w:pStyle w:val="ListParagraph"/>
        <w:numPr>
          <w:ilvl w:val="1"/>
          <w:numId w:val="1"/>
        </w:numPr>
        <w:spacing w:after="80"/>
      </w:pPr>
      <w:r>
        <w:t xml:space="preserve">Téléchargement de la liquidation au format PDF.</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Le montant d'une prestation n'est jamais saisi librement : il est calculé automatiquement à partir du compte de l'adhérent. »</w:t>
      </w:r>
    </w:p>
    <w:p>
      <w:pPr>
        <w:pStyle w:val="ListParagraph"/>
        <w:numPr>
          <w:ilvl w:val="1"/>
          <w:numId w:val="1"/>
        </w:numPr>
        <w:spacing w:after="80"/>
      </w:pPr>
      <w:r>
        <w:t xml:space="preserve">« Le dossier ne peut passer en contrôle que lorsqu'il est complet, et la liquidation suit une échéance réglementaire de 15 jours ouvrés. »</w:t>
      </w:r>
    </w:p>
    <w:p>
      <w:pPr>
        <w:pStyle w:val="Heading2"/>
        <w:spacing w:after="120" w:before="260"/>
      </w:pPr>
      <w:r>
        <w:t xml:space="preserve">6.7 Rachats et résiliations</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Simulation d'un rachat total sur un compte adhérent.</w:t>
      </w:r>
    </w:p>
    <w:p>
      <w:pPr>
        <w:pStyle w:val="ListParagraph"/>
        <w:numPr>
          <w:ilvl w:val="1"/>
          <w:numId w:val="1"/>
        </w:numPr>
        <w:spacing w:after="80"/>
      </w:pPr>
      <w:r>
        <w:t xml:space="preserve">Refus automatique si la demande est antérieure au délai minimum.</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Le calcul applique automatiquement les taux et le délai minimum en vigueur à la date de la demande. »</w:t>
      </w:r>
    </w:p>
    <w:p>
      <w:pPr>
        <w:pStyle w:val="Heading2"/>
        <w:spacing w:after="120" w:before="260"/>
      </w:pPr>
      <w:r>
        <w:t xml:space="preserve">6.8 Comptes individuels ESR</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Détail du compte : capital acquis, provision mathématique.</w:t>
      </w:r>
    </w:p>
    <w:p>
      <w:pPr>
        <w:pStyle w:val="ListParagraph"/>
        <w:numPr>
          <w:ilvl w:val="1"/>
          <w:numId w:val="1"/>
        </w:numPr>
        <w:spacing w:after="80"/>
      </w:pPr>
      <w:r>
        <w:t xml:space="preserve">Bouton de recalcul du compte.</w:t>
      </w:r>
    </w:p>
    <w:p>
      <w:pPr>
        <w:pStyle w:val="ListParagraph"/>
        <w:numPr>
          <w:ilvl w:val="1"/>
          <w:numId w:val="1"/>
        </w:numPr>
        <w:spacing w:after="80"/>
      </w:pPr>
      <w:r>
        <w:t xml:space="preserve">Téléchargement de l'avis annuel en PDF.</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Seules les cotisations réellement encaissées alimentent le capital et la provision — le compte ne peut pas être en avance sur l'argent effectivement reçu. »</w:t>
      </w:r>
    </w:p>
    <w:p>
      <w:pPr>
        <w:pStyle w:val="Heading2"/>
        <w:spacing w:after="120" w:before="260"/>
      </w:pPr>
      <w:r>
        <w:t xml:space="preserve">6.9 Reporting</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Navigation par catégories repliables : Listes, Montants, Autres.</w:t>
      </w:r>
    </w:p>
    <w:p>
      <w:pPr>
        <w:pStyle w:val="ListParagraph"/>
        <w:numPr>
          <w:ilvl w:val="1"/>
          <w:numId w:val="1"/>
        </w:numPr>
        <w:spacing w:after="80"/>
      </w:pPr>
      <w:r>
        <w:t xml:space="preserve">Exemples : liste des adhérents actifs, état CIMA C-20, capital restant dû par retraité, avis annuel.</w:t>
      </w:r>
    </w:p>
    <w:p>
      <w:pPr>
        <w:pStyle w:val="ListParagraph"/>
        <w:numPr>
          <w:ilvl w:val="1"/>
          <w:numId w:val="1"/>
        </w:numPr>
        <w:spacing w:after="80"/>
      </w:pPr>
      <w:r>
        <w:t xml:space="preserve">Export au format Excel.</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Le reporting réglementaire CIMA C-20 est calculé directement depuis les données de la base, sans ressaisie manuelle. »</w:t>
      </w:r>
    </w:p>
    <w:p>
      <w:pPr>
        <w:pStyle w:val="ListParagraph"/>
        <w:numPr>
          <w:ilvl w:val="1"/>
          <w:numId w:val="1"/>
        </w:numPr>
        <w:spacing w:after="80"/>
      </w:pPr>
      <w:r>
        <w:t xml:space="preserve">« Les états sont organisés par catégorie pour s'y retrouver facilement parmi la quinzaine de rapports disponibles. »</w:t>
      </w:r>
    </w:p>
    <w:p>
      <w:pPr>
        <w:pStyle w:val="Heading2"/>
        <w:spacing w:after="120" w:before="260"/>
      </w:pPr>
      <w:r>
        <w:t xml:space="preserve">6.10 Paramètres</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Écran des paramètres généraux ESR : taux garanti, frais de rente et de rachat, délai minimal de rachat, taux décès, invalidité, couverture retraite.</w:t>
      </w:r>
    </w:p>
    <w:p>
      <w:pPr>
        <w:pStyle w:val="ListParagraph"/>
        <w:numPr>
          <w:ilvl w:val="1"/>
          <w:numId w:val="1"/>
        </w:numPr>
        <w:spacing w:after="80"/>
      </w:pPr>
      <w:r>
        <w:t xml:space="preserve">Chaque paramètre est saisi avec une date d'effet.</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Un changement de taux ne s'applique qu'à partir de sa date d'effet ; les opérations passées restent calculées avec l'ancien taux. »</w:t>
      </w:r>
    </w:p>
    <w:p>
      <w:pPr>
        <w:pStyle w:val="ListParagraph"/>
        <w:numPr>
          <w:ilvl w:val="1"/>
          <w:numId w:val="1"/>
        </w:numPr>
        <w:spacing w:after="80"/>
      </w:pPr>
      <w:r>
        <w:t xml:space="preserve">« Ces réglages se font sans toucher au code de l'application — c'est un écran de configuration, pas une demande de développement. »</w:t>
      </w:r>
    </w:p>
    <w:p>
      <w:pPr>
        <w:pStyle w:val="Heading2"/>
        <w:spacing w:after="120" w:before="260"/>
      </w:pPr>
      <w:r>
        <w:t xml:space="preserve">6.11 Utilisateurs et accès</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Création, activation ou désactivation d'un compte utilisateur.</w:t>
      </w:r>
    </w:p>
    <w:p>
      <w:pPr>
        <w:pStyle w:val="ListParagraph"/>
        <w:numPr>
          <w:ilvl w:val="1"/>
          <w:numId w:val="1"/>
        </w:numPr>
        <w:spacing w:after="80"/>
      </w:pPr>
      <w:r>
        <w:t xml:space="preserve">Attribution d'un rôle (Adhérent, Gestionnaire, Administrateur).</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Chaque utilisateur reçoit le rôle minimal nécessaire à sa fonction, conformément au principe du moindre privilège. »</w:t>
      </w:r>
    </w:p>
    <w:p>
      <w:pPr>
        <w:pStyle w:val="Heading2"/>
        <w:spacing w:after="120" w:before="260"/>
      </w:pPr>
      <w:r>
        <w:t xml:space="preserve">6.12 Aide et supports</w:t>
      </w:r>
    </w:p>
    <w:p>
      <w:pPr>
        <w:pStyle w:val="ListParagraph"/>
        <w:numPr>
          <w:ilvl w:val="0"/>
          <w:numId w:val="1"/>
        </w:numPr>
        <w:spacing w:after="80"/>
      </w:pPr>
      <w:r>
        <w:rPr>
          <w:b/>
          <w:bCs/>
        </w:rPr>
        <w:t xml:space="preserve">Ce que je montre — </w:t>
      </w:r>
      <w:r>
        <w:t xml:space="preserve"/>
      </w:r>
    </w:p>
    <w:p>
      <w:pPr>
        <w:pStyle w:val="ListParagraph"/>
        <w:numPr>
          <w:ilvl w:val="1"/>
          <w:numId w:val="1"/>
        </w:numPr>
        <w:spacing w:after="80"/>
      </w:pPr>
      <w:r>
        <w:t xml:space="preserve">Foire aux questions organisée par rôle (Gestionnaire, Administrateur), avec un rappel des contrôles communs.</w:t>
      </w:r>
    </w:p>
    <w:p>
      <w:pPr>
        <w:pStyle w:val="ListParagraph"/>
        <w:numPr>
          <w:ilvl w:val="1"/>
          <w:numId w:val="1"/>
        </w:numPr>
        <w:spacing w:after="80"/>
      </w:pPr>
      <w:r>
        <w:t xml:space="preserve">Coordonnées du support technique.</w:t>
      </w:r>
    </w:p>
    <w:p>
      <w:pPr>
        <w:pStyle w:val="ListParagraph"/>
        <w:numPr>
          <w:ilvl w:val="0"/>
          <w:numId w:val="1"/>
        </w:numPr>
        <w:spacing w:after="80"/>
      </w:pPr>
      <w:r>
        <w:rPr>
          <w:b/>
          <w:bCs/>
        </w:rPr>
        <w:t xml:space="preserve">Ce que je dis — </w:t>
      </w:r>
      <w:r>
        <w:t xml:space="preserve"/>
      </w:r>
    </w:p>
    <w:p>
      <w:pPr>
        <w:pStyle w:val="ListParagraph"/>
        <w:numPr>
          <w:ilvl w:val="1"/>
          <w:numId w:val="1"/>
        </w:numPr>
        <w:spacing w:after="80"/>
      </w:pPr>
      <w:r>
        <w:t xml:space="preserve">« Ce module vient d'être enrichi à partir des guides utilisateurs officiels : chaque profil retrouve directement les réponses aux questions qui le concernent. »</w:t>
      </w:r>
    </w:p>
    <w:p>
      <w:pPr>
        <w:pStyle w:val="Heading1"/>
        <w:spacing w:after="160" w:before="360"/>
      </w:pPr>
      <w:r>
        <w:t xml:space="preserve">7. Points forts à mettre en avant</w:t>
      </w:r>
    </w:p>
    <w:p>
      <w:pPr>
        <w:pStyle w:val="ListParagraph"/>
        <w:numPr>
          <w:ilvl w:val="0"/>
          <w:numId w:val="1"/>
        </w:numPr>
        <w:spacing w:after="80"/>
      </w:pPr>
      <w:r>
        <w:rPr>
          <w:b/>
          <w:bCs/>
        </w:rPr>
        <w:t xml:space="preserve">Sécurité — </w:t>
      </w:r>
      <w:r>
        <w:t xml:space="preserve">authentification par matricule, mot de passe personnel obligatoire dès la première connexion, OTP en production, secrets jamais exposés au frontend.</w:t>
      </w:r>
    </w:p>
    <w:p>
      <w:pPr>
        <w:pStyle w:val="ListParagraph"/>
        <w:numPr>
          <w:ilvl w:val="0"/>
          <w:numId w:val="1"/>
        </w:numPr>
        <w:spacing w:after="80"/>
      </w:pPr>
      <w:r>
        <w:rPr>
          <w:b/>
          <w:bCs/>
        </w:rPr>
        <w:t xml:space="preserve">Traçabilité — </w:t>
      </w:r>
      <w:r>
        <w:t xml:space="preserve">journal d'audit sur les calculs, les paramètres, les paiements et les prestations ; rien ne se fait « en silence ».</w:t>
      </w:r>
    </w:p>
    <w:p>
      <w:pPr>
        <w:pStyle w:val="ListParagraph"/>
        <w:numPr>
          <w:ilvl w:val="0"/>
          <w:numId w:val="1"/>
        </w:numPr>
        <w:spacing w:after="80"/>
      </w:pPr>
      <w:r>
        <w:rPr>
          <w:b/>
          <w:bCs/>
        </w:rPr>
        <w:t xml:space="preserve">Contrôle des opérations — </w:t>
      </w:r>
      <w:r>
        <w:t xml:space="preserve">les transitions de statut sont imposées par le circuit (ex. impossible de passer directement de « saisi » à « encaissé »).</w:t>
      </w:r>
    </w:p>
    <w:p>
      <w:pPr>
        <w:pStyle w:val="ListParagraph"/>
        <w:numPr>
          <w:ilvl w:val="0"/>
          <w:numId w:val="1"/>
        </w:numPr>
        <w:spacing w:after="80"/>
      </w:pPr>
      <w:r>
        <w:rPr>
          <w:b/>
          <w:bCs/>
        </w:rPr>
        <w:t xml:space="preserve">Calculs fiables — </w:t>
      </w:r>
      <w:r>
        <w:t xml:space="preserve">les montants de prestations et de rachats sont calculés automatiquement, jamais saisis à la main.</w:t>
      </w:r>
    </w:p>
    <w:p>
      <w:pPr>
        <w:pStyle w:val="ListParagraph"/>
        <w:numPr>
          <w:ilvl w:val="0"/>
          <w:numId w:val="1"/>
        </w:numPr>
        <w:spacing w:after="80"/>
      </w:pPr>
      <w:r>
        <w:rPr>
          <w:b/>
          <w:bCs/>
        </w:rPr>
        <w:t xml:space="preserve">Autonomie de l’adhérent — </w:t>
      </w:r>
      <w:r>
        <w:t xml:space="preserve">consultation en libre-service du compte et des documents, ce qui réduit la charge des gestionnaires.</w:t>
      </w:r>
    </w:p>
    <w:p>
      <w:pPr>
        <w:pStyle w:val="ListParagraph"/>
        <w:numPr>
          <w:ilvl w:val="0"/>
          <w:numId w:val="1"/>
        </w:numPr>
        <w:spacing w:after="80"/>
      </w:pPr>
      <w:r>
        <w:rPr>
          <w:b/>
          <w:bCs/>
        </w:rPr>
        <w:t xml:space="preserve">Reporting réglementaire — </w:t>
      </w:r>
      <w:r>
        <w:t xml:space="preserve">l'état CIMA C-20 et une quinzaine d'autres états sont générés directement depuis les données, exportables en Excel.</w:t>
      </w:r>
    </w:p>
    <w:p>
      <w:pPr>
        <w:pStyle w:val="ListParagraph"/>
        <w:numPr>
          <w:ilvl w:val="0"/>
          <w:numId w:val="1"/>
        </w:numPr>
        <w:spacing w:after="80"/>
      </w:pPr>
      <w:r>
        <w:rPr>
          <w:b/>
          <w:bCs/>
        </w:rPr>
        <w:t xml:space="preserve">Sauvegardes vérifiées — </w:t>
      </w:r>
      <w:r>
        <w:t xml:space="preserve">export contrôlé de 15 tables avec empreintes de vérification, pour garantir une reprise fiable en cas d'incident.</w:t>
      </w:r>
    </w:p>
    <w:p>
      <w:pPr>
        <w:pStyle w:val="Heading1"/>
        <w:spacing w:after="160" w:before="360"/>
      </w:pPr>
      <w:r>
        <w:t xml:space="preserve">8. État d'avancement, en toute transparence</w:t>
      </w:r>
    </w:p>
    <w:p>
      <w:pPr>
        <w:spacing w:after="120"/>
      </w:pPr>
      <w:r>
        <w:t xml:space="preserve">Cette section est volontairement honnête : elle distingue ce qui est terminé, ce qui fonctionne mais attend une validation métier, et ce qui reste externe au développement. Elle permet d'anticiper les questions difficiles plutôt que de les subir.</w:t>
      </w:r>
    </w:p>
    <w:p>
      <w:pPr>
        <w:pStyle w:val="Heading2"/>
        <w:spacing w:after="120" w:before="260"/>
      </w:pPr>
      <w:r>
        <w:t xml:space="preserve">Réalisé et vérifié</w:t>
      </w:r>
    </w:p>
    <w:p>
      <w:pPr>
        <w:pStyle w:val="ListParagraph"/>
        <w:numPr>
          <w:ilvl w:val="0"/>
          <w:numId w:val="1"/>
        </w:numPr>
        <w:spacing w:after="80"/>
      </w:pPr>
      <w:r>
        <w:t xml:space="preserve">Paramètres actuariels versionnés par date d'effet.</w:t>
      </w:r>
    </w:p>
    <w:p>
      <w:pPr>
        <w:pStyle w:val="ListParagraph"/>
        <w:numPr>
          <w:ilvl w:val="0"/>
          <w:numId w:val="1"/>
        </w:numPr>
        <w:spacing w:after="80"/>
      </w:pPr>
      <w:r>
        <w:t xml:space="preserve">Moteur de cotisation trimestrielle et cotisation unique, avec un corpus de tests de référence.</w:t>
      </w:r>
    </w:p>
    <w:p>
      <w:pPr>
        <w:pStyle w:val="ListParagraph"/>
        <w:numPr>
          <w:ilvl w:val="0"/>
          <w:numId w:val="1"/>
        </w:numPr>
        <w:spacing w:after="80"/>
      </w:pPr>
      <w:r>
        <w:t xml:space="preserve">Provision individuelle recalculée à partir des cotisations réellement encaissées.</w:t>
      </w:r>
    </w:p>
    <w:p>
      <w:pPr>
        <w:pStyle w:val="ListParagraph"/>
        <w:numPr>
          <w:ilvl w:val="0"/>
          <w:numId w:val="1"/>
        </w:numPr>
        <w:spacing w:after="80"/>
      </w:pPr>
      <w:r>
        <w:t xml:space="preserve">Paiement spontané avec circuit de contrôle complet.</w:t>
      </w:r>
    </w:p>
    <w:p>
      <w:pPr>
        <w:pStyle w:val="ListParagraph"/>
        <w:numPr>
          <w:ilvl w:val="0"/>
          <w:numId w:val="1"/>
        </w:numPr>
        <w:spacing w:after="80"/>
      </w:pPr>
      <w:r>
        <w:t xml:space="preserve">Workflow des prestations (ouvert, contrôle, validé, payé) avec échéance de 15 jours ouvrés.</w:t>
      </w:r>
    </w:p>
    <w:p>
      <w:pPr>
        <w:pStyle w:val="ListParagraph"/>
        <w:numPr>
          <w:ilvl w:val="0"/>
          <w:numId w:val="1"/>
        </w:numPr>
        <w:spacing w:after="80"/>
      </w:pPr>
      <w:r>
        <w:t xml:space="preserve">Documents PDF : reçu, liquidation, avis annuel.</w:t>
      </w:r>
    </w:p>
    <w:p>
      <w:pPr>
        <w:pStyle w:val="ListParagraph"/>
        <w:numPr>
          <w:ilvl w:val="0"/>
          <w:numId w:val="1"/>
        </w:numPr>
        <w:spacing w:after="80"/>
      </w:pPr>
      <w:r>
        <w:t xml:space="preserve">Reporting CIMA C-20 et audit des opérations sensibles.</w:t>
      </w:r>
    </w:p>
    <w:p>
      <w:pPr>
        <w:pStyle w:val="ListParagraph"/>
        <w:numPr>
          <w:ilvl w:val="0"/>
          <w:numId w:val="1"/>
        </w:numPr>
        <w:spacing w:after="80"/>
      </w:pPr>
      <w:r>
        <w:t xml:space="preserve">Sauvegardes testées et documentation complète (architecture, exploitation, PRA, recette, guide utilisateurs).</w:t>
      </w:r>
    </w:p>
    <w:p>
      <w:pPr>
        <w:pStyle w:val="Heading2"/>
        <w:spacing w:after="120" w:before="260"/>
      </w:pPr>
      <w:r>
        <w:t xml:space="preserve">Réalisé techniquement, en attente de validation métier</w:t>
      </w:r>
    </w:p>
    <w:p>
      <w:pPr>
        <w:pStyle w:val="ListParagraph"/>
        <w:numPr>
          <w:ilvl w:val="0"/>
          <w:numId w:val="1"/>
        </w:numPr>
        <w:spacing w:after="80"/>
      </w:pPr>
      <w:r>
        <w:t xml:space="preserve">Rachat, décès et invalidité : le calcul existe et fonctionne, mais certains taux et règles doivent encore être confirmés formellement (voir section 9).</w:t>
      </w:r>
    </w:p>
    <w:p>
      <w:pPr>
        <w:pStyle w:val="ListParagraph"/>
        <w:numPr>
          <w:ilvl w:val="0"/>
          <w:numId w:val="1"/>
        </w:numPr>
        <w:spacing w:after="80"/>
      </w:pPr>
      <w:r>
        <w:t xml:space="preserve">Flux aller-retour avec la DGI : le mécanisme est en place, un test avec un fichier réel de retour DGI reste à faire.</w:t>
      </w:r>
    </w:p>
    <w:p>
      <w:pPr>
        <w:pStyle w:val="ListParagraph"/>
        <w:numPr>
          <w:ilvl w:val="0"/>
          <w:numId w:val="1"/>
        </w:numPr>
        <w:spacing w:after="80"/>
      </w:pPr>
      <w:r>
        <w:t xml:space="preserve">Modèles officiels des documents et des états : à faire valider par les équipes ESR et Finance.</w:t>
      </w:r>
    </w:p>
    <w:p>
      <w:pPr>
        <w:pStyle w:val="Heading2"/>
        <w:spacing w:after="120" w:before="260"/>
      </w:pPr>
      <w:r>
        <w:t xml:space="preserve">Hors du champ du développement</w:t>
      </w:r>
    </w:p>
    <w:p>
      <w:pPr>
        <w:pStyle w:val="ListParagraph"/>
        <w:numPr>
          <w:ilvl w:val="0"/>
          <w:numId w:val="1"/>
        </w:numPr>
        <w:spacing w:after="80"/>
      </w:pPr>
      <w:r>
        <w:t xml:space="preserve">Validation de l'architecture technique cible par la DSI.</w:t>
      </w:r>
    </w:p>
    <w:p>
      <w:pPr>
        <w:pStyle w:val="ListParagraph"/>
        <w:numPr>
          <w:ilvl w:val="0"/>
          <w:numId w:val="1"/>
        </w:numPr>
        <w:spacing w:after="80"/>
      </w:pPr>
      <w:r>
        <w:t xml:space="preserve">Fourniture des accès de test APS/SIAPS et des données historiques à migrer.</w:t>
      </w:r>
    </w:p>
    <w:p>
      <w:pPr>
        <w:pStyle w:val="ListParagraph"/>
        <w:numPr>
          <w:ilvl w:val="0"/>
          <w:numId w:val="1"/>
        </w:numPr>
        <w:spacing w:after="80"/>
      </w:pPr>
      <w:r>
        <w:t xml:space="preserve">Choix du périmètre de gestion des placements.</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b w:val="false"/>
                <w:bCs w:val="false"/>
                <w:color w:val="B45309"/>
              </w:rPr>
              <w:t xml:space="preserve">Message à faire passer : le socle logiciel est prêt pour une recette contrôlée. La mise en production n'est pas encore prononcée, dans l'attente des validations et pièces listées ci-dessus — ce n'est pas un retard du développement, c'est l'étape normale avant toute mise en service.</w:t>
            </w:r>
          </w:p>
        </w:tc>
      </w:tr>
    </w:tbl>
    <w:p>
      <w:pPr>
        <w:pStyle w:val="Heading1"/>
        <w:spacing w:after="160" w:before="360"/>
      </w:pPr>
      <w:r>
        <w:t xml:space="preserve">9. Décisions et validations attendues</w:t>
      </w:r>
    </w:p>
    <w:p>
      <w:pPr>
        <w:spacing w:after="120"/>
      </w:pPr>
      <w:r>
        <w:t xml:space="preserve">Ce tableau peut être projeté pour recueillir un engagement de date et de responsable sur chaque point pendant la séance.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1850"/>
      </w:tblGrid>
      <w:tr>
        <w:trPr>
          <w:tblHeader/>
        </w:trPr>
        <w:tc>
          <w:tcPr>
            <w:tcW w:type="dxa" w:w="3200"/>
            <w:shd w:fill="2B529F" w:val="clear"/>
            <w:tcMar>
              <w:top w:type="dxa" w:w="100"/>
              <w:left w:type="dxa" w:w="120"/>
              <w:bottom w:type="dxa" w:w="100"/>
              <w:right w:type="dxa" w:w="120"/>
            </w:tcMar>
            <w:vAlign w:val="center"/>
          </w:tcPr>
          <w:p>
            <w:r>
              <w:rPr>
                <w:b/>
                <w:bCs/>
                <w:color w:val="FFFFFF"/>
                <w:sz w:val="20"/>
                <w:szCs w:val="20"/>
              </w:rPr>
              <w:t xml:space="preserve">Sujet</w:t>
            </w:r>
          </w:p>
        </w:tc>
        <w:tc>
          <w:tcPr>
            <w:tcW w:type="dxa" w:w="4300"/>
            <w:shd w:fill="2B529F" w:val="clear"/>
            <w:tcMar>
              <w:top w:type="dxa" w:w="100"/>
              <w:left w:type="dxa" w:w="120"/>
              <w:bottom w:type="dxa" w:w="100"/>
              <w:right w:type="dxa" w:w="120"/>
            </w:tcMar>
            <w:vAlign w:val="center"/>
          </w:tcPr>
          <w:p>
            <w:r>
              <w:rPr>
                <w:b/>
                <w:bCs/>
                <w:color w:val="FFFFFF"/>
                <w:sz w:val="20"/>
                <w:szCs w:val="20"/>
              </w:rPr>
              <w:t xml:space="preserve">Question à trancher</w:t>
            </w:r>
          </w:p>
        </w:tc>
        <w:tc>
          <w:tcPr>
            <w:tcW w:type="dxa" w:w="1850"/>
            <w:shd w:fill="2B529F" w:val="clear"/>
            <w:tcMar>
              <w:top w:type="dxa" w:w="100"/>
              <w:left w:type="dxa" w:w="120"/>
              <w:bottom w:type="dxa" w:w="100"/>
              <w:right w:type="dxa" w:w="120"/>
            </w:tcMar>
            <w:vAlign w:val="center"/>
          </w:tcPr>
          <w:p>
            <w:r>
              <w:rPr>
                <w:b/>
                <w:bCs/>
                <w:color w:val="FFFFFF"/>
                <w:sz w:val="20"/>
                <w:szCs w:val="20"/>
              </w:rPr>
              <w:t xml:space="preserve">Responsable</w:t>
            </w:r>
          </w:p>
        </w:tc>
      </w:tr>
      <w:tr>
        <w:tc>
          <w:tcPr>
            <w:tcW w:type="dxa" w:w="3200"/>
            <w:tcMar>
              <w:top w:type="dxa" w:w="100"/>
              <w:left w:type="dxa" w:w="120"/>
              <w:bottom w:type="dxa" w:w="100"/>
              <w:right w:type="dxa" w:w="120"/>
            </w:tcMar>
            <w:vAlign w:val="center"/>
          </w:tcPr>
          <w:p>
            <w:r>
              <w:rPr>
                <w:b w:val="false"/>
                <w:bCs w:val="false"/>
                <w:sz w:val="20"/>
                <w:szCs w:val="20"/>
              </w:rPr>
              <w:t xml:space="preserve">Rachat avant 2 ans</w:t>
            </w:r>
          </w:p>
        </w:tc>
        <w:tc>
          <w:tcPr>
            <w:tcW w:type="dxa" w:w="4300"/>
            <w:tcMar>
              <w:top w:type="dxa" w:w="100"/>
              <w:left w:type="dxa" w:w="120"/>
              <w:bottom w:type="dxa" w:w="100"/>
              <w:right w:type="dxa" w:w="120"/>
            </w:tcMar>
            <w:vAlign w:val="center"/>
          </w:tcPr>
          <w:p>
            <w:r>
              <w:rPr>
                <w:b w:val="false"/>
                <w:bCs w:val="false"/>
                <w:sz w:val="20"/>
                <w:szCs w:val="20"/>
              </w:rPr>
              <w:t xml:space="preserve">Opération interdite, ou autorisée avec pénalité ?</w:t>
            </w:r>
          </w:p>
        </w:tc>
        <w:tc>
          <w:tcPr>
            <w:tcW w:type="dxa" w:w="1850"/>
            <w:tcMar>
              <w:top w:type="dxa" w:w="100"/>
              <w:left w:type="dxa" w:w="120"/>
              <w:bottom w:type="dxa" w:w="100"/>
              <w:right w:type="dxa" w:w="120"/>
            </w:tcMar>
            <w:vAlign w:val="center"/>
          </w:tcPr>
          <w:p>
            <w:r>
              <w:rPr>
                <w:b w:val="false"/>
                <w:bCs w:val="false"/>
                <w:sz w:val="20"/>
                <w:szCs w:val="20"/>
              </w:rPr>
              <w:t xml:space="preserve">Chef ESR / Actuaire</w:t>
            </w:r>
          </w:p>
        </w:tc>
      </w:tr>
      <w:tr>
        <w:tc>
          <w:tcPr>
            <w:tcW w:type="dxa" w:w="3200"/>
            <w:shd w:fill="F2F5FA" w:val="clear"/>
            <w:tcMar>
              <w:top w:type="dxa" w:w="100"/>
              <w:left w:type="dxa" w:w="120"/>
              <w:bottom w:type="dxa" w:w="100"/>
              <w:right w:type="dxa" w:w="120"/>
            </w:tcMar>
            <w:vAlign w:val="center"/>
          </w:tcPr>
          <w:p>
            <w:r>
              <w:rPr>
                <w:b w:val="false"/>
                <w:bCs w:val="false"/>
                <w:sz w:val="20"/>
                <w:szCs w:val="20"/>
              </w:rPr>
              <w:t xml:space="preserve">Retenue sur rachat total</w:t>
            </w:r>
          </w:p>
        </w:tc>
        <w:tc>
          <w:tcPr>
            <w:tcW w:type="dxa" w:w="4300"/>
            <w:shd w:fill="F2F5FA" w:val="clear"/>
            <w:tcMar>
              <w:top w:type="dxa" w:w="100"/>
              <w:left w:type="dxa" w:w="120"/>
              <w:bottom w:type="dxa" w:w="100"/>
              <w:right w:type="dxa" w:w="120"/>
            </w:tcMar>
            <w:vAlign w:val="center"/>
          </w:tcPr>
          <w:p>
            <w:r>
              <w:rPr>
                <w:b w:val="false"/>
                <w:bCs w:val="false"/>
                <w:sz w:val="20"/>
                <w:szCs w:val="20"/>
              </w:rPr>
              <w:t xml:space="preserve">Formule exacte, base de calcul et règle d'arrondi.</w:t>
            </w:r>
          </w:p>
        </w:tc>
        <w:tc>
          <w:tcPr>
            <w:tcW w:type="dxa" w:w="1850"/>
            <w:shd w:fill="F2F5FA" w:val="clear"/>
            <w:tcMar>
              <w:top w:type="dxa" w:w="100"/>
              <w:left w:type="dxa" w:w="120"/>
              <w:bottom w:type="dxa" w:w="100"/>
              <w:right w:type="dxa" w:w="120"/>
            </w:tcMar>
            <w:vAlign w:val="center"/>
          </w:tcPr>
          <w:p>
            <w:r>
              <w:rPr>
                <w:b w:val="false"/>
                <w:bCs w:val="false"/>
                <w:sz w:val="20"/>
                <w:szCs w:val="20"/>
              </w:rPr>
              <w:t xml:space="preserve">Chef ESR / Actuaire</w:t>
            </w:r>
          </w:p>
        </w:tc>
      </w:tr>
      <w:tr>
        <w:tc>
          <w:tcPr>
            <w:tcW w:type="dxa" w:w="3200"/>
            <w:tcMar>
              <w:top w:type="dxa" w:w="100"/>
              <w:left w:type="dxa" w:w="120"/>
              <w:bottom w:type="dxa" w:w="100"/>
              <w:right w:type="dxa" w:w="120"/>
            </w:tcMar>
            <w:vAlign w:val="center"/>
          </w:tcPr>
          <w:p>
            <w:r>
              <w:rPr>
                <w:b w:val="false"/>
                <w:bCs w:val="false"/>
                <w:sz w:val="20"/>
                <w:szCs w:val="20"/>
              </w:rPr>
              <w:t xml:space="preserve">Décès avant la retraite</w:t>
            </w:r>
          </w:p>
        </w:tc>
        <w:tc>
          <w:tcPr>
            <w:tcW w:type="dxa" w:w="4300"/>
            <w:tcMar>
              <w:top w:type="dxa" w:w="100"/>
              <w:left w:type="dxa" w:w="120"/>
              <w:bottom w:type="dxa" w:w="100"/>
              <w:right w:type="dxa" w:w="120"/>
            </w:tcMar>
            <w:vAlign w:val="center"/>
          </w:tcPr>
          <w:p>
            <w:r>
              <w:rPr>
                <w:b w:val="false"/>
                <w:bCs w:val="false"/>
                <w:sz w:val="20"/>
                <w:szCs w:val="20"/>
              </w:rPr>
              <w:t xml:space="preserve">Versement à 95 % ou 100 % de l'épargne acquise ?</w:t>
            </w:r>
          </w:p>
        </w:tc>
        <w:tc>
          <w:tcPr>
            <w:tcW w:type="dxa" w:w="1850"/>
            <w:tcMar>
              <w:top w:type="dxa" w:w="100"/>
              <w:left w:type="dxa" w:w="120"/>
              <w:bottom w:type="dxa" w:w="100"/>
              <w:right w:type="dxa" w:w="120"/>
            </w:tcMar>
            <w:vAlign w:val="center"/>
          </w:tcPr>
          <w:p>
            <w:r>
              <w:rPr>
                <w:b w:val="false"/>
                <w:bCs w:val="false"/>
                <w:sz w:val="20"/>
                <w:szCs w:val="20"/>
              </w:rPr>
              <w:t xml:space="preserve">Chef ESR / Actuaire</w:t>
            </w:r>
          </w:p>
        </w:tc>
      </w:tr>
      <w:tr>
        <w:tc>
          <w:tcPr>
            <w:tcW w:type="dxa" w:w="3200"/>
            <w:shd w:fill="F2F5FA" w:val="clear"/>
            <w:tcMar>
              <w:top w:type="dxa" w:w="100"/>
              <w:left w:type="dxa" w:w="120"/>
              <w:bottom w:type="dxa" w:w="100"/>
              <w:right w:type="dxa" w:w="120"/>
            </w:tcMar>
            <w:vAlign w:val="center"/>
          </w:tcPr>
          <w:p>
            <w:r>
              <w:rPr>
                <w:b w:val="false"/>
                <w:bCs w:val="false"/>
                <w:sz w:val="20"/>
                <w:szCs w:val="20"/>
              </w:rPr>
              <w:t xml:space="preserve">Invalidité permanente totale</w:t>
            </w:r>
          </w:p>
        </w:tc>
        <w:tc>
          <w:tcPr>
            <w:tcW w:type="dxa" w:w="4300"/>
            <w:shd w:fill="F2F5FA" w:val="clear"/>
            <w:tcMar>
              <w:top w:type="dxa" w:w="100"/>
              <w:left w:type="dxa" w:w="120"/>
              <w:bottom w:type="dxa" w:w="100"/>
              <w:right w:type="dxa" w:w="120"/>
            </w:tcMar>
            <w:vAlign w:val="center"/>
          </w:tcPr>
          <w:p>
            <w:r>
              <w:rPr>
                <w:b w:val="false"/>
                <w:bCs w:val="false"/>
                <w:sz w:val="20"/>
                <w:szCs w:val="20"/>
              </w:rPr>
              <w:t xml:space="preserve">Versement à 95 % ou 100 % ?</w:t>
            </w:r>
          </w:p>
        </w:tc>
        <w:tc>
          <w:tcPr>
            <w:tcW w:type="dxa" w:w="1850"/>
            <w:shd w:fill="F2F5FA" w:val="clear"/>
            <w:tcMar>
              <w:top w:type="dxa" w:w="100"/>
              <w:left w:type="dxa" w:w="120"/>
              <w:bottom w:type="dxa" w:w="100"/>
              <w:right w:type="dxa" w:w="120"/>
            </w:tcMar>
            <w:vAlign w:val="center"/>
          </w:tcPr>
          <w:p>
            <w:r>
              <w:rPr>
                <w:b w:val="false"/>
                <w:bCs w:val="false"/>
                <w:sz w:val="20"/>
                <w:szCs w:val="20"/>
              </w:rPr>
              <w:t xml:space="preserve">Chef ESR / Actuaire</w:t>
            </w:r>
          </w:p>
        </w:tc>
      </w:tr>
      <w:tr>
        <w:tc>
          <w:tcPr>
            <w:tcW w:type="dxa" w:w="3200"/>
            <w:tcMar>
              <w:top w:type="dxa" w:w="100"/>
              <w:left w:type="dxa" w:w="120"/>
              <w:bottom w:type="dxa" w:w="100"/>
              <w:right w:type="dxa" w:w="120"/>
            </w:tcMar>
            <w:vAlign w:val="center"/>
          </w:tcPr>
          <w:p>
            <w:r>
              <w:rPr>
                <w:b w:val="false"/>
                <w:bCs w:val="false"/>
                <w:sz w:val="20"/>
                <w:szCs w:val="20"/>
              </w:rPr>
              <w:t xml:space="preserve">Couverture santé à la retraite</w:t>
            </w:r>
          </w:p>
        </w:tc>
        <w:tc>
          <w:tcPr>
            <w:tcW w:type="dxa" w:w="4300"/>
            <w:tcMar>
              <w:top w:type="dxa" w:w="100"/>
              <w:left w:type="dxa" w:w="120"/>
              <w:bottom w:type="dxa" w:w="100"/>
              <w:right w:type="dxa" w:w="120"/>
            </w:tcMar>
            <w:vAlign w:val="center"/>
          </w:tcPr>
          <w:p>
            <w:r>
              <w:rPr>
                <w:b w:val="false"/>
                <w:bCs w:val="false"/>
                <w:sz w:val="20"/>
                <w:szCs w:val="20"/>
              </w:rPr>
              <w:t xml:space="preserve">Distinguer taux de remboursement et taux de financement.</w:t>
            </w:r>
          </w:p>
        </w:tc>
        <w:tc>
          <w:tcPr>
            <w:tcW w:type="dxa" w:w="1850"/>
            <w:tcMar>
              <w:top w:type="dxa" w:w="100"/>
              <w:left w:type="dxa" w:w="120"/>
              <w:bottom w:type="dxa" w:w="100"/>
              <w:right w:type="dxa" w:w="120"/>
            </w:tcMar>
            <w:vAlign w:val="center"/>
          </w:tcPr>
          <w:p>
            <w:r>
              <w:rPr>
                <w:b w:val="false"/>
                <w:bCs w:val="false"/>
                <w:sz w:val="20"/>
                <w:szCs w:val="20"/>
              </w:rPr>
              <w:t xml:space="preserve">Chef ESR / Actuaire</w:t>
            </w:r>
          </w:p>
        </w:tc>
      </w:tr>
      <w:tr>
        <w:tc>
          <w:tcPr>
            <w:tcW w:type="dxa" w:w="3200"/>
            <w:shd w:fill="F2F5FA" w:val="clear"/>
            <w:tcMar>
              <w:top w:type="dxa" w:w="100"/>
              <w:left w:type="dxa" w:w="120"/>
              <w:bottom w:type="dxa" w:w="100"/>
              <w:right w:type="dxa" w:w="120"/>
            </w:tcMar>
            <w:vAlign w:val="center"/>
          </w:tcPr>
          <w:p>
            <w:r>
              <w:rPr>
                <w:b w:val="false"/>
                <w:bCs w:val="false"/>
                <w:sz w:val="20"/>
                <w:szCs w:val="20"/>
              </w:rPr>
              <w:t xml:space="preserve">Décès pendant la rente</w:t>
            </w:r>
          </w:p>
        </w:tc>
        <w:tc>
          <w:tcPr>
            <w:tcW w:type="dxa" w:w="4300"/>
            <w:shd w:fill="F2F5FA" w:val="clear"/>
            <w:tcMar>
              <w:top w:type="dxa" w:w="100"/>
              <w:left w:type="dxa" w:w="120"/>
              <w:bottom w:type="dxa" w:w="100"/>
              <w:right w:type="dxa" w:w="120"/>
            </w:tcMar>
            <w:vAlign w:val="center"/>
          </w:tcPr>
          <w:p>
            <w:r>
              <w:rPr>
                <w:b w:val="false"/>
                <w:bCs w:val="false"/>
                <w:sz w:val="20"/>
                <w:szCs w:val="20"/>
              </w:rPr>
              <w:t xml:space="preserve">Date d’arrêt de la rente et traitement du trimestre en cours.</w:t>
            </w:r>
          </w:p>
        </w:tc>
        <w:tc>
          <w:tcPr>
            <w:tcW w:type="dxa" w:w="1850"/>
            <w:shd w:fill="F2F5FA" w:val="clear"/>
            <w:tcMar>
              <w:top w:type="dxa" w:w="100"/>
              <w:left w:type="dxa" w:w="120"/>
              <w:bottom w:type="dxa" w:w="100"/>
              <w:right w:type="dxa" w:w="120"/>
            </w:tcMar>
            <w:vAlign w:val="center"/>
          </w:tcPr>
          <w:p>
            <w:r>
              <w:rPr>
                <w:b w:val="false"/>
                <w:bCs w:val="false"/>
                <w:sz w:val="20"/>
                <w:szCs w:val="20"/>
              </w:rPr>
              <w:t xml:space="preserve">Chef ESR / Actuaire</w:t>
            </w:r>
          </w:p>
        </w:tc>
      </w:tr>
      <w:tr>
        <w:tc>
          <w:tcPr>
            <w:tcW w:type="dxa" w:w="3200"/>
            <w:tcMar>
              <w:top w:type="dxa" w:w="100"/>
              <w:left w:type="dxa" w:w="120"/>
              <w:bottom w:type="dxa" w:w="100"/>
              <w:right w:type="dxa" w:w="120"/>
            </w:tcMar>
            <w:vAlign w:val="center"/>
          </w:tcPr>
          <w:p>
            <w:r>
              <w:rPr>
                <w:b w:val="false"/>
                <w:bCs w:val="false"/>
                <w:sz w:val="20"/>
                <w:szCs w:val="20"/>
              </w:rPr>
              <w:t xml:space="preserve">Architecture technique</w:t>
            </w:r>
          </w:p>
        </w:tc>
        <w:tc>
          <w:tcPr>
            <w:tcW w:type="dxa" w:w="4300"/>
            <w:tcMar>
              <w:top w:type="dxa" w:w="100"/>
              <w:left w:type="dxa" w:w="120"/>
              <w:bottom w:type="dxa" w:w="100"/>
              <w:right w:type="dxa" w:w="120"/>
            </w:tcMar>
            <w:vAlign w:val="center"/>
          </w:tcPr>
          <w:p>
            <w:r>
              <w:rPr>
                <w:b w:val="false"/>
                <w:bCs w:val="false"/>
                <w:sz w:val="20"/>
                <w:szCs w:val="20"/>
              </w:rPr>
              <w:t xml:space="preserve">Homologuer React / Express / Supabase, ou réécriture ?</w:t>
            </w:r>
          </w:p>
        </w:tc>
        <w:tc>
          <w:tcPr>
            <w:tcW w:type="dxa" w:w="1850"/>
            <w:tcMar>
              <w:top w:type="dxa" w:w="100"/>
              <w:left w:type="dxa" w:w="120"/>
              <w:bottom w:type="dxa" w:w="100"/>
              <w:right w:type="dxa" w:w="120"/>
            </w:tcMar>
            <w:vAlign w:val="center"/>
          </w:tcPr>
          <w:p>
            <w:r>
              <w:rPr>
                <w:b w:val="false"/>
                <w:bCs w:val="false"/>
                <w:sz w:val="20"/>
                <w:szCs w:val="20"/>
              </w:rPr>
              <w:t xml:space="preserve">Direction / DSI</w:t>
            </w:r>
          </w:p>
        </w:tc>
      </w:tr>
    </w:tbl>
    <w:p>
      <w:pPr>
        <w:pStyle w:val="Heading1"/>
        <w:spacing w:after="160" w:before="360"/>
      </w:pPr>
      <w:r>
        <w:t xml:space="preserve">10. Foire aux questions anticipées</w:t>
      </w:r>
    </w:p>
    <w:p>
      <w:pPr>
        <w:pStyle w:val="ListParagraph"/>
        <w:numPr>
          <w:ilvl w:val="0"/>
          <w:numId w:val="1"/>
        </w:numPr>
        <w:spacing w:after="80"/>
      </w:pPr>
      <w:r>
        <w:rPr>
          <w:b/>
          <w:bCs/>
        </w:rPr>
        <w:t xml:space="preserve">Les montants affichés sont-ils réels ? — </w:t>
      </w:r>
      <w:r>
        <w:t xml:space="preserve">Non, la démonstration utilise un jeu de données fictif ; aucune donnée réelle d'adhérent n'est exposée.</w:t>
      </w:r>
    </w:p>
    <w:p>
      <w:pPr>
        <w:pStyle w:val="ListParagraph"/>
        <w:numPr>
          <w:ilvl w:val="0"/>
          <w:numId w:val="1"/>
        </w:numPr>
        <w:spacing w:after="80"/>
      </w:pPr>
      <w:r>
        <w:rPr>
          <w:b/>
          <w:bCs/>
        </w:rPr>
        <w:t xml:space="preserve">La plateforme est-elle prête pour la production ? — </w:t>
      </w:r>
      <w:r>
        <w:t xml:space="preserve">Le socle technique est prêt et testé (compilation, tests automatisés, 0 vulnérabilité de production détectée). La mise en production dépend des validations métier listées en section 9 et des preuves externes (accès APS/SIAPS, fichiers réels DGI).</w:t>
      </w:r>
    </w:p>
    <w:p>
      <w:pPr>
        <w:pStyle w:val="ListParagraph"/>
        <w:numPr>
          <w:ilvl w:val="0"/>
          <w:numId w:val="1"/>
        </w:numPr>
        <w:spacing w:after="80"/>
      </w:pPr>
      <w:r>
        <w:rPr>
          <w:b/>
          <w:bCs/>
        </w:rPr>
        <w:t xml:space="preserve">Comment est garantie la sécurité des données ? — </w:t>
      </w:r>
      <w:r>
        <w:t xml:space="preserve">Authentification sécurisée par matricule et mot de passe personnel, OTP en production, base de données professionnelle (Supabase / PostgreSQL), secrets jamais exposés au navigateur, journal d'audit complet.</w:t>
      </w:r>
    </w:p>
    <w:p>
      <w:pPr>
        <w:pStyle w:val="ListParagraph"/>
        <w:numPr>
          <w:ilvl w:val="0"/>
          <w:numId w:val="1"/>
        </w:numPr>
        <w:spacing w:after="80"/>
      </w:pPr>
      <w:r>
        <w:rPr>
          <w:b/>
          <w:bCs/>
        </w:rPr>
        <w:t xml:space="preserve">Que se passe-t-il en cas de panne ou d’incident ? — </w:t>
      </w:r>
      <w:r>
        <w:t xml:space="preserve">Un plan de reprise d'activité (PRA) est documenté, avec des sauvegardes régulières et vérifiées (15 tables, empreintes de contrôle).</w:t>
      </w:r>
    </w:p>
    <w:p>
      <w:pPr>
        <w:pStyle w:val="ListParagraph"/>
        <w:numPr>
          <w:ilvl w:val="0"/>
          <w:numId w:val="1"/>
        </w:numPr>
        <w:spacing w:after="80"/>
      </w:pPr>
      <w:r>
        <w:rPr>
          <w:b/>
          <w:bCs/>
        </w:rPr>
        <w:t xml:space="preserve">Peut-on modifier un taux après la mise en production ? — </w:t>
      </w:r>
      <w:r>
        <w:t xml:space="preserve">Oui, via l'écran Paramètres, avec une date d'effet. Un paramètre déjà utilisé ne doit jamais être modifié rétroactivement sans décision formelle.</w:t>
      </w:r>
    </w:p>
    <w:p>
      <w:pPr>
        <w:pStyle w:val="ListParagraph"/>
        <w:numPr>
          <w:ilvl w:val="0"/>
          <w:numId w:val="1"/>
        </w:numPr>
        <w:spacing w:after="80"/>
      </w:pPr>
      <w:r>
        <w:rPr>
          <w:b/>
          <w:bCs/>
        </w:rPr>
        <w:t xml:space="preserve">Qui peut voir quoi dans l’application ? — </w:t>
      </w:r>
      <w:r>
        <w:t xml:space="preserve">Chaque profil (Adhérent, Gestionnaire, Administrateur, Superadministrateur) n'accède qu'aux écrans et actions correspondant à son rôle.</w:t>
      </w:r>
    </w:p>
    <w:p>
      <w:pPr>
        <w:pStyle w:val="Heading1"/>
        <w:spacing w:after="160" w:before="360"/>
      </w:pPr>
      <w:r>
        <w:t xml:space="preserve">11. Conclusion et prochaines étapes</w:t>
      </w:r>
    </w:p>
    <w:p>
      <w:pPr>
        <w:spacing w:after="120"/>
      </w:pPr>
      <w:r>
        <w:t xml:space="preserve">À reprendre en fin de séance pour conclure sur une note claire et actionnable :</w:t>
      </w:r>
    </w:p>
    <w:p>
      <w:pPr>
        <w:pStyle w:val="ListParagraph"/>
        <w:numPr>
          <w:ilvl w:val="0"/>
          <w:numId w:val="1"/>
        </w:numPr>
        <w:spacing w:after="80"/>
      </w:pPr>
      <w:r>
        <w:t xml:space="preserve">La plateforme couvre déjà l'intégralité du parcours ESR, de l'adhésion au paiement des prestations.</w:t>
      </w:r>
    </w:p>
    <w:p>
      <w:pPr>
        <w:pStyle w:val="ListParagraph"/>
        <w:numPr>
          <w:ilvl w:val="0"/>
          <w:numId w:val="1"/>
        </w:numPr>
        <w:spacing w:after="80"/>
      </w:pPr>
      <w:r>
        <w:t xml:space="preserve">Le socle technique est prêt pour une recette contrôlée.</w:t>
      </w:r>
    </w:p>
    <w:p>
      <w:pPr>
        <w:pStyle w:val="ListParagraph"/>
        <w:numPr>
          <w:ilvl w:val="0"/>
          <w:numId w:val="1"/>
        </w:numPr>
        <w:spacing w:after="80"/>
      </w:pPr>
      <w:r>
        <w:t xml:space="preserve">Sept décisions métier restent à formaliser avant la mise en production (section 9).</w:t>
      </w:r>
    </w:p>
    <w:p>
      <w:pPr>
        <w:pStyle w:val="ListParagraph"/>
        <w:numPr>
          <w:ilvl w:val="0"/>
          <w:numId w:val="1"/>
        </w:numPr>
        <w:spacing w:after="80"/>
      </w:pPr>
      <w:r>
        <w:t xml:space="preserve">Proposition de calendrier : recette contrôlée → validations métier signées → recette utilisateurs → mise en production.</w:t>
      </w:r>
    </w:p>
    <w:p>
      <w:pPr>
        <w:spacing w:after="120"/>
      </w:pPr>
      <w:r>
        <w:t xml:space="preserve">Terminer par une question ouverte à l'auditoire : « Quelles sont, parmi les points de la section 9, les priorités que nous pouvons trancher dès cette semaine ? »</w:t>
      </w:r>
    </w:p>
    <w:p>
      <w:pPr>
        <w:pStyle w:val="Heading1"/>
        <w:spacing w:after="160" w:before="360"/>
      </w:pPr>
      <w:r>
        <w:t xml:space="preserve">Annexe A — Glossaire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2B529F" w:val="clear"/>
            <w:tcMar>
              <w:top w:type="dxa" w:w="100"/>
              <w:left w:type="dxa" w:w="120"/>
              <w:bottom w:type="dxa" w:w="100"/>
              <w:right w:type="dxa" w:w="120"/>
            </w:tcMar>
            <w:vAlign w:val="center"/>
          </w:tcPr>
          <w:p>
            <w:r>
              <w:rPr>
                <w:b/>
                <w:bCs/>
                <w:color w:val="FFFFFF"/>
                <w:sz w:val="20"/>
                <w:szCs w:val="20"/>
              </w:rPr>
              <w:t xml:space="preserve">Terme</w:t>
            </w:r>
          </w:p>
        </w:tc>
        <w:tc>
          <w:tcPr>
            <w:tcW w:type="dxa" w:w="7150"/>
            <w:shd w:fill="2B529F" w:val="clear"/>
            <w:tcMar>
              <w:top w:type="dxa" w:w="100"/>
              <w:left w:type="dxa" w:w="120"/>
              <w:bottom w:type="dxa" w:w="100"/>
              <w:right w:type="dxa" w:w="120"/>
            </w:tcMar>
            <w:vAlign w:val="center"/>
          </w:tcPr>
          <w:p>
            <w:r>
              <w:rPr>
                <w:b/>
                <w:bCs/>
                <w:color w:val="FFFFFF"/>
                <w:sz w:val="20"/>
                <w:szCs w:val="20"/>
              </w:rPr>
              <w:t xml:space="preserve">Signification</w:t>
            </w:r>
          </w:p>
        </w:tc>
      </w:tr>
      <w:tr>
        <w:tc>
          <w:tcPr>
            <w:tcW w:type="dxa" w:w="2200"/>
            <w:tcMar>
              <w:top w:type="dxa" w:w="100"/>
              <w:left w:type="dxa" w:w="120"/>
              <w:bottom w:type="dxa" w:w="100"/>
              <w:right w:type="dxa" w:w="120"/>
            </w:tcMar>
            <w:vAlign w:val="center"/>
          </w:tcPr>
          <w:p>
            <w:r>
              <w:rPr>
                <w:b w:val="false"/>
                <w:bCs w:val="false"/>
                <w:sz w:val="20"/>
                <w:szCs w:val="20"/>
              </w:rPr>
              <w:t xml:space="preserve">ESR</w:t>
            </w:r>
          </w:p>
        </w:tc>
        <w:tc>
          <w:tcPr>
            <w:tcW w:type="dxa" w:w="7150"/>
            <w:tcMar>
              <w:top w:type="dxa" w:w="100"/>
              <w:left w:type="dxa" w:w="120"/>
              <w:bottom w:type="dxa" w:w="100"/>
              <w:right w:type="dxa" w:w="120"/>
            </w:tcMar>
            <w:vAlign w:val="center"/>
          </w:tcPr>
          <w:p>
            <w:r>
              <w:rPr>
                <w:b w:val="false"/>
                <w:bCs w:val="false"/>
                <w:sz w:val="20"/>
                <w:szCs w:val="20"/>
              </w:rPr>
              <w:t xml:space="preserve">Épargne Santé Retraite</w:t>
            </w:r>
          </w:p>
        </w:tc>
      </w:tr>
      <w:tr>
        <w:tc>
          <w:tcPr>
            <w:tcW w:type="dxa" w:w="2200"/>
            <w:shd w:fill="F2F5FA" w:val="clear"/>
            <w:tcMar>
              <w:top w:type="dxa" w:w="100"/>
              <w:left w:type="dxa" w:w="120"/>
              <w:bottom w:type="dxa" w:w="100"/>
              <w:right w:type="dxa" w:w="120"/>
            </w:tcMar>
            <w:vAlign w:val="center"/>
          </w:tcPr>
          <w:p>
            <w:r>
              <w:rPr>
                <w:b w:val="false"/>
                <w:bCs w:val="false"/>
                <w:sz w:val="20"/>
                <w:szCs w:val="20"/>
              </w:rPr>
              <w:t xml:space="preserve">PM</w:t>
            </w:r>
          </w:p>
        </w:tc>
        <w:tc>
          <w:tcPr>
            <w:tcW w:type="dxa" w:w="7150"/>
            <w:shd w:fill="F2F5FA" w:val="clear"/>
            <w:tcMar>
              <w:top w:type="dxa" w:w="100"/>
              <w:left w:type="dxa" w:w="120"/>
              <w:bottom w:type="dxa" w:w="100"/>
              <w:right w:type="dxa" w:w="120"/>
            </w:tcMar>
            <w:vAlign w:val="center"/>
          </w:tcPr>
          <w:p>
            <w:r>
              <w:rPr>
                <w:b w:val="false"/>
                <w:bCs w:val="false"/>
                <w:sz w:val="20"/>
                <w:szCs w:val="20"/>
              </w:rPr>
              <w:t xml:space="preserve">Provision Mathématique</w:t>
            </w:r>
          </w:p>
        </w:tc>
      </w:tr>
      <w:tr>
        <w:tc>
          <w:tcPr>
            <w:tcW w:type="dxa" w:w="2200"/>
            <w:tcMar>
              <w:top w:type="dxa" w:w="100"/>
              <w:left w:type="dxa" w:w="120"/>
              <w:bottom w:type="dxa" w:w="100"/>
              <w:right w:type="dxa" w:w="120"/>
            </w:tcMar>
            <w:vAlign w:val="center"/>
          </w:tcPr>
          <w:p>
            <w:r>
              <w:rPr>
                <w:b w:val="false"/>
                <w:bCs w:val="false"/>
                <w:sz w:val="20"/>
                <w:szCs w:val="20"/>
              </w:rPr>
              <w:t xml:space="preserve">CIMA C-20</w:t>
            </w:r>
          </w:p>
        </w:tc>
        <w:tc>
          <w:tcPr>
            <w:tcW w:type="dxa" w:w="7150"/>
            <w:tcMar>
              <w:top w:type="dxa" w:w="100"/>
              <w:left w:type="dxa" w:w="120"/>
              <w:bottom w:type="dxa" w:w="100"/>
              <w:right w:type="dxa" w:w="120"/>
            </w:tcMar>
            <w:vAlign w:val="center"/>
          </w:tcPr>
          <w:p>
            <w:r>
              <w:rPr>
                <w:b w:val="false"/>
                <w:bCs w:val="false"/>
                <w:sz w:val="20"/>
                <w:szCs w:val="20"/>
              </w:rPr>
              <w:t xml:space="preserve">État réglementaire de la Conférence Interafricaine des Marchés d'Assurances</w:t>
            </w:r>
          </w:p>
        </w:tc>
      </w:tr>
      <w:tr>
        <w:tc>
          <w:tcPr>
            <w:tcW w:type="dxa" w:w="2200"/>
            <w:shd w:fill="F2F5FA" w:val="clear"/>
            <w:tcMar>
              <w:top w:type="dxa" w:w="100"/>
              <w:left w:type="dxa" w:w="120"/>
              <w:bottom w:type="dxa" w:w="100"/>
              <w:right w:type="dxa" w:w="120"/>
            </w:tcMar>
            <w:vAlign w:val="center"/>
          </w:tcPr>
          <w:p>
            <w:r>
              <w:rPr>
                <w:b w:val="false"/>
                <w:bCs w:val="false"/>
                <w:sz w:val="20"/>
                <w:szCs w:val="20"/>
              </w:rPr>
              <w:t xml:space="preserve">DGI</w:t>
            </w:r>
          </w:p>
        </w:tc>
        <w:tc>
          <w:tcPr>
            <w:tcW w:type="dxa" w:w="7150"/>
            <w:shd w:fill="F2F5FA" w:val="clear"/>
            <w:tcMar>
              <w:top w:type="dxa" w:w="100"/>
              <w:left w:type="dxa" w:w="120"/>
              <w:bottom w:type="dxa" w:w="100"/>
              <w:right w:type="dxa" w:w="120"/>
            </w:tcMar>
            <w:vAlign w:val="center"/>
          </w:tcPr>
          <w:p>
            <w:r>
              <w:rPr>
                <w:b w:val="false"/>
                <w:bCs w:val="false"/>
                <w:sz w:val="20"/>
                <w:szCs w:val="20"/>
              </w:rPr>
              <w:t xml:space="preserve">Direction Générale des Impôts</w:t>
            </w:r>
          </w:p>
        </w:tc>
      </w:tr>
      <w:tr>
        <w:tc>
          <w:tcPr>
            <w:tcW w:type="dxa" w:w="2200"/>
            <w:tcMar>
              <w:top w:type="dxa" w:w="100"/>
              <w:left w:type="dxa" w:w="120"/>
              <w:bottom w:type="dxa" w:w="100"/>
              <w:right w:type="dxa" w:w="120"/>
            </w:tcMar>
            <w:vAlign w:val="center"/>
          </w:tcPr>
          <w:p>
            <w:r>
              <w:rPr>
                <w:b w:val="false"/>
                <w:bCs w:val="false"/>
                <w:sz w:val="20"/>
                <w:szCs w:val="20"/>
              </w:rPr>
              <w:t xml:space="preserve">OTP</w:t>
            </w:r>
          </w:p>
        </w:tc>
        <w:tc>
          <w:tcPr>
            <w:tcW w:type="dxa" w:w="7150"/>
            <w:tcMar>
              <w:top w:type="dxa" w:w="100"/>
              <w:left w:type="dxa" w:w="120"/>
              <w:bottom w:type="dxa" w:w="100"/>
              <w:right w:type="dxa" w:w="120"/>
            </w:tcMar>
            <w:vAlign w:val="center"/>
          </w:tcPr>
          <w:p>
            <w:r>
              <w:rPr>
                <w:b w:val="false"/>
                <w:bCs w:val="false"/>
                <w:sz w:val="20"/>
                <w:szCs w:val="20"/>
              </w:rPr>
              <w:t xml:space="preserve">Mot de passe à usage unique (One-Time Password)</w:t>
            </w:r>
          </w:p>
        </w:tc>
      </w:tr>
      <w:tr>
        <w:tc>
          <w:tcPr>
            <w:tcW w:type="dxa" w:w="2200"/>
            <w:shd w:fill="F2F5FA" w:val="clear"/>
            <w:tcMar>
              <w:top w:type="dxa" w:w="100"/>
              <w:left w:type="dxa" w:w="120"/>
              <w:bottom w:type="dxa" w:w="100"/>
              <w:right w:type="dxa" w:w="120"/>
            </w:tcMar>
            <w:vAlign w:val="center"/>
          </w:tcPr>
          <w:p>
            <w:r>
              <w:rPr>
                <w:b w:val="false"/>
                <w:bCs w:val="false"/>
                <w:sz w:val="20"/>
                <w:szCs w:val="20"/>
              </w:rPr>
              <w:t xml:space="preserve">PRA</w:t>
            </w:r>
          </w:p>
        </w:tc>
        <w:tc>
          <w:tcPr>
            <w:tcW w:type="dxa" w:w="7150"/>
            <w:shd w:fill="F2F5FA" w:val="clear"/>
            <w:tcMar>
              <w:top w:type="dxa" w:w="100"/>
              <w:left w:type="dxa" w:w="120"/>
              <w:bottom w:type="dxa" w:w="100"/>
              <w:right w:type="dxa" w:w="120"/>
            </w:tcMar>
            <w:vAlign w:val="center"/>
          </w:tcPr>
          <w:p>
            <w:r>
              <w:rPr>
                <w:b w:val="false"/>
                <w:bCs w:val="false"/>
                <w:sz w:val="20"/>
                <w:szCs w:val="20"/>
              </w:rPr>
              <w:t xml:space="preserve">Plan de Reprise d'Activité</w:t>
            </w:r>
          </w:p>
        </w:tc>
      </w:tr>
      <w:tr>
        <w:tc>
          <w:tcPr>
            <w:tcW w:type="dxa" w:w="2200"/>
            <w:tcMar>
              <w:top w:type="dxa" w:w="100"/>
              <w:left w:type="dxa" w:w="120"/>
              <w:bottom w:type="dxa" w:w="100"/>
              <w:right w:type="dxa" w:w="120"/>
            </w:tcMar>
            <w:vAlign w:val="center"/>
          </w:tcPr>
          <w:p>
            <w:r>
              <w:rPr>
                <w:b w:val="false"/>
                <w:bCs w:val="false"/>
                <w:sz w:val="20"/>
                <w:szCs w:val="20"/>
              </w:rPr>
              <w:t xml:space="preserve">APS / SIAPS</w:t>
            </w:r>
          </w:p>
        </w:tc>
        <w:tc>
          <w:tcPr>
            <w:tcW w:type="dxa" w:w="7150"/>
            <w:tcMar>
              <w:top w:type="dxa" w:w="100"/>
              <w:left w:type="dxa" w:w="120"/>
              <w:bottom w:type="dxa" w:w="100"/>
              <w:right w:type="dxa" w:w="120"/>
            </w:tcMar>
            <w:vAlign w:val="center"/>
          </w:tcPr>
          <w:p>
            <w:r>
              <w:rPr>
                <w:b w:val="false"/>
                <w:bCs w:val="false"/>
                <w:sz w:val="20"/>
                <w:szCs w:val="20"/>
              </w:rPr>
              <w:t xml:space="preserve">Systèmes externes de paie / d’information administrative avec lesquels MADGI ESR échange des données</w:t>
            </w:r>
          </w:p>
        </w:tc>
      </w:tr>
    </w:tbl>
    <w:p>
      <w:pPr>
        <w:spacing w:after="160"/>
      </w:pPr>
    </w:p>
    <w:p>
      <w:pPr>
        <w:pStyle w:val="Heading1"/>
        <w:spacing w:after="160" w:before="360"/>
      </w:pPr>
      <w:r>
        <w:t xml:space="preserve">Annexe B — Contact support</w:t>
      </w:r>
    </w:p>
    <w:p>
      <w:pPr>
        <w:spacing w:after="120"/>
      </w:pPr>
      <w:r>
        <w:t xml:space="preserve">Support technique direct : support.mutuelle@dgi.gouv.ci — 225-20-30-40-50.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MADGI ESR — Guide de présentation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29F" w:sz="6" w:space="4"/>
      </w:pBdr>
      <w:spacing w:after="160" w:before="360"/>
    </w:pPr>
    <w:rPr>
      <w:rFonts w:ascii="Calibri" w:cs="Calibri" w:eastAsia="Calibri" w:hAnsi="Calibri"/>
      <w:b/>
      <w:bCs/>
      <w:color w:val="2B529F"/>
      <w:sz w:val="30"/>
      <w:szCs w:val="30"/>
    </w:rPr>
  </w:style>
  <w:style w:type="paragraph" w:styleId="Heading2">
    <w:name w:val="Heading 2"/>
    <w:basedOn w:val="Normal"/>
    <w:next w:val="Normal"/>
    <w:qFormat/>
    <w:pPr>
      <w:spacing w:after="120" w:before="260"/>
    </w:pPr>
    <w:rPr>
      <w:rFonts w:ascii="Calibri" w:cs="Calibri" w:eastAsia="Calibri" w:hAnsi="Calibri"/>
      <w:b/>
      <w:bCs/>
      <w:color w:val="1F3B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présentation — Plateforme MADGI ESR</dc:title>
  <dc:creator>MADGI ESR</dc:creator>
  <cp:lastModifiedBy>Un-named</cp:lastModifiedBy>
  <cp:revision>1</cp:revision>
  <dcterms:created xsi:type="dcterms:W3CDTF">2026-08-10T19:21:48.964Z</dcterms:created>
  <dcterms:modified xsi:type="dcterms:W3CDTF">2026-08-10T19:21:48.965Z</dcterms:modified>
</cp:coreProperties>
</file>

<file path=docProps/custom.xml><?xml version="1.0" encoding="utf-8"?>
<Properties xmlns="http://schemas.openxmlformats.org/officeDocument/2006/custom-properties" xmlns:vt="http://schemas.openxmlformats.org/officeDocument/2006/docPropsVTypes"/>
</file>