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994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madgi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94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PROGRAMME DE FORMATION</w:t>
      </w:r>
    </w:p>
    <w:p>
      <w:pPr>
        <w:jc w:val="center"/>
      </w:pPr>
      <w:r>
        <w:rPr>
          <w:b/>
          <w:color w:val="147A4B"/>
          <w:sz w:val="26"/>
        </w:rPr>
        <w:t>Présentation et prise en main opérationnelle de MADGI ESR</w:t>
      </w:r>
    </w:p>
    <w:p>
      <w:pPr>
        <w:jc w:val="center"/>
      </w:pPr>
      <w:r>
        <w:rPr>
          <w:color w:val="667085"/>
        </w:rPr>
        <w:t>Version formation • 19 août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792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A6A"/>
              </w:rPr>
              <w:t xml:space="preserve">Finalité — </w:t>
            </w:r>
            <w:r>
              <w:t>Rendre les gestionnaires et administrateurs autonomes sur les opérations courantes, les contrôles et la clôture d’une période ESR.</w:t>
            </w:r>
          </w:p>
        </w:tc>
      </w:tr>
    </w:tbl>
    <w:p/>
    <w:p>
      <w:pPr>
        <w:pStyle w:val="Heading1"/>
      </w:pPr>
      <w:r>
        <w:t>Public, durée et prérequis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Élément</w:t>
            </w:r>
          </w:p>
        </w:tc>
        <w:tc>
          <w:tcPr>
            <w:tcW w:type="dxa" w:w="74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Cadre proposé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Public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Gestionnaires ESR, comptables, administrateurs, agents d’accueil et référents métier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Durée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journée — 08 h 30 à 16 h 30, pauses comprises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Format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30 % présentation, 30 % démonstration, 40 % pratique guidée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Prérequis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Compte utilisateur actif, navigateur récent, accès à l’environnement de formation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Matériel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Vidéoprojecteur, connexion réseau, un poste pour deux participants, jeux de données de test</w:t>
            </w:r>
          </w:p>
        </w:tc>
      </w:tr>
    </w:tbl>
    <w:p/>
    <w:p>
      <w:pPr>
        <w:pStyle w:val="Heading1"/>
      </w:pPr>
      <w:r>
        <w:t>Objectifs pédagogiques</w:t>
      </w:r>
    </w:p>
    <w:p>
      <w:pPr>
        <w:pStyle w:val="ListBullet"/>
        <w:spacing w:after="60"/>
      </w:pPr>
      <w:r>
        <w:t>Se connecter et identifier les fonctions autorisées selon son rôle.</w:t>
      </w:r>
    </w:p>
    <w:p>
      <w:pPr>
        <w:pStyle w:val="ListBullet"/>
        <w:spacing w:after="60"/>
      </w:pPr>
      <w:r>
        <w:t>Créer, rechercher et mettre à jour un adhérent sans doublon.</w:t>
      </w:r>
    </w:p>
    <w:p>
      <w:pPr>
        <w:pStyle w:val="ListBullet"/>
        <w:spacing w:after="60"/>
      </w:pPr>
      <w:r>
        <w:t>Traiter les cotisations trimestrielles, les régularisations et les versements spontanés.</w:t>
      </w:r>
    </w:p>
    <w:p>
      <w:pPr>
        <w:pStyle w:val="ListBullet"/>
        <w:spacing w:after="60"/>
      </w:pPr>
      <w:r>
        <w:t>Suivre correctement un paiement par chèque jusqu’à son encaissement.</w:t>
      </w:r>
    </w:p>
    <w:p>
      <w:pPr>
        <w:pStyle w:val="ListBullet"/>
        <w:spacing w:after="60"/>
      </w:pPr>
      <w:r>
        <w:t>Contrôler un compte individuel ESR, produire un reçu et exploiter les états.</w:t>
      </w:r>
    </w:p>
    <w:p>
      <w:pPr>
        <w:pStyle w:val="ListBullet"/>
        <w:spacing w:after="60"/>
      </w:pPr>
      <w:r>
        <w:t>Préparer puis clôturer une période en respectant les contrôles bloquants.</w:t>
      </w:r>
    </w:p>
    <w:p>
      <w:pPr>
        <w:pStyle w:val="Heading1"/>
      </w:pPr>
      <w:r>
        <w:t>Déroulé détaillé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Heure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Séquence</w:t>
            </w:r>
          </w:p>
        </w:tc>
        <w:tc>
          <w:tcPr>
            <w:tcW w:type="dxa" w:w="47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Résultat attendu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08:30–09:00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Accueil, objectifs, rôles et règles de sécurité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Comprendre le périmètre et les responsabilités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09:00–09:45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Navigation, tableau de bord et recherche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 repérer et retrouver une information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09:45–10:30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Gestion des adhérents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Créer et contrôler une fiche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10:45–12:00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Cotisations trimestrielles et précomptes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Générer, importer et régulariser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13:00–14:00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Versement spontané et recalcul ESR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Saisir et expliquer l’impact financier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14:00–14:45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Paiements directs et workflow des chèques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Faire progresser un chèque jusqu’à ENCAISSÉ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15:00–15:45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Comptes, reçus, reporting et clôture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Contrôler et produire les justificatifs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15:45–16:20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Exercices pratiques et QCM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Valider l’autonomie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16:20–16:30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Synthèse, assistance et engagements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Fixer les actions post-formation</w:t>
            </w:r>
          </w:p>
        </w:tc>
      </w:tr>
    </w:tbl>
    <w:p/>
    <w:p>
      <w:pPr>
        <w:pStyle w:val="Heading1"/>
      </w:pPr>
      <w:r>
        <w:t>Critères de réussite</w:t>
      </w:r>
    </w:p>
    <w:p>
      <w:pPr>
        <w:pStyle w:val="ListBullet"/>
        <w:spacing w:after="60"/>
      </w:pPr>
      <w:r>
        <w:t>Présence à l’ensemble des séquences.</w:t>
      </w:r>
    </w:p>
    <w:p>
      <w:pPr>
        <w:pStyle w:val="ListBullet"/>
        <w:spacing w:after="60"/>
      </w:pPr>
      <w:r>
        <w:t>Score d’au moins 70 % au QCM.</w:t>
      </w:r>
    </w:p>
    <w:p>
      <w:pPr>
        <w:pStyle w:val="ListBullet"/>
        <w:spacing w:after="60"/>
      </w:pPr>
      <w:r>
        <w:t>Réalisation correcte d’au moins 3 scénarios pratiques sur 4.</w:t>
      </w:r>
    </w:p>
    <w:p>
      <w:pPr>
        <w:pStyle w:val="ListBullet"/>
        <w:spacing w:after="60"/>
      </w:pPr>
      <w:r>
        <w:t>Aucune validation fictive ou manipulation sur la production pendant les exercices.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Support de formation — Usage interne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b/>
        <w:color w:val="2E74B5"/>
      </w:rPr>
      <w:t>MADGI • ÉPARGNE SANTÉ RETRAITE   |  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635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47A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D89B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A6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