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43000" cy="994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adgi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94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SCÉNARIO DE DÉMONSTRATION</w:t>
      </w:r>
    </w:p>
    <w:p>
      <w:pPr>
        <w:jc w:val="center"/>
      </w:pPr>
      <w:r>
        <w:rPr>
          <w:b/>
          <w:color w:val="147A4B"/>
          <w:sz w:val="26"/>
        </w:rPr>
        <w:t>Conducteur pas à pas pour une démonstration fluide et vérifiable</w:t>
      </w:r>
    </w:p>
    <w:p>
      <w:pPr>
        <w:jc w:val="center"/>
      </w:pPr>
      <w:r>
        <w:rPr>
          <w:color w:val="667085"/>
        </w:rPr>
        <w:t>Version formation • 19 août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92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A6A"/>
              </w:rPr>
              <w:t xml:space="preserve">Règle de démonstration — </w:t>
            </w:r>
            <w:r>
              <w:t>Utiliser uniquement des adhérents de test. Annoncer l’objectif avant chaque manipulation et montrer le résultat attendu après chaque validation.</w:t>
            </w:r>
          </w:p>
        </w:tc>
      </w:tr>
    </w:tbl>
    <w:p/>
    <w:p>
      <w:pPr>
        <w:pStyle w:val="Heading1"/>
      </w:pPr>
      <w:r>
        <w:t>Préparation des données</w:t>
      </w:r>
    </w:p>
    <w:p>
      <w:pPr>
        <w:pStyle w:val="ListBullet"/>
        <w:spacing w:after="60"/>
      </w:pPr>
      <w:r>
        <w:t>Un compte GESTIONNAIRE et un compte ADMINISTRATEUR actifs.</w:t>
      </w:r>
    </w:p>
    <w:p>
      <w:pPr>
        <w:pStyle w:val="ListBullet"/>
        <w:spacing w:after="60"/>
      </w:pPr>
      <w:r>
        <w:t>Une période ESR ouverte avec au moins trois adhérents de test.</w:t>
      </w:r>
    </w:p>
    <w:p>
      <w:pPr>
        <w:pStyle w:val="ListBullet"/>
        <w:spacing w:after="60"/>
      </w:pPr>
      <w:r>
        <w:t>Un adhérent sans cotisation spontanée et un autre avec historique.</w:t>
      </w:r>
    </w:p>
    <w:p>
      <w:pPr>
        <w:pStyle w:val="ListBullet"/>
        <w:spacing w:after="60"/>
      </w:pPr>
      <w:r>
        <w:t>Un chèque de test, une référence de bordereau et une référence d’avis de crédit fictives.</w:t>
      </w:r>
    </w:p>
    <w:p>
      <w:pPr>
        <w:pStyle w:val="Heading1"/>
      </w:pPr>
      <w:r>
        <w:t>Parcours narratif — 45 minutes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7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Min.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Action à l’écran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Message à faire passer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73A6A"/>
              </w:rPr>
              <w:t>Contrôle visible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0–5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Connexion et tableau de bord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 menus et actions dépendent du rôle.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Nom, rôle et période affichés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5–10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Recherche puis ouverture d’un adhérent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Toujours vérifier matricule et identité avant une opération.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Fiche et historique cohérents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10–17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Afficher les précomptes du trimestre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 cotisation trimestrielle appartient à une période ouverte.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Période, montant, statut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17–25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Saisir un versement spontané en espèces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 versement augmente le capital et entraîne un recalcul; il ne soustrait pas mécaniquement son montant de l’échéance.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Montant &gt; 0, période, date de valeur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25–36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Saisir puis traiter un chèque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Une saisie n’est pas un encaissement. Le compte n’est crédité qu’à ENCAISSÉ.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Badges SAISI, CONTRÔLE, DÉPOSÉ, COMPENSÉ, VALIDÉ, ENCAISSÉ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36–40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Télécharger le reçu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 reçu est disponible après encaissement.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Dates au format JJ/MM/AAAA</w:t>
            </w:r>
          </w:p>
        </w:tc>
      </w:tr>
      <w:t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40–45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Contrôle de clôture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Les alertes doivent être levées avant clôture définitive.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Autorisation et liste des blocages</w:t>
            </w:r>
          </w:p>
        </w:tc>
      </w:tr>
    </w:tbl>
    <w:p/>
    <w:p>
      <w:pPr>
        <w:pStyle w:val="Heading1"/>
      </w:pPr>
      <w:r>
        <w:t>Script exact du chèque</w:t>
      </w:r>
    </w:p>
    <w:p>
      <w:pPr>
        <w:pStyle w:val="ListNumber"/>
        <w:spacing w:after="60"/>
      </w:pPr>
      <w:r>
        <w:t>Créer le paiement avec le moyen CHÈQUE et vérifier qu’il apparaît avec le statut SAISI.</w:t>
      </w:r>
    </w:p>
    <w:p>
      <w:pPr>
        <w:pStyle w:val="ListNumber"/>
        <w:spacing w:after="60"/>
      </w:pPr>
      <w:r>
        <w:t>Cliquer sur « Contrôler » après rapprochement avec les informations reçues.</w:t>
      </w:r>
    </w:p>
    <w:p>
      <w:pPr>
        <w:pStyle w:val="ListNumber"/>
        <w:spacing w:after="60"/>
      </w:pPr>
      <w:r>
        <w:t>Cliquer sur « Déposer en banque » et renseigner la référence du bordereau ainsi que la date de dépôt.</w:t>
      </w:r>
    </w:p>
    <w:p>
      <w:pPr>
        <w:pStyle w:val="ListNumber"/>
        <w:spacing w:after="60"/>
      </w:pPr>
      <w:r>
        <w:t>Après retour bancaire, cliquer sur « Confirmer compensation » et saisir la référence de l’avis de crédit et sa date.</w:t>
      </w:r>
    </w:p>
    <w:p>
      <w:pPr>
        <w:pStyle w:val="ListNumber"/>
        <w:spacing w:after="60"/>
      </w:pPr>
      <w:r>
        <w:t>Cliquer sur « Valider », puis sur « Encaisser ».</w:t>
      </w:r>
    </w:p>
    <w:p>
      <w:pPr>
        <w:pStyle w:val="ListNumber"/>
        <w:spacing w:after="60"/>
      </w:pPr>
      <w:r>
        <w:t>Vérifier le compte ESR, la cotisation recalculée et télécharger le reçu PDF.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9792"/>
            <w:shd w:fill="FCE8E6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b/>
                <w:color w:val="173A6A"/>
              </w:rPr>
              <w:t xml:space="preserve">Cas d’impayé — </w:t>
            </w:r>
            <w:r>
              <w:t>Depuis le statut DÉPOSÉ EN BANQUE, utiliser « Impayé » et saisir le motif du rejet. Ne jamais forcer un chèque rejeté vers ENCAISSÉ.</w:t>
            </w:r>
          </w:p>
        </w:tc>
      </w:tr>
    </w:tbl>
    <w:p/>
    <w:p>
      <w:pPr>
        <w:pStyle w:val="Heading1"/>
      </w:pPr>
      <w:r>
        <w:t>Questions à poser au groupe</w:t>
      </w:r>
    </w:p>
    <w:p>
      <w:pPr>
        <w:pStyle w:val="ListBullet"/>
        <w:spacing w:after="60"/>
      </w:pPr>
      <w:r>
        <w:t>À quel moment le capital acquis change-t-il ?</w:t>
      </w:r>
    </w:p>
    <w:p>
      <w:pPr>
        <w:pStyle w:val="ListBullet"/>
        <w:spacing w:after="60"/>
      </w:pPr>
      <w:r>
        <w:t>Quelles références doivent être conservées pour un chèque ?</w:t>
      </w:r>
    </w:p>
    <w:p>
      <w:pPr>
        <w:pStyle w:val="ListBullet"/>
        <w:spacing w:after="60"/>
      </w:pPr>
      <w:r>
        <w:t>Qui peut clôturer définitivement une période ?</w:t>
      </w:r>
    </w:p>
    <w:p>
      <w:pPr>
        <w:pStyle w:val="ListBullet"/>
        <w:spacing w:after="60"/>
      </w:pPr>
      <w:r>
        <w:t>Que vérifiez-vous avant de sélectionner un adhérent 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Support de formation — Usage interne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b/>
        <w:color w:val="2E74B5"/>
      </w:rPr>
      <w:t>MADGI • ÉPARGNE SANTÉ RETRAITE   |   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635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47A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D89B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A6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