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994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adgi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94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GUIDE UTILISATEUR</w:t>
      </w:r>
    </w:p>
    <w:p>
      <w:pPr>
        <w:jc w:val="center"/>
      </w:pPr>
      <w:r>
        <w:rPr>
          <w:b/>
          <w:color w:val="147A4B"/>
          <w:sz w:val="26"/>
        </w:rPr>
        <w:t>Les opérations essentielles de MADGI ESR</w:t>
      </w:r>
    </w:p>
    <w:p>
      <w:pPr>
        <w:jc w:val="center"/>
      </w:pPr>
      <w:r>
        <w:rPr>
          <w:color w:val="667085"/>
        </w:rPr>
        <w:t>Version formation • 19 août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92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A6A"/>
              </w:rPr>
              <w:t xml:space="preserve">Principe de sécurité — </w:t>
            </w:r>
            <w:r>
              <w:t>Chaque opération doit être effectuée avec un compte nominatif. Ne partagez jamais votre mot de passe et vérifiez l’adhérent, la période, le montant et le statut avant de valider.</w:t>
            </w:r>
          </w:p>
        </w:tc>
      </w:tr>
    </w:tbl>
    <w:p/>
    <w:p>
      <w:pPr>
        <w:pStyle w:val="Heading1"/>
      </w:pPr>
      <w:r>
        <w:t>1. Se connecter et se repérer</w:t>
      </w:r>
    </w:p>
    <w:p>
      <w:r>
        <w:t>Après connexion, le tableau de bord présente les indicateurs utiles et le menu donne accès aux fonctions autorisées.</w:t>
      </w:r>
    </w:p>
    <w:p>
      <w:pPr>
        <w:pStyle w:val="ListBullet"/>
        <w:spacing w:after="60"/>
      </w:pPr>
      <w:r>
        <w:t>Vérifier votre nom et votre rôle.</w:t>
      </w:r>
    </w:p>
    <w:p>
      <w:pPr>
        <w:pStyle w:val="ListBullet"/>
        <w:spacing w:after="60"/>
      </w:pPr>
      <w:r>
        <w:t>Identifier la période ouverte avant toute opération de cotisation.</w:t>
      </w:r>
    </w:p>
    <w:p>
      <w:pPr>
        <w:pStyle w:val="ListBullet"/>
        <w:spacing w:after="60"/>
      </w:pPr>
      <w:r>
        <w:t>Utiliser la recherche par matricule dès que possible.</w:t>
      </w:r>
    </w:p>
    <w:p>
      <w:pPr>
        <w:pStyle w:val="Heading1"/>
      </w:pPr>
      <w:r>
        <w:t>2. Gérer les adhérents</w:t>
      </w:r>
    </w:p>
    <w:p>
      <w:r>
        <w:t>La fiche adhérent centralise l’identité, les paramètres de cotisation et l’historique.</w:t>
      </w:r>
    </w:p>
    <w:p>
      <w:pPr>
        <w:pStyle w:val="ListBullet"/>
        <w:spacing w:after="60"/>
      </w:pPr>
      <w:r>
        <w:t>Rechercher avant de créer afin d’éviter les doublons.</w:t>
      </w:r>
    </w:p>
    <w:p>
      <w:pPr>
        <w:pStyle w:val="ListBullet"/>
        <w:spacing w:after="60"/>
      </w:pPr>
      <w:r>
        <w:t>Contrôler matricule, nom, prénoms et situation administrative.</w:t>
      </w:r>
    </w:p>
    <w:p>
      <w:pPr>
        <w:pStyle w:val="ListBullet"/>
        <w:spacing w:after="60"/>
      </w:pPr>
      <w:r>
        <w:t>Enregistrer puis relire les informations sensibles.</w:t>
      </w:r>
    </w:p>
    <w:p>
      <w:pPr>
        <w:pStyle w:val="Heading1"/>
      </w:pPr>
      <w:r>
        <w:t>3. Traiter les cotisations trimestrielles</w:t>
      </w:r>
    </w:p>
    <w:p>
      <w:r>
        <w:t>Le module Précomptes permet de travailler sur une période ouverte, de générer les montants, d’intégrer les retours et de traiter les écarts.</w:t>
      </w:r>
    </w:p>
    <w:p>
      <w:pPr>
        <w:pStyle w:val="ListBullet"/>
        <w:spacing w:after="60"/>
      </w:pPr>
      <w:r>
        <w:t>Sélectionner la bonne période.</w:t>
      </w:r>
    </w:p>
    <w:p>
      <w:pPr>
        <w:pStyle w:val="ListBullet"/>
        <w:spacing w:after="60"/>
      </w:pPr>
      <w:r>
        <w:t>Ne jamais confondre montant généré, précompté, encaissé et régularisé.</w:t>
      </w:r>
    </w:p>
    <w:p>
      <w:pPr>
        <w:pStyle w:val="ListBullet"/>
        <w:spacing w:after="60"/>
      </w:pPr>
      <w:r>
        <w:t>Vérifier les lignes à montant nul avant la clôture.</w:t>
      </w:r>
    </w:p>
    <w:p>
      <w:pPr>
        <w:pStyle w:val="Heading1"/>
      </w:pPr>
      <w:r>
        <w:t>4. Enregistrer une cotisation spontanée</w:t>
      </w:r>
    </w:p>
    <w:p>
      <w:r>
        <w:t>Choisir l’adhérent, saisir un montant strictement positif, le moyen de paiement et la date. La date de valeur correspond au premier jour du trimestre suivant.</w:t>
      </w:r>
    </w:p>
    <w:p>
      <w:pPr>
        <w:pStyle w:val="ListBullet"/>
        <w:spacing w:after="60"/>
      </w:pPr>
      <w:r>
        <w:t>Le versement augmente le capital acquis.</w:t>
      </w:r>
    </w:p>
    <w:p>
      <w:pPr>
        <w:pStyle w:val="ListBullet"/>
        <w:spacing w:after="60"/>
      </w:pPr>
      <w:r>
        <w:t>La cotisation trimestrielle est recalculée à partir du capital restant à constituer et des trimestres restants.</w:t>
      </w:r>
    </w:p>
    <w:p>
      <w:pPr>
        <w:pStyle w:val="ListBullet"/>
        <w:spacing w:after="60"/>
      </w:pPr>
      <w:r>
        <w:t>Le montant spontané n’est pas simplement déduit de la cotisation trimestrielle courante.</w:t>
      </w:r>
    </w:p>
    <w:p>
      <w:pPr>
        <w:pStyle w:val="Heading1"/>
      </w:pPr>
      <w:r>
        <w:t>5. Confirmer un paiement par chèque</w:t>
      </w:r>
    </w:p>
    <w:p>
      <w:r>
        <w:t>Le chèque reste visible dans la liste des paiements avec son statut. Il doit franchir toutes les étapes avant d’être comptabilisé comme encaissé.</w:t>
      </w:r>
    </w:p>
    <w:p>
      <w:pPr>
        <w:pStyle w:val="ListBullet"/>
        <w:spacing w:after="60"/>
      </w:pPr>
      <w:r>
        <w:t>SAISI : paiement enregistré.</w:t>
      </w:r>
    </w:p>
    <w:p>
      <w:pPr>
        <w:pStyle w:val="ListBullet"/>
        <w:spacing w:after="60"/>
      </w:pPr>
      <w:r>
        <w:t>CONTRÔLÉ : informations vérifiées.</w:t>
      </w:r>
    </w:p>
    <w:p>
      <w:pPr>
        <w:pStyle w:val="ListBullet"/>
        <w:spacing w:after="60"/>
      </w:pPr>
      <w:r>
        <w:t>DÉPOSÉ EN BANQUE : bordereau et date renseignés.</w:t>
      </w:r>
    </w:p>
    <w:p>
      <w:pPr>
        <w:pStyle w:val="ListBullet"/>
        <w:spacing w:after="60"/>
      </w:pPr>
      <w:r>
        <w:t>COMPENSÉ : avis de crédit bancaire reçu.</w:t>
      </w:r>
    </w:p>
    <w:p>
      <w:pPr>
        <w:pStyle w:val="ListBullet"/>
        <w:spacing w:after="60"/>
      </w:pPr>
      <w:r>
        <w:t>VALIDÉ puis ENCAISSÉ : capitalisation effective et reçu disponible.</w:t>
      </w:r>
    </w:p>
    <w:p>
      <w:pPr>
        <w:pStyle w:val="Heading1"/>
      </w:pPr>
      <w:r>
        <w:t>6. Consulter le compte ESR et les reçus</w:t>
      </w:r>
    </w:p>
    <w:p>
      <w:r>
        <w:t>Le compte individuel permet de vérifier le capital acquis et les mouvements. Le reçu PDF constitue le justificatif utilisateur.</w:t>
      </w:r>
    </w:p>
    <w:p>
      <w:pPr>
        <w:pStyle w:val="ListBullet"/>
        <w:spacing w:after="60"/>
      </w:pPr>
      <w:r>
        <w:t>Comparer le mouvement au paiement encaissé.</w:t>
      </w:r>
    </w:p>
    <w:p>
      <w:pPr>
        <w:pStyle w:val="ListBullet"/>
        <w:spacing w:after="60"/>
      </w:pPr>
      <w:r>
        <w:t>Vérifier les dates affichées au format JJ/MM/AAAA.</w:t>
      </w:r>
    </w:p>
    <w:p>
      <w:pPr>
        <w:pStyle w:val="ListBullet"/>
        <w:spacing w:after="60"/>
      </w:pPr>
      <w:r>
        <w:t>Conserver le reçu selon les règles d’archivage internes.</w:t>
      </w:r>
    </w:p>
    <w:p>
      <w:pPr>
        <w:pStyle w:val="Heading1"/>
      </w:pPr>
      <w:r>
        <w:t>7. Clôturer une période</w:t>
      </w:r>
    </w:p>
    <w:p>
      <w:r>
        <w:t>La clôture est une opération définitive réservée aux profils autorisés. Le système affiche les contrôles et les alertes.</w:t>
      </w:r>
    </w:p>
    <w:p>
      <w:pPr>
        <w:pStyle w:val="ListBullet"/>
        <w:spacing w:after="60"/>
      </w:pPr>
      <w:r>
        <w:t>Traiter les paiements en attente et les anomalies.</w:t>
      </w:r>
    </w:p>
    <w:p>
      <w:pPr>
        <w:pStyle w:val="ListBullet"/>
        <w:spacing w:after="60"/>
      </w:pPr>
      <w:r>
        <w:t>Contrôler les précomptes, régularisations et montants nuls.</w:t>
      </w:r>
    </w:p>
    <w:p>
      <w:pPr>
        <w:pStyle w:val="ListBullet"/>
        <w:spacing w:after="60"/>
      </w:pPr>
      <w:r>
        <w:t>Ne clôturer que lorsque l’autorisation est affichée.</w:t>
      </w:r>
    </w:p>
    <w:p>
      <w:pPr>
        <w:pStyle w:val="Heading1"/>
      </w:pPr>
      <w:r>
        <w:t>8. Messages d’erreur : premiers réflexes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Situation</w:t>
            </w:r>
          </w:p>
        </w:tc>
        <w:tc>
          <w:tcPr>
            <w:tcW w:type="dxa" w:w="66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Action recommandée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Demande impossible à traiter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Noter l’heure, l’adhérent et l’action; actualiser une seule fois; transmettre la capture au support si l’erreur persiste.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Paiement introuvable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Ouvrir la liste des paiements et vérifier les filtres et le statut, notamment SAISI ou DÉPOSÉ EN BANQUE.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Bouton non disponible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Vérifier le rôle utilisateur et l’étape précédente du workflow.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Clôture impossible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Lire chaque alerte, corriger les blocages puis relancer le contrôle.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Montant inattendu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Contrôler période, capital acquis, paramètres de l’adhérent et nombre de trimestres restants.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Support de formation — Usage interne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b/>
        <w:color w:val="2E74B5"/>
      </w:rPr>
      <w:t>MADGI • ÉPARGNE SANTÉ RETRAITE   |  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635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47A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D89B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A6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