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43000" cy="9948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madgi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994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FICHES PRATIQUES</w:t>
      </w:r>
    </w:p>
    <w:p>
      <w:pPr>
        <w:jc w:val="center"/>
      </w:pPr>
      <w:r>
        <w:rPr>
          <w:b/>
          <w:color w:val="147A4B"/>
          <w:sz w:val="26"/>
        </w:rPr>
        <w:t>Aide-mémoire à conserver au poste de travail</w:t>
      </w:r>
    </w:p>
    <w:p>
      <w:pPr>
        <w:jc w:val="center"/>
      </w:pPr>
      <w:r>
        <w:rPr>
          <w:color w:val="667085"/>
        </w:rPr>
        <w:t>Version formation • 19 août 2026</w:t>
      </w:r>
    </w:p>
    <w:p/>
    <w:p>
      <w:pPr>
        <w:pStyle w:val="Heading1"/>
      </w:pPr>
      <w:r>
        <w:t>FICHE 1 — Cotisation spontanée</w:t>
      </w:r>
    </w:p>
    <w:p>
      <w:pPr>
        <w:pStyle w:val="ListNumber"/>
        <w:spacing w:after="60"/>
      </w:pPr>
      <w:r>
        <w:t>Rechercher l’adhérent par matricule.</w:t>
      </w:r>
    </w:p>
    <w:p>
      <w:pPr>
        <w:pStyle w:val="ListNumber"/>
        <w:spacing w:after="60"/>
      </w:pPr>
      <w:r>
        <w:t>Vérifier la cotisation trimestrielle affichée.</w:t>
      </w:r>
    </w:p>
    <w:p>
      <w:pPr>
        <w:pStyle w:val="ListNumber"/>
        <w:spacing w:after="60"/>
      </w:pPr>
      <w:r>
        <w:t>Saisir un montant supérieur à zéro.</w:t>
      </w:r>
    </w:p>
    <w:p>
      <w:pPr>
        <w:pStyle w:val="ListNumber"/>
        <w:spacing w:after="60"/>
      </w:pPr>
      <w:r>
        <w:t>Choisir le moyen de versement et la date.</w:t>
      </w:r>
    </w:p>
    <w:p>
      <w:pPr>
        <w:pStyle w:val="ListNumber"/>
        <w:spacing w:after="60"/>
      </w:pPr>
      <w:r>
        <w:t>Valider puis vérifier la période et la date de valeur.</w:t>
      </w:r>
    </w:p>
    <w:p>
      <w:pPr>
        <w:pStyle w:val="ListNumber"/>
        <w:spacing w:after="60"/>
      </w:pPr>
      <w:r>
        <w:t>Contrôler le compte ESR et le nouveau montant trimestriel.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792"/>
            <w:shd w:fill="E8EEF5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173A6A"/>
              </w:rPr>
              <w:t xml:space="preserve">À ne pas oublier — </w:t>
            </w:r>
            <w:r>
              <w:t>Le versement spontané déclenche un recalcul, pas une soustraction directe.</w:t>
            </w:r>
          </w:p>
        </w:tc>
      </w:tr>
    </w:tbl>
    <w:p/>
    <w:p>
      <w:pPr>
        <w:pStyle w:val="Heading1"/>
      </w:pPr>
      <w:r>
        <w:t>FICHE 2 — Chèque</w:t>
      </w:r>
    </w:p>
    <w:p>
      <w:pPr>
        <w:pStyle w:val="ListNumber"/>
        <w:spacing w:after="60"/>
      </w:pPr>
      <w:r>
        <w:t>Créer le paiement avec CHÈQUE.</w:t>
      </w:r>
    </w:p>
    <w:p>
      <w:pPr>
        <w:pStyle w:val="ListNumber"/>
        <w:spacing w:after="60"/>
      </w:pPr>
      <w:r>
        <w:t>Contrôler les informations.</w:t>
      </w:r>
    </w:p>
    <w:p>
      <w:pPr>
        <w:pStyle w:val="ListNumber"/>
        <w:spacing w:after="60"/>
      </w:pPr>
      <w:r>
        <w:t>Déposer en banque : saisir bordereau + date.</w:t>
      </w:r>
    </w:p>
    <w:p>
      <w:pPr>
        <w:pStyle w:val="ListNumber"/>
        <w:spacing w:after="60"/>
      </w:pPr>
      <w:r>
        <w:t>Confirmer la compensation : saisir avis de crédit + date.</w:t>
      </w:r>
    </w:p>
    <w:p>
      <w:pPr>
        <w:pStyle w:val="ListNumber"/>
        <w:spacing w:after="60"/>
      </w:pPr>
      <w:r>
        <w:t>Valider puis encaisser.</w:t>
      </w:r>
    </w:p>
    <w:p>
      <w:pPr>
        <w:pStyle w:val="ListNumber"/>
        <w:spacing w:after="60"/>
      </w:pPr>
      <w:r>
        <w:t>Télécharger le reçu; en cas de rejet, utiliser IMPAYÉ.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792"/>
            <w:shd w:fill="E8EEF5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173A6A"/>
              </w:rPr>
              <w:t xml:space="preserve">À ne pas oublier — </w:t>
            </w:r>
            <w:r>
              <w:t>Un chèque n’est capitalisé qu’au statut ENCAISSÉ.</w:t>
            </w:r>
          </w:p>
        </w:tc>
      </w:tr>
    </w:tbl>
    <w:p/>
    <w:p>
      <w:pPr>
        <w:pStyle w:val="Heading1"/>
      </w:pPr>
      <w:r>
        <w:t>FICHE 3 — Précompte trimestriel</w:t>
      </w:r>
    </w:p>
    <w:p>
      <w:pPr>
        <w:pStyle w:val="ListNumber"/>
        <w:spacing w:after="60"/>
      </w:pPr>
      <w:r>
        <w:t>Vérifier la période ouverte.</w:t>
      </w:r>
    </w:p>
    <w:p>
      <w:pPr>
        <w:pStyle w:val="ListNumber"/>
        <w:spacing w:after="60"/>
      </w:pPr>
      <w:r>
        <w:t>Générer ou consulter les lignes.</w:t>
      </w:r>
    </w:p>
    <w:p>
      <w:pPr>
        <w:pStyle w:val="ListNumber"/>
        <w:spacing w:after="60"/>
      </w:pPr>
      <w:r>
        <w:t>Exporter selon la procédure interne.</w:t>
      </w:r>
    </w:p>
    <w:p>
      <w:pPr>
        <w:pStyle w:val="ListNumber"/>
        <w:spacing w:after="60"/>
      </w:pPr>
      <w:r>
        <w:t>Importer ou saisir les retours.</w:t>
      </w:r>
    </w:p>
    <w:p>
      <w:pPr>
        <w:pStyle w:val="ListNumber"/>
        <w:spacing w:after="60"/>
      </w:pPr>
      <w:r>
        <w:t>Régulariser les non-précomptés.</w:t>
      </w:r>
    </w:p>
    <w:p>
      <w:pPr>
        <w:pStyle w:val="ListNumber"/>
        <w:spacing w:after="60"/>
      </w:pPr>
      <w:r>
        <w:t>Contrôler les statuts et les montants avant clôture.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792"/>
            <w:shd w:fill="E8EEF5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173A6A"/>
              </w:rPr>
              <w:t xml:space="preserve">À ne pas oublier — </w:t>
            </w:r>
            <w:r>
              <w:t>Une période clôturée ne doit plus recevoir d’opération.</w:t>
            </w:r>
          </w:p>
        </w:tc>
      </w:tr>
    </w:tbl>
    <w:p/>
    <w:p>
      <w:pPr>
        <w:pStyle w:val="Heading1"/>
      </w:pPr>
      <w:r>
        <w:t>FICHE 4 — Clôture</w:t>
      </w:r>
    </w:p>
    <w:p>
      <w:pPr>
        <w:pStyle w:val="ListNumber"/>
        <w:spacing w:after="60"/>
      </w:pPr>
      <w:r>
        <w:t>Utiliser le contrôle de clôture.</w:t>
      </w:r>
    </w:p>
    <w:p>
      <w:pPr>
        <w:pStyle w:val="ListNumber"/>
        <w:spacing w:after="60"/>
      </w:pPr>
      <w:r>
        <w:t>Traiter chaque alerte affichée.</w:t>
      </w:r>
    </w:p>
    <w:p>
      <w:pPr>
        <w:pStyle w:val="ListNumber"/>
        <w:spacing w:after="60"/>
      </w:pPr>
      <w:r>
        <w:t>Vérifier qu’aucun paiement ne reste en attente.</w:t>
      </w:r>
    </w:p>
    <w:p>
      <w:pPr>
        <w:pStyle w:val="ListNumber"/>
        <w:spacing w:after="60"/>
      </w:pPr>
      <w:r>
        <w:t>Contrôler les montants nuls ou incohérents.</w:t>
      </w:r>
    </w:p>
    <w:p>
      <w:pPr>
        <w:pStyle w:val="ListNumber"/>
        <w:spacing w:after="60"/>
      </w:pPr>
      <w:r>
        <w:t>Faire valider les états de contrôle.</w:t>
      </w:r>
    </w:p>
    <w:p>
      <w:pPr>
        <w:pStyle w:val="ListNumber"/>
        <w:spacing w:after="60"/>
      </w:pPr>
      <w:r>
        <w:t>Clôturer avec un compte administrateur.</w:t>
      </w:r>
    </w:p>
    <w:p>
      <w:pPr>
        <w:pStyle w:val="Heading1"/>
      </w:pPr>
      <w:r>
        <w:t>Escalade au support</w:t>
      </w:r>
    </w:p>
    <w:p>
      <w:pPr>
        <w:pStyle w:val="ListBullet"/>
        <w:spacing w:after="60"/>
      </w:pPr>
      <w:r>
        <w:t>Indiquer votre nom et votre rôle.</w:t>
      </w:r>
    </w:p>
    <w:p>
      <w:pPr>
        <w:pStyle w:val="ListBullet"/>
        <w:spacing w:after="60"/>
      </w:pPr>
      <w:r>
        <w:t>Donner le matricule de l’adhérent sans transmettre de données inutiles.</w:t>
      </w:r>
    </w:p>
    <w:p>
      <w:pPr>
        <w:pStyle w:val="ListBullet"/>
        <w:spacing w:after="60"/>
      </w:pPr>
      <w:r>
        <w:t>Préciser la période, le montant, l’heure et l’action réalisée.</w:t>
      </w:r>
    </w:p>
    <w:p>
      <w:pPr>
        <w:pStyle w:val="ListBullet"/>
        <w:spacing w:after="60"/>
      </w:pPr>
      <w:r>
        <w:t>Joindre une capture du message complet.</w:t>
      </w:r>
    </w:p>
    <w:p>
      <w:pPr>
        <w:pStyle w:val="ListBullet"/>
        <w:spacing w:after="60"/>
      </w:pPr>
      <w:r>
        <w:t>Ne pas multiplier les validations en cas de lenteur.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Support de formation — Usage interne •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rPr>
        <w:b/>
        <w:color w:val="2E74B5"/>
      </w:rPr>
      <w:t>MADGI • ÉPARGNE SANTÉ RETRAITE   |   05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6354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47A4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D89B2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A6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