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233593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23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 w:after="160"/>
        <w:jc w:val="center"/>
      </w:pPr>
      <w:r>
        <w:rPr>
          <w:rFonts w:ascii="Calibri" w:hAnsi="Calibri"/>
          <w:b/>
          <w:color w:val="17365D"/>
          <w:sz w:val="50"/>
        </w:rPr>
        <w:t>PROPOSITION BUDGÉTAIRE</w:t>
      </w:r>
    </w:p>
    <w:p>
      <w:pPr>
        <w:spacing w:after="440"/>
        <w:jc w:val="center"/>
      </w:pPr>
      <w:r>
        <w:rPr>
          <w:rFonts w:ascii="Calibri" w:hAnsi="Calibri"/>
          <w:color w:val="2E74B5"/>
          <w:sz w:val="30"/>
        </w:rPr>
        <w:t>Hébergement autonome de l'application MADGI ESR</w:t>
      </w:r>
    </w:p>
    <w:p>
      <w:pPr>
        <w:spacing w:after="560"/>
        <w:jc w:val="center"/>
      </w:pPr>
      <w:r>
        <w:rPr>
          <w:rFonts w:ascii="Calibri" w:hAnsi="Calibri"/>
          <w:i/>
          <w:color w:val="667085"/>
          <w:sz w:val="22"/>
        </w:rPr>
        <w:t>Infrastructure Docker avec Supabase auto-hébergé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BUDGET RECOMMANDÉ HORS SMS</w:t>
            </w:r>
          </w:p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17365D"/>
                <w:sz w:val="42"/>
              </w:rPr>
              <w:t>49 500 FCFA / mois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667085"/>
                <w:sz w:val="19"/>
              </w:rPr>
              <w:t>594 000 FCFA par an, majoration de sécurité de 10 % incluse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640"/>
        <w:jc w:val="center"/>
      </w:pPr>
      <w:r>
        <w:rPr>
          <w:rFonts w:ascii="Calibri" w:hAnsi="Calibri"/>
          <w:b/>
          <w:color w:val="17365D"/>
          <w:sz w:val="20"/>
        </w:rPr>
        <w:t>Document préparé pour décision et engagement budgétaire</w:t>
      </w:r>
    </w:p>
    <w:p>
      <w:pPr>
        <w:jc w:val="center"/>
      </w:pPr>
      <w:r>
        <w:rPr>
          <w:rFonts w:ascii="Calibri" w:hAnsi="Calibri"/>
          <w:color w:val="667085"/>
          <w:sz w:val="19"/>
        </w:rPr>
        <w:t>Version du 12 août 2026</w:t>
      </w:r>
    </w:p>
    <w:p>
      <w:r>
        <w:br w:type="page"/>
      </w:r>
    </w:p>
    <w:p>
      <w:pPr>
        <w:pStyle w:val="Heading1"/>
        <w:keepNext/>
      </w:pPr>
      <w:r>
        <w:t>1. Objet de la proposition</w:t>
      </w:r>
    </w:p>
    <w:p>
      <w:r>
        <w:t>La présente proposition chiffre l'hébergement autonome de l'application MADGI ESR. L'infrastructure regroupe sur un serveur privé virtuel le frontend React, l'API Node.js, la base PostgreSQL et les services Supabase auto-hébergés, le proxy HTTPS et les outils de sauvegarde. Elle exclut expressément les dépenses de SMS.</w:t>
      </w:r>
    </w:p>
    <w:p>
      <w:pPr>
        <w:pStyle w:val="Heading1"/>
        <w:keepNext/>
      </w:pPr>
      <w:r>
        <w:t>2. Configuration technique retenue</w:t>
      </w:r>
    </w:p>
    <w:p>
      <w:pPr>
        <w:pStyle w:val="ListBullet"/>
      </w:pPr>
      <w:r>
        <w:t>VPS Ubuntu Server 24.04 LTS avec 6 à 8 vCPU, 16 Go de RAM et au moins 160 Go de stockage NVMe.</w:t>
      </w:r>
    </w:p>
    <w:p>
      <w:pPr>
        <w:pStyle w:val="ListBullet"/>
      </w:pPr>
      <w:r>
        <w:t>Déploiement Docker Compose du frontend, de l'API, de Caddy et de Supabase auto-hébergé.</w:t>
      </w:r>
    </w:p>
    <w:p>
      <w:pPr>
        <w:pStyle w:val="ListBullet"/>
      </w:pPr>
      <w:r>
        <w:t>Sauvegarde quotidienne du VPS avec rétention Premium sur sept jours.</w:t>
      </w:r>
    </w:p>
    <w:p>
      <w:pPr>
        <w:pStyle w:val="ListBullet"/>
      </w:pPr>
      <w:r>
        <w:t>Sauvegarde PostgreSQL quotidienne, compressée, chiffrée et transférée hors du VPS.</w:t>
      </w:r>
    </w:p>
    <w:p>
      <w:pPr>
        <w:pStyle w:val="ListBullet"/>
      </w:pPr>
      <w:r>
        <w:t>Certificats HTTPS automatiques et supervision basique de la disponibilité.</w:t>
      </w:r>
    </w:p>
    <w:p>
      <w:pPr>
        <w:pStyle w:val="Heading1"/>
        <w:keepNext/>
      </w:pPr>
      <w:r>
        <w:t>3. Synthèse financière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0"/>
        <w:gridCol w:w="2180"/>
        <w:gridCol w:w="2180"/>
      </w:tblGrid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Mensuel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Annuel</w:t>
            </w:r>
          </w:p>
        </w:tc>
        <w:trPr>
          <w:tblHeader/>
        </w:trPr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Coût avant majoration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21"/>
              </w:rPr>
              <w:t>45 000 FCFA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21"/>
              </w:rPr>
              <w:t>540 000 FCFA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Majoration de sécurité (10 %)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21"/>
              </w:rPr>
              <w:t>4 500 FCFA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21"/>
              </w:rPr>
              <w:t>54 000 FCFA</w:t>
            </w:r>
          </w:p>
        </w:tc>
      </w:tr>
      <w:tr>
        <w:tc>
          <w:tcPr>
            <w:tcW w:type="dxa" w:w="5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21"/>
              </w:rPr>
              <w:t>Budget total recommandé</w:t>
            </w:r>
          </w:p>
        </w:tc>
        <w:tc>
          <w:tcPr>
            <w:tcW w:type="dxa" w:w="21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1"/>
              </w:rPr>
              <w:t>49 500 FCFA</w:t>
            </w:r>
          </w:p>
        </w:tc>
        <w:tc>
          <w:tcPr>
            <w:tcW w:type="dxa" w:w="21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1"/>
              </w:rPr>
              <w:t>594 000 FCFA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1F6D4A"/>
          <w:sz w:val="22"/>
        </w:rPr>
        <w:t>Montant conseillé pour l'inscription budgétaire : 600 000 FCFA par an.</w:t>
      </w:r>
    </w:p>
    <w:p>
      <w:r>
        <w:t>Cet arrondi crée une réserve complémentaire de 6 000 FCFA destinée à absorber une variation limitée de prix, de taxe ou de change.</w:t>
      </w:r>
    </w:p>
    <w:p>
      <w:r>
        <w:br w:type="page"/>
      </w:r>
    </w:p>
    <w:p>
      <w:pPr>
        <w:pStyle w:val="Heading1"/>
        <w:keepNext/>
      </w:pPr>
      <w:r>
        <w:t>4. Détail du budget mensuel</w:t>
      </w:r>
    </w:p>
    <w:p>
      <w:r>
        <w:t>Les montants ci-dessous constituent une enveloppe prudente. Ils devront être confirmés par le devis du fournisseur au moment de la commande.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50"/>
        <w:gridCol w:w="4050"/>
        <w:gridCol w:w="1380"/>
        <w:gridCol w:w="138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Poste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Mensuel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Annuel</w:t>
            </w:r>
          </w:p>
        </w:tc>
        <w:trPr>
          <w:tblHeader/>
        </w:trPr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VPS de production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6–8 vCPU, 16 Go RAM, ≥160 Go NVMe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30 000 FCFA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360 000 FCFA</w:t>
            </w:r>
          </w:p>
        </w:tc>
      </w:tr>
      <w:tr>
        <w:tc>
          <w:tcPr>
            <w:tcW w:type="dxa" w:w="25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Sauvegarde VPS</w:t>
            </w:r>
          </w:p>
        </w:tc>
        <w:tc>
          <w:tcPr>
            <w:tcW w:type="dxa" w:w="40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Sauvegarde Premium, rétention 7 jours</w:t>
            </w:r>
          </w:p>
        </w:tc>
        <w:tc>
          <w:tcPr>
            <w:tcW w:type="dxa" w:w="13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7 000 FCFA</w:t>
            </w:r>
          </w:p>
        </w:tc>
        <w:tc>
          <w:tcPr>
            <w:tcW w:type="dxa" w:w="13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84 000 FCFA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Sauvegarde externe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Dumps PostgreSQL chiffrés, 50–100 Go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1 500 FCFA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18 000 FCFA</w:t>
            </w:r>
          </w:p>
        </w:tc>
      </w:tr>
      <w:tr>
        <w:tc>
          <w:tcPr>
            <w:tcW w:type="dxa" w:w="25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E-mails</w:t>
            </w:r>
          </w:p>
        </w:tc>
        <w:tc>
          <w:tcPr>
            <w:tcW w:type="dxa" w:w="40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Service transactionnel pour notifications</w:t>
            </w:r>
          </w:p>
        </w:tc>
        <w:tc>
          <w:tcPr>
            <w:tcW w:type="dxa" w:w="13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4 600 FCFA</w:t>
            </w:r>
          </w:p>
        </w:tc>
        <w:tc>
          <w:tcPr>
            <w:tcW w:type="dxa" w:w="13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55 200 FCFA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Nom de domaine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Provision annuelle ou renouvellement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750 FCFA</w:t>
            </w:r>
          </w:p>
        </w:tc>
        <w:tc>
          <w:tcPr>
            <w:tcW w:type="dxa" w:w="1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9 000 FCFA</w:t>
            </w:r>
          </w:p>
        </w:tc>
      </w:tr>
      <w:tr>
        <w:tc>
          <w:tcPr>
            <w:tcW w:type="dxa" w:w="25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Provision technique</w:t>
            </w:r>
          </w:p>
        </w:tc>
        <w:tc>
          <w:tcPr>
            <w:tcW w:type="dxa" w:w="40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Stockage, trafic et ajustements mineurs</w:t>
            </w:r>
          </w:p>
        </w:tc>
        <w:tc>
          <w:tcPr>
            <w:tcW w:type="dxa" w:w="13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1 150 FCFA</w:t>
            </w:r>
          </w:p>
        </w:tc>
        <w:tc>
          <w:tcPr>
            <w:tcW w:type="dxa" w:w="13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13 800 FCFA</w:t>
            </w:r>
          </w:p>
        </w:tc>
      </w:tr>
      <w:tr>
        <w:tc>
          <w:tcPr>
            <w:tcW w:type="dxa" w:w="6600"/>
            <w:gridSpan w:val="2"/>
            <w:shd w:fill="E8EEF5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Sous-total</w:t>
            </w:r>
          </w:p>
        </w:tc>
        <w:tc>
          <w:tcPr>
            <w:tcW w:type="dxa" w:w="1380"/>
            <w:shd w:fill="E8EEF5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0"/>
              </w:rPr>
              <w:t>45 000 FCFA</w:t>
            </w:r>
          </w:p>
        </w:tc>
        <w:tc>
          <w:tcPr>
            <w:tcW w:type="dxa" w:w="1380"/>
            <w:shd w:fill="E8EEF5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0"/>
              </w:rPr>
              <w:t>540 000 FCFA</w:t>
            </w:r>
          </w:p>
        </w:tc>
      </w:tr>
      <w:tr>
        <w:tc>
          <w:tcPr>
            <w:tcW w:type="dxa" w:w="6600"/>
            <w:gridSpan w:val="2"/>
            <w:shd w:fill="FFF4E5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Majoration de 10 %</w:t>
            </w:r>
          </w:p>
        </w:tc>
        <w:tc>
          <w:tcPr>
            <w:tcW w:type="dxa" w:w="1380"/>
            <w:shd w:fill="FFF4E5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0"/>
              </w:rPr>
              <w:t>4 500 FCFA</w:t>
            </w:r>
          </w:p>
        </w:tc>
        <w:tc>
          <w:tcPr>
            <w:tcW w:type="dxa" w:w="1380"/>
            <w:shd w:fill="FFF4E5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0"/>
              </w:rPr>
              <w:t>54 000 FCFA</w:t>
            </w:r>
          </w:p>
        </w:tc>
      </w:tr>
      <w:tr>
        <w:tc>
          <w:tcPr>
            <w:tcW w:type="dxa" w:w="6600"/>
            <w:gridSpan w:val="2"/>
            <w:shd w:fill="DDEFE5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TOTAL RECOMMANDÉ</w:t>
            </w:r>
          </w:p>
        </w:tc>
        <w:tc>
          <w:tcPr>
            <w:tcW w:type="dxa" w:w="1380"/>
            <w:shd w:fill="DDEFE5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0"/>
              </w:rPr>
              <w:t>49 500 FCFA</w:t>
            </w:r>
          </w:p>
        </w:tc>
        <w:tc>
          <w:tcPr>
            <w:tcW w:type="dxa" w:w="1380"/>
            <w:shd w:fill="DDEFE5"/>
          </w:tcPr>
          <w:p>
            <w:pPr>
              <w:jc w:val="right"/>
            </w:pPr>
            <w:r>
              <w:rPr>
                <w:rFonts w:ascii="Calibri" w:hAnsi="Calibri"/>
                <w:b/>
                <w:color w:val="17365D"/>
                <w:sz w:val="20"/>
              </w:rPr>
              <w:t>594 000 FCFA</w:t>
            </w:r>
          </w:p>
        </w:tc>
      </w:tr>
    </w:tbl>
    <w:p>
      <w:pPr>
        <w:pStyle w:val="Heading1"/>
        <w:keepNext/>
      </w:pPr>
      <w:r>
        <w:t>5. Services sans coût de licence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Composant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Traitement budgétaire</w:t>
            </w:r>
          </w:p>
        </w:tc>
        <w:trPr>
          <w:tblHeader/>
        </w:trPr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HTTPS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Caddy et certificats Let's Encrypt : gratuit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Docker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Docker Engine et Docker Compose : gratuit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Supabase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Version open source auto-hébergée : gratuit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Supervision basique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Uptime Kuma et alertes locales : gratuit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Éléments compris dans le budget</w:t>
      </w:r>
    </w:p>
    <w:p>
      <w:pPr>
        <w:pStyle w:val="ListBullet"/>
      </w:pPr>
      <w:r>
        <w:t>Hébergement permanent de l'application MADGI ESR.</w:t>
      </w:r>
    </w:p>
    <w:p>
      <w:pPr>
        <w:pStyle w:val="ListBullet"/>
      </w:pPr>
      <w:r>
        <w:t>Frontend React, API Node.js et Supabase auto-hébergé.</w:t>
      </w:r>
    </w:p>
    <w:p>
      <w:pPr>
        <w:pStyle w:val="ListBullet"/>
      </w:pPr>
      <w:r>
        <w:t>Base PostgreSQL, authentification, stockage et services nécessaires.</w:t>
      </w:r>
    </w:p>
    <w:p>
      <w:pPr>
        <w:pStyle w:val="ListBullet"/>
      </w:pPr>
      <w:r>
        <w:t>Certificats HTTPS et renouvellement automatique.</w:t>
      </w:r>
    </w:p>
    <w:p>
      <w:pPr>
        <w:pStyle w:val="ListBullet"/>
      </w:pPr>
      <w:r>
        <w:t>Sauvegardes du VPS et sauvegardes PostgreSQL hors serveur.</w:t>
      </w:r>
    </w:p>
    <w:p>
      <w:pPr>
        <w:pStyle w:val="ListBullet"/>
      </w:pPr>
      <w:r>
        <w:t>Nom de domaine, e-mails transactionnels et supervision basique.</w:t>
      </w:r>
    </w:p>
    <w:p>
      <w:pPr>
        <w:pStyle w:val="ListBullet"/>
      </w:pPr>
      <w:r>
        <w:t>Majoration de sécurité de 10 % sur l'enveloppe de base.</w:t>
      </w:r>
    </w:p>
    <w:p>
      <w:pPr>
        <w:pStyle w:val="Heading1"/>
        <w:keepNext/>
      </w:pPr>
      <w:r>
        <w:t>7. Éléments non compris</w:t>
      </w:r>
    </w:p>
    <w:p>
      <w:pPr>
        <w:pStyle w:val="ListBullet"/>
      </w:pPr>
      <w:r>
        <w:t>Consommation et crédits SMS.</w:t>
      </w:r>
    </w:p>
    <w:p>
      <w:pPr>
        <w:pStyle w:val="ListBullet"/>
      </w:pPr>
      <w:r>
        <w:t>Administration système mensuelle par un prestataire.</w:t>
      </w:r>
    </w:p>
    <w:p>
      <w:pPr>
        <w:pStyle w:val="ListBullet"/>
      </w:pPr>
      <w:r>
        <w:t>Développement de nouvelles fonctionnalités ou maintenance applicative évolutive.</w:t>
      </w:r>
    </w:p>
    <w:p>
      <w:pPr>
        <w:pStyle w:val="ListBullet"/>
      </w:pPr>
      <w:r>
        <w:t>Deuxième serveur de secours, réplication active ou haute disponibilité.</w:t>
      </w:r>
    </w:p>
    <w:p>
      <w:pPr>
        <w:pStyle w:val="ListBullet"/>
      </w:pPr>
      <w:r>
        <w:t>Interventions exceptionnelles de cybersécurité ou reprise après sinistre.</w:t>
      </w:r>
    </w:p>
    <w:p>
      <w:pPr>
        <w:pStyle w:val="ListBullet"/>
      </w:pPr>
      <w:r>
        <w:t>Taxes spécifiques et frais bancaires liés aux paiements internationaux.</w:t>
      </w:r>
    </w:p>
    <w:p>
      <w:pPr>
        <w:pStyle w:val="Heading1"/>
        <w:keepNext/>
      </w:pPr>
      <w:r>
        <w:t>8. Hypothèses et conditions</w:t>
      </w:r>
    </w:p>
    <w:p>
      <w:pPr>
        <w:pStyle w:val="ListBullet"/>
      </w:pPr>
      <w:r>
        <w:t>Le budget est établi hors SMS et sur la base d'un serveur unique de production.</w:t>
      </w:r>
    </w:p>
    <w:p>
      <w:pPr>
        <w:pStyle w:val="ListBullet"/>
      </w:pPr>
      <w:r>
        <w:t>Les prix sont indicatifs et doivent être confirmés lors de la souscription.</w:t>
      </w:r>
    </w:p>
    <w:p>
      <w:pPr>
        <w:pStyle w:val="ListBullet"/>
      </w:pPr>
      <w:r>
        <w:t>L'auto-hébergement transfère à MADGI la responsabilité des mises à jour, de la sécurité, des sauvegardes et des restaurations.</w:t>
      </w:r>
    </w:p>
    <w:p>
      <w:pPr>
        <w:pStyle w:val="ListBullet"/>
      </w:pPr>
      <w:r>
        <w:t>Une restauration de sauvegarde devra être testée périodiquement sur une instance isolée.</w:t>
      </w:r>
    </w:p>
    <w:p>
      <w:pPr>
        <w:pStyle w:val="ListBullet"/>
      </w:pPr>
      <w:r>
        <w:t>Le passage à une architecture haute disponibilité fera l'objet d'un budget séparé.</w:t>
      </w:r>
    </w:p>
    <w:p>
      <w:pPr>
        <w:pStyle w:val="Heading1"/>
        <w:keepNext/>
      </w:pPr>
      <w:r>
        <w:t>9. Décision proposée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AUTORISATION BUDGÉTAIRE PROPOSÉE</w:t>
            </w:r>
          </w:p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17365D"/>
                <w:sz w:val="42"/>
              </w:rPr>
              <w:t>600 000 FCFA / an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667085"/>
                <w:sz w:val="19"/>
              </w:rPr>
              <w:t>Plafond recommandé, hors SMS, incluant la majoration de 10 % et l'arrondi de prudence</w:t>
            </w:r>
          </w:p>
        </w:tc>
        <w:trPr>
          <w:tblHeader/>
        </w:trPr>
      </w:tr>
    </w:tbl>
    <w:p>
      <w:pPr>
        <w:spacing w:after="0"/>
      </w:pPr>
    </w:p>
    <w:p>
      <w:r>
        <w:t>La dépense opérationnelle cible demeure de 594 000 FCFA par an. L'autorisation arrondie à 600 000 FCFA permet de sécuriser la commande sans modifier le périmètre technique retenu.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budgétaire d'hébergement autonome MADGI ESR</dc:title>
  <dc:subject>Budget VPS, sauvegardes et services d'infrastructure</dc:subject>
  <dc:creator>MADGI</dc:creator>
  <cp:keywords>MADGI ESR, hébergement, Docker, Supabase, budget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