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2B529F"/>
          <w:sz w:val="64"/>
          <w:szCs w:val="64"/>
        </w:rPr>
        <w:t xml:space="preserve">MADGI ESR</w:t>
      </w:r>
    </w:p>
    <w:p>
      <w:pPr>
        <w:spacing w:after="100" w:before="200"/>
        <w:jc w:val="center"/>
      </w:pPr>
      <w:r>
        <w:rPr>
          <w:i/>
          <w:iCs/>
          <w:color w:val="595959"/>
          <w:sz w:val="30"/>
          <w:szCs w:val="30"/>
        </w:rPr>
        <w:t xml:space="preserve">Épargne Santé Retraite</w:t>
      </w:r>
    </w:p>
    <w:p>
      <w:pPr>
        <w:spacing w:after="100" w:before="500"/>
        <w:jc w:val="center"/>
      </w:pPr>
      <w:r>
        <w:rPr>
          <w:b/>
          <w:bCs/>
          <w:sz w:val="36"/>
          <w:szCs w:val="36"/>
        </w:rPr>
        <w:t xml:space="preserve">Guide utilisateur complet</w:t>
      </w:r>
    </w:p>
    <w:p>
      <w:pPr>
        <w:spacing w:after="100" w:before="100"/>
        <w:jc w:val="center"/>
      </w:pPr>
      <w:r>
        <w:rPr>
          <w:color w:val="595959"/>
          <w:sz w:val="22"/>
          <w:szCs w:val="22"/>
        </w:rPr>
        <w:t xml:space="preserve">Mode d’emploi de la plateforme, écran par écran</w:t>
      </w:r>
    </w:p>
    <w:p>
      <w:pPr>
        <w:spacing w:before="800"/>
        <w:jc w:val="center"/>
      </w:pPr>
      <w:r>
        <w:rPr>
          <w:b/>
          <w:bCs/>
          <w:color w:val="2B529F"/>
          <w:sz w:val="24"/>
          <w:szCs w:val="24"/>
        </w:rPr>
        <w:t xml:space="preserve">Édition du 10 août 2026</w:t>
      </w:r>
    </w:p>
    <w:p>
      <w:pPr>
        <w:spacing w:before="100"/>
        <w:jc w:val="center"/>
      </w:pPr>
      <w:r>
        <w:rPr>
          <w:color w:val="595959"/>
          <w:sz w:val="20"/>
          <w:szCs w:val="20"/>
        </w:rPr>
        <w:t xml:space="preserve">Mutuelle des Agents de la Direction Générale des Impôts</w:t>
      </w:r>
    </w:p>
    <w:p>
      <w:r>
        <w:br w:type="page"/>
      </w:r>
    </w:p>
    <w:p>
      <w:pPr>
        <w:pStyle w:val="Heading1"/>
        <w:spacing w:after="160" w:before="360"/>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Introduction</w:t>
      </w:r>
    </w:p>
    <w:p>
      <w:pPr>
        <w:pStyle w:val="Heading2"/>
        <w:spacing w:after="120" w:before="280"/>
      </w:pPr>
      <w:r>
        <w:t xml:space="preserve">Objet de ce guide</w:t>
      </w:r>
    </w:p>
    <w:p>
      <w:pPr>
        <w:spacing w:after="120"/>
      </w:pPr>
      <w:r>
        <w:t xml:space="preserve">Ce document explique, écran par écran, comment utiliser la plateforme MADGI ESR : connexion, gestion des adhérents, des cotisations, des prestations, des rachats, du reporting et des paramètres. Chaque section décrit les champs à remplir, les boutons à utiliser et les règles de validation appliquées par l'application.</w:t>
      </w:r>
    </w:p>
    <w:p>
      <w:pPr>
        <w:pStyle w:val="Heading2"/>
        <w:spacing w:after="120" w:before="280"/>
      </w:pPr>
      <w:r>
        <w:t xml:space="preserve">À qui s’adresse ce guide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5600"/>
        <w:gridCol w:w="1650"/>
      </w:tblGrid>
      <w:tr>
        <w:trPr>
          <w:tblHeader/>
        </w:trPr>
        <w:tc>
          <w:tcPr>
            <w:tcW w:type="dxa" w:w="2100"/>
            <w:shd w:fill="2B529F" w:val="clear"/>
            <w:tcMar>
              <w:top w:type="dxa" w:w="100"/>
              <w:left w:type="dxa" w:w="120"/>
              <w:bottom w:type="dxa" w:w="100"/>
              <w:right w:type="dxa" w:w="120"/>
            </w:tcMar>
            <w:vAlign w:val="center"/>
          </w:tcPr>
          <w:p>
            <w:r>
              <w:rPr>
                <w:b/>
                <w:bCs/>
                <w:color w:val="FFFFFF"/>
                <w:sz w:val="19"/>
                <w:szCs w:val="19"/>
              </w:rPr>
              <w:t xml:space="preserve">Profil</w:t>
            </w:r>
          </w:p>
        </w:tc>
        <w:tc>
          <w:tcPr>
            <w:tcW w:type="dxa" w:w="5600"/>
            <w:shd w:fill="2B529F" w:val="clear"/>
            <w:tcMar>
              <w:top w:type="dxa" w:w="100"/>
              <w:left w:type="dxa" w:w="120"/>
              <w:bottom w:type="dxa" w:w="100"/>
              <w:right w:type="dxa" w:w="120"/>
            </w:tcMar>
            <w:vAlign w:val="center"/>
          </w:tcPr>
          <w:p>
            <w:r>
              <w:rPr>
                <w:b/>
                <w:bCs/>
                <w:color w:val="FFFFFF"/>
                <w:sz w:val="19"/>
                <w:szCs w:val="19"/>
              </w:rPr>
              <w:t xml:space="preserve">Ce que ce guide lui permet de faire</w:t>
            </w:r>
          </w:p>
        </w:tc>
        <w:tc>
          <w:tcPr>
            <w:tcW w:type="dxa" w:w="1650"/>
            <w:shd w:fill="2B529F" w:val="clear"/>
            <w:tcMar>
              <w:top w:type="dxa" w:w="100"/>
              <w:left w:type="dxa" w:w="120"/>
              <w:bottom w:type="dxa" w:w="100"/>
              <w:right w:type="dxa" w:w="120"/>
            </w:tcMar>
            <w:vAlign w:val="center"/>
          </w:tcPr>
          <w:p>
            <w:r>
              <w:rPr>
                <w:b/>
                <w:bCs/>
                <w:color w:val="FFFFFF"/>
                <w:sz w:val="19"/>
                <w:szCs w:val="19"/>
              </w:rPr>
              <w:t xml:space="preserve">Chapitres clés</w:t>
            </w:r>
          </w:p>
        </w:tc>
      </w:tr>
      <w:tr>
        <w:tc>
          <w:tcPr>
            <w:tcW w:type="dxa" w:w="2100"/>
            <w:tcMar>
              <w:top w:type="dxa" w:w="100"/>
              <w:left w:type="dxa" w:w="120"/>
              <w:bottom w:type="dxa" w:w="100"/>
              <w:right w:type="dxa" w:w="120"/>
            </w:tcMar>
            <w:vAlign w:val="center"/>
          </w:tcPr>
          <w:p>
            <w:r>
              <w:rPr>
                <w:b w:val="false"/>
                <w:bCs w:val="false"/>
                <w:sz w:val="19"/>
                <w:szCs w:val="19"/>
              </w:rPr>
              <w:t xml:space="preserve">Adhérent</w:t>
            </w:r>
          </w:p>
        </w:tc>
        <w:tc>
          <w:tcPr>
            <w:tcW w:type="dxa" w:w="5600"/>
            <w:tcMar>
              <w:top w:type="dxa" w:w="100"/>
              <w:left w:type="dxa" w:w="120"/>
              <w:bottom w:type="dxa" w:w="100"/>
              <w:right w:type="dxa" w:w="120"/>
            </w:tcMar>
            <w:vAlign w:val="center"/>
          </w:tcPr>
          <w:p>
            <w:r>
              <w:rPr>
                <w:b w:val="false"/>
                <w:bCs w:val="false"/>
                <w:sz w:val="19"/>
                <w:szCs w:val="19"/>
              </w:rPr>
              <w:t xml:space="preserve">Consulter son propre dossier ESR en toute autonomie.</w:t>
            </w:r>
          </w:p>
        </w:tc>
        <w:tc>
          <w:tcPr>
            <w:tcW w:type="dxa" w:w="1650"/>
            <w:tcMar>
              <w:top w:type="dxa" w:w="100"/>
              <w:left w:type="dxa" w:w="120"/>
              <w:bottom w:type="dxa" w:w="100"/>
              <w:right w:type="dxa" w:w="120"/>
            </w:tcMar>
            <w:vAlign w:val="center"/>
          </w:tcPr>
          <w:p>
            <w:r>
              <w:rPr>
                <w:b w:val="false"/>
                <w:bCs w:val="false"/>
                <w:sz w:val="19"/>
                <w:szCs w:val="19"/>
              </w:rPr>
              <w:t xml:space="preserve">Chap. 2, 3</w:t>
            </w:r>
          </w:p>
        </w:tc>
      </w:tr>
      <w:tr>
        <w:tc>
          <w:tcPr>
            <w:tcW w:type="dxa" w:w="2100"/>
            <w:shd w:fill="F2F5FA" w:val="clear"/>
            <w:tcMar>
              <w:top w:type="dxa" w:w="100"/>
              <w:left w:type="dxa" w:w="120"/>
              <w:bottom w:type="dxa" w:w="100"/>
              <w:right w:type="dxa" w:w="120"/>
            </w:tcMar>
            <w:vAlign w:val="center"/>
          </w:tcPr>
          <w:p>
            <w:r>
              <w:rPr>
                <w:b w:val="false"/>
                <w:bCs w:val="false"/>
                <w:sz w:val="19"/>
                <w:szCs w:val="19"/>
              </w:rPr>
              <w:t xml:space="preserve">Gestionnaire ESR</w:t>
            </w:r>
          </w:p>
        </w:tc>
        <w:tc>
          <w:tcPr>
            <w:tcW w:type="dxa" w:w="5600"/>
            <w:shd w:fill="F2F5FA" w:val="clear"/>
            <w:tcMar>
              <w:top w:type="dxa" w:w="100"/>
              <w:left w:type="dxa" w:w="120"/>
              <w:bottom w:type="dxa" w:w="100"/>
              <w:right w:type="dxa" w:w="120"/>
            </w:tcMar>
            <w:vAlign w:val="center"/>
          </w:tcPr>
          <w:p>
            <w:r>
              <w:rPr>
                <w:b w:val="false"/>
                <w:bCs w:val="false"/>
                <w:sz w:val="19"/>
                <w:szCs w:val="19"/>
              </w:rPr>
              <w:t xml:space="preserve">Gérer les adhérents, cotisations, précomptes, prestations et rachats au quotidien.</w:t>
            </w:r>
          </w:p>
        </w:tc>
        <w:tc>
          <w:tcPr>
            <w:tcW w:type="dxa" w:w="1650"/>
            <w:shd w:fill="F2F5FA" w:val="clear"/>
            <w:tcMar>
              <w:top w:type="dxa" w:w="100"/>
              <w:left w:type="dxa" w:w="120"/>
              <w:bottom w:type="dxa" w:w="100"/>
              <w:right w:type="dxa" w:w="120"/>
            </w:tcMar>
            <w:vAlign w:val="center"/>
          </w:tcPr>
          <w:p>
            <w:r>
              <w:rPr>
                <w:b w:val="false"/>
                <w:bCs w:val="false"/>
                <w:sz w:val="19"/>
                <w:szCs w:val="19"/>
              </w:rPr>
              <w:t xml:space="preserve">Chap. 4 à 14</w:t>
            </w:r>
          </w:p>
        </w:tc>
      </w:tr>
      <w:tr>
        <w:tc>
          <w:tcPr>
            <w:tcW w:type="dxa" w:w="2100"/>
            <w:tcMar>
              <w:top w:type="dxa" w:w="100"/>
              <w:left w:type="dxa" w:w="120"/>
              <w:bottom w:type="dxa" w:w="100"/>
              <w:right w:type="dxa" w:w="120"/>
            </w:tcMar>
            <w:vAlign w:val="center"/>
          </w:tcPr>
          <w:p>
            <w:r>
              <w:rPr>
                <w:b w:val="false"/>
                <w:bCs w:val="false"/>
                <w:sz w:val="19"/>
                <w:szCs w:val="19"/>
              </w:rPr>
              <w:t xml:space="preserve">Administrateur</w:t>
            </w:r>
          </w:p>
        </w:tc>
        <w:tc>
          <w:tcPr>
            <w:tcW w:type="dxa" w:w="5600"/>
            <w:tcMar>
              <w:top w:type="dxa" w:w="100"/>
              <w:left w:type="dxa" w:w="120"/>
              <w:bottom w:type="dxa" w:w="100"/>
              <w:right w:type="dxa" w:w="120"/>
            </w:tcMar>
            <w:vAlign w:val="center"/>
          </w:tcPr>
          <w:p>
            <w:r>
              <w:rPr>
                <w:b w:val="false"/>
                <w:bCs w:val="false"/>
                <w:sz w:val="19"/>
                <w:szCs w:val="19"/>
              </w:rPr>
              <w:t xml:space="preserve">Tout ce que fait le gestionnaire, plus la configuration des paramètres et des accès.</w:t>
            </w:r>
          </w:p>
        </w:tc>
        <w:tc>
          <w:tcPr>
            <w:tcW w:type="dxa" w:w="1650"/>
            <w:tcMar>
              <w:top w:type="dxa" w:w="100"/>
              <w:left w:type="dxa" w:w="120"/>
              <w:bottom w:type="dxa" w:w="100"/>
              <w:right w:type="dxa" w:w="120"/>
            </w:tcMar>
            <w:vAlign w:val="center"/>
          </w:tcPr>
          <w:p>
            <w:r>
              <w:rPr>
                <w:b w:val="false"/>
                <w:bCs w:val="false"/>
                <w:sz w:val="19"/>
                <w:szCs w:val="19"/>
              </w:rPr>
              <w:t xml:space="preserve">Chap. 15, 16</w:t>
            </w:r>
          </w:p>
        </w:tc>
      </w:tr>
      <w:tr>
        <w:tc>
          <w:tcPr>
            <w:tcW w:type="dxa" w:w="2100"/>
            <w:shd w:fill="F2F5FA" w:val="clear"/>
            <w:tcMar>
              <w:top w:type="dxa" w:w="100"/>
              <w:left w:type="dxa" w:w="120"/>
              <w:bottom w:type="dxa" w:w="100"/>
              <w:right w:type="dxa" w:w="120"/>
            </w:tcMar>
            <w:vAlign w:val="center"/>
          </w:tcPr>
          <w:p>
            <w:r>
              <w:rPr>
                <w:b w:val="false"/>
                <w:bCs w:val="false"/>
                <w:sz w:val="19"/>
                <w:szCs w:val="19"/>
              </w:rPr>
              <w:t xml:space="preserve">Superadministrateur</w:t>
            </w:r>
          </w:p>
        </w:tc>
        <w:tc>
          <w:tcPr>
            <w:tcW w:type="dxa" w:w="5600"/>
            <w:shd w:fill="F2F5FA" w:val="clear"/>
            <w:tcMar>
              <w:top w:type="dxa" w:w="100"/>
              <w:left w:type="dxa" w:w="120"/>
              <w:bottom w:type="dxa" w:w="100"/>
              <w:right w:type="dxa" w:w="120"/>
            </w:tcMar>
            <w:vAlign w:val="center"/>
          </w:tcPr>
          <w:p>
            <w:r>
              <w:rPr>
                <w:b w:val="false"/>
                <w:bCs w:val="false"/>
                <w:sz w:val="19"/>
                <w:szCs w:val="19"/>
              </w:rPr>
              <w:t xml:space="preserve">Opérations exceptionnelles (configuration initiale, secrets, reprise après incident).</w:t>
            </w:r>
          </w:p>
        </w:tc>
        <w:tc>
          <w:tcPr>
            <w:tcW w:type="dxa" w:w="1650"/>
            <w:shd w:fill="F2F5FA" w:val="clear"/>
            <w:tcMar>
              <w:top w:type="dxa" w:w="100"/>
              <w:left w:type="dxa" w:w="120"/>
              <w:bottom w:type="dxa" w:w="100"/>
              <w:right w:type="dxa" w:w="120"/>
            </w:tcMar>
            <w:vAlign w:val="center"/>
          </w:tcPr>
          <w:p>
            <w:r>
              <w:rPr>
                <w:b w:val="false"/>
                <w:bCs w:val="false"/>
                <w:sz w:val="19"/>
                <w:szCs w:val="19"/>
              </w:rPr>
              <w:t xml:space="preserve">Ensemble du guide</w:t>
            </w:r>
          </w:p>
        </w:tc>
      </w:tr>
    </w:tbl>
    <w:p>
      <w:pPr>
        <w:spacing w:after="160"/>
      </w:pPr>
    </w:p>
    <w:p>
      <w:pPr>
        <w:pStyle w:val="Heading2"/>
        <w:spacing w:after="120" w:before="280"/>
      </w:pPr>
      <w:r>
        <w:t xml:space="preserve">Comment lire ce guide</w:t>
      </w:r>
    </w:p>
    <w:p>
      <w:pPr>
        <w:spacing w:after="120"/>
      </w:pPr>
      <w:r>
        <w:rPr>
          <w:b/>
          <w:bCs/>
        </w:rPr>
        <w:t xml:space="preserve">⚠ </w:t>
      </w:r>
      <w:r>
        <w:t xml:space="preserve">Un encadré orange signale un point de vigilance : une règle qu'il ne faut pas oublier.</w:t>
      </w:r>
    </w:p>
    <w:p>
      <w:pPr>
        <w:spacing w:after="120"/>
      </w:pPr>
      <w:r>
        <w:rPr>
          <w:b/>
          <w:bCs/>
        </w:rPr>
        <w:t xml:space="preserve">✅ </w:t>
      </w:r>
      <w:r>
        <w:t xml:space="preserve">Un encadré vert donne un conseil pratique ou un raccourci.</w:t>
      </w:r>
    </w:p>
    <w:p>
      <w:pPr>
        <w:spacing w:after="120"/>
      </w:pPr>
      <w:r>
        <w:rPr>
          <w:b/>
          <w:bCs/>
        </w:rPr>
        <w:t xml:space="preserve">Accès : </w:t>
      </w:r>
      <w:r>
        <w:t xml:space="preserve">un bandeau bleu précise, au début de chaque section, quels profils voient l'écran décrit.</w:t>
      </w:r>
    </w:p>
    <w:p>
      <w:pPr>
        <w:spacing w:after="120"/>
      </w:pPr>
      <w:r>
        <w:t xml:space="preserve">Les intitulés de champs et de boutons sont reproduits exactement comme ils apparaissent à l'écran, entre guillemets.</w:t>
      </w:r>
    </w:p>
    <w:p>
      <w:r>
        <w:br w:type="page"/>
      </w:r>
    </w:p>
    <w:p>
      <w:pPr>
        <w:pStyle w:val="Heading1"/>
        <w:spacing w:after="160" w:before="360"/>
      </w:pPr>
      <w:r>
        <w:t xml:space="preserve">2. Connexion et premiers pas</w:t>
      </w:r>
    </w:p>
    <w:tbl>
      <w:tblPr>
        <w:tblW w:type="dxa" w:w="4000"/>
        <w:tblBorders>
          <w:top w:val="single" w:color="CBD5E1" w:sz="4"/>
          <w:left w:val="single" w:color="CBD5E1" w:sz="4"/>
          <w:bottom w:val="single" w:color="CBD5E1" w:sz="4"/>
          <w:right w:val="single" w:color="CBD5E1" w:sz="4"/>
          <w:insideH w:val="single" w:color="auto" w:sz="4"/>
          <w:insideV w:val="single" w:color="auto" w:sz="4"/>
        </w:tblBorders>
      </w:tblPr>
      <w:tblGrid>
        <w:gridCol w:w="4000"/>
      </w:tblGrid>
      <w:tr>
        <w:tc>
          <w:tcPr>
            <w:tcW w:type="dxa" w:w="4000"/>
            <w:shd w:fill="EFF4FB" w:val="clear"/>
            <w:tcMar>
              <w:top w:type="dxa" w:w="80"/>
              <w:left w:type="dxa" w:w="160"/>
              <w:bottom w:type="dxa" w:w="80"/>
              <w:right w:type="dxa" w:w="160"/>
            </w:tcMar>
          </w:tcPr>
          <w:p>
            <w:r>
              <w:rPr>
                <w:b/>
                <w:bCs/>
                <w:color w:val="1F3B73"/>
                <w:sz w:val="19"/>
                <w:szCs w:val="19"/>
              </w:rPr>
              <w:t xml:space="preserve">Accès : tous les profils</w:t>
            </w:r>
          </w:p>
        </w:tc>
      </w:tr>
    </w:tbl>
    <w:p>
      <w:pPr>
        <w:spacing w:after="160"/>
      </w:pPr>
    </w:p>
    <w:p>
      <w:pPr>
        <w:pStyle w:val="Heading2"/>
        <w:spacing w:after="120" w:before="280"/>
      </w:pPr>
      <w:r>
        <w:t xml:space="preserve">2.1 Se connecter</w:t>
      </w:r>
    </w:p>
    <w:p>
      <w:pPr>
        <w:spacing w:after="90"/>
        <w:ind w:left="200"/>
      </w:pPr>
      <w:r>
        <w:rPr>
          <w:b/>
          <w:bCs/>
          <w:color w:val="2B529F"/>
        </w:rPr>
        <w:t xml:space="preserve">1. </w:t>
      </w:r>
      <w:r>
        <w:t xml:space="preserve">Sur l'écran d'accueil, saisir son « Matricule » dans le champ prévu (ex : 000000Y ou 11111R).</w:t>
      </w:r>
    </w:p>
    <w:p>
      <w:pPr>
        <w:spacing w:after="90"/>
        <w:ind w:left="200"/>
      </w:pPr>
      <w:r>
        <w:rPr>
          <w:b/>
          <w:bCs/>
          <w:color w:val="2B529F"/>
        </w:rPr>
        <w:t xml:space="preserve">2. </w:t>
      </w:r>
      <w:r>
        <w:t xml:space="preserve">Cliquer sur « Continuer ».</w:t>
      </w:r>
    </w:p>
    <w:p>
      <w:pPr>
        <w:spacing w:after="90"/>
        <w:ind w:left="200"/>
      </w:pPr>
      <w:r>
        <w:rPr>
          <w:b/>
          <w:bCs/>
          <w:color w:val="2B529F"/>
        </w:rPr>
        <w:t xml:space="preserve">3. </w:t>
      </w:r>
      <w:r>
        <w:t xml:space="preserve">Saisir son « Mot de passe » puis cliquer sur « Se connecter ».</w:t>
      </w:r>
    </w:p>
    <w:tbl>
      <w:tblPr>
        <w:tblW w:type="dxa" w:w="9350"/>
        <w:tblBorders>
          <w:top w:val="single" w:color="22C55E" w:sz="4"/>
          <w:left w:val="single" w:color="22C55E" w:sz="4"/>
          <w:bottom w:val="single" w:color="22C55E" w:sz="4"/>
          <w:right w:val="single" w:color="22C55E" w:sz="4"/>
          <w:insideH w:val="single" w:color="auto" w:sz="4"/>
          <w:insideV w:val="single" w:color="auto" w:sz="4"/>
        </w:tblBorders>
      </w:tblPr>
      <w:tblGrid>
        <w:gridCol w:w="9350"/>
      </w:tblGrid>
      <w:tr>
        <w:tc>
          <w:tcPr>
            <w:tcW w:type="dxa" w:w="9350"/>
            <w:shd w:fill="DCFCE7" w:val="clear"/>
            <w:tcMar>
              <w:top w:type="dxa" w:w="160"/>
              <w:left w:type="dxa" w:w="200"/>
              <w:bottom w:type="dxa" w:w="160"/>
              <w:right w:type="dxa" w:w="200"/>
            </w:tcMar>
          </w:tcPr>
          <w:p>
            <w:r>
              <w:rPr>
                <w:color w:val="15803D"/>
              </w:rPr>
              <w:t xml:space="preserve">✅ L'icône en forme d'œil à côté du champ mot de passe permet de l'afficher en clair pour vérifier la saisie.</w:t>
            </w:r>
          </w:p>
        </w:tc>
      </w:tr>
    </w:tbl>
    <w:p>
      <w:pPr>
        <w:pStyle w:val="Heading2"/>
        <w:spacing w:after="120" w:before="280"/>
      </w:pPr>
      <w:r>
        <w:t xml:space="preserve">2.2 Première connexion</w:t>
      </w:r>
    </w:p>
    <w:p>
      <w:pPr>
        <w:spacing w:after="120"/>
      </w:pPr>
      <w:r>
        <w:t xml:space="preserve">Lorsqu'un compte vient d'être créé, la plateforme détecte automatiquement qu'il s'agit d'une première connexion et déclenche l'envoi d'un code par SMS.</w:t>
      </w:r>
    </w:p>
    <w:p>
      <w:pPr>
        <w:spacing w:after="90"/>
        <w:ind w:left="200"/>
      </w:pPr>
      <w:r>
        <w:rPr>
          <w:b/>
          <w:bCs/>
          <w:color w:val="2B529F"/>
        </w:rPr>
        <w:t xml:space="preserve">1. </w:t>
      </w:r>
      <w:r>
        <w:t xml:space="preserve">Saisir son matricule puis « Continuer », comme pour une connexion normale.</w:t>
      </w:r>
    </w:p>
    <w:p>
      <w:pPr>
        <w:spacing w:after="90"/>
        <w:ind w:left="200"/>
      </w:pPr>
      <w:r>
        <w:rPr>
          <w:b/>
          <w:bCs/>
          <w:color w:val="2B529F"/>
        </w:rPr>
        <w:t xml:space="preserve">2. </w:t>
      </w:r>
      <w:r>
        <w:t xml:space="preserve">Saisir le « Code SMS » reçu (6 chiffres).</w:t>
      </w:r>
    </w:p>
    <w:p>
      <w:pPr>
        <w:spacing w:after="90"/>
        <w:ind w:left="200"/>
      </w:pPr>
      <w:r>
        <w:rPr>
          <w:b/>
          <w:bCs/>
          <w:color w:val="2B529F"/>
        </w:rPr>
        <w:t xml:space="preserve">3. </w:t>
      </w:r>
      <w:r>
        <w:t xml:space="preserve">Définir un « Nouveau mot de passe » et le saisir une seconde fois dans « Confirmer ».</w:t>
      </w:r>
    </w:p>
    <w:p>
      <w:pPr>
        <w:spacing w:after="90"/>
        <w:ind w:left="200"/>
      </w:pPr>
      <w:r>
        <w:rPr>
          <w:b/>
          <w:bCs/>
          <w:color w:val="2B529F"/>
        </w:rPr>
        <w:t xml:space="preserve">4. </w:t>
      </w:r>
      <w:r>
        <w:t xml:space="preserve">Cliquer sur « Creer mon mot de passe ».</w:t>
      </w:r>
    </w:p>
    <w:tbl>
      <w:tblPr>
        <w:tblW w:type="dxa" w:w="9350"/>
        <w:tblBorders>
          <w:top w:val="single" w:color="F59E0B" w:sz="4"/>
          <w:left w:val="single" w:color="F59E0B" w:sz="4"/>
          <w:bottom w:val="single" w:color="F59E0B" w:sz="4"/>
          <w:right w:val="single" w:color="F59E0B" w:sz="4"/>
          <w:insideH w:val="single" w:color="auto" w:sz="4"/>
          <w:insideV w:val="single" w:color="auto" w:sz="4"/>
        </w:tblBorders>
      </w:tblPr>
      <w:tblGrid>
        <w:gridCol w:w="9350"/>
      </w:tblGrid>
      <w:tr>
        <w:tc>
          <w:tcPr>
            <w:tcW w:type="dxa" w:w="9350"/>
            <w:shd w:fill="FEF3C7" w:val="clear"/>
            <w:tcMar>
              <w:top w:type="dxa" w:w="160"/>
              <w:left w:type="dxa" w:w="200"/>
              <w:bottom w:type="dxa" w:w="160"/>
              <w:right w:type="dxa" w:w="200"/>
            </w:tcMar>
          </w:tcPr>
          <w:p>
            <w:r>
              <w:rPr>
                <w:color w:val="B45309"/>
              </w:rPr>
              <w:t xml:space="preserve">⚠ Le code n'est pas arrivé ? Utiliser le lien « Renvoyer le code SMS ». Le mot de passe doit respecter la politique de sécurité affichée à l'écran (8 caractères minimum) ; les deux saisies doivent être identiques.</w:t>
            </w:r>
          </w:p>
        </w:tc>
      </w:tr>
    </w:tbl>
    <w:p>
      <w:pPr>
        <w:pStyle w:val="Heading2"/>
        <w:spacing w:after="120" w:before="280"/>
      </w:pPr>
      <w:r>
        <w:t xml:space="preserve">2.3 Changement de mot de passe obligatoire</w:t>
      </w:r>
    </w:p>
    <w:p>
      <w:pPr>
        <w:spacing w:after="120"/>
      </w:pPr>
      <w:r>
        <w:t xml:space="preserve">Si le compte est marqué « doit changer de mot de passe » par un administrateur, l'écran « Premiere connexion » s'affiche automatiquement après la connexion, avec le message « Bonjour {matricule}. Definissez votre mot de passe personnel pour continuer. »</w:t>
      </w:r>
    </w:p>
    <w:p>
      <w:pPr>
        <w:spacing w:after="90"/>
        <w:ind w:left="200"/>
      </w:pPr>
      <w:r>
        <w:rPr>
          <w:b/>
          <w:bCs/>
          <w:color w:val="2B529F"/>
        </w:rPr>
        <w:t xml:space="preserve">1. </w:t>
      </w:r>
      <w:r>
        <w:t xml:space="preserve">Saisir le « Nouveau mot de passe » puis le « Confirmer le mot de passe ».</w:t>
      </w:r>
    </w:p>
    <w:p>
      <w:pPr>
        <w:spacing w:after="90"/>
        <w:ind w:left="200"/>
      </w:pPr>
      <w:r>
        <w:rPr>
          <w:b/>
          <w:bCs/>
          <w:color w:val="2B529F"/>
        </w:rPr>
        <w:t xml:space="preserve">2. </w:t>
      </w:r>
      <w:r>
        <w:t xml:space="preserve">Cliquer sur « Enregistrer et continuer ». Le bouton « Annuler » déconnecte sans changer le mot de passe.</w:t>
      </w:r>
    </w:p>
    <w:p>
      <w:pPr>
        <w:pStyle w:val="Heading2"/>
        <w:spacing w:after="120" w:before="280"/>
      </w:pPr>
      <w:r>
        <w:t xml:space="preserve">2.4 Mot de passe oublié</w:t>
      </w:r>
    </w:p>
    <w:p>
      <w:pPr>
        <w:spacing w:after="90"/>
        <w:ind w:left="200"/>
      </w:pPr>
      <w:r>
        <w:rPr>
          <w:b/>
          <w:bCs/>
          <w:color w:val="2B529F"/>
        </w:rPr>
        <w:t xml:space="preserve">1. </w:t>
      </w:r>
      <w:r>
        <w:t xml:space="preserve">Sur l'écran de connexion, cliquer sur « Mot de passe oublié ? ».</w:t>
      </w:r>
    </w:p>
    <w:p>
      <w:pPr>
        <w:spacing w:after="90"/>
        <w:ind w:left="200"/>
      </w:pPr>
      <w:r>
        <w:rPr>
          <w:b/>
          <w:bCs/>
          <w:color w:val="2B529F"/>
        </w:rPr>
        <w:t xml:space="preserve">2. </w:t>
      </w:r>
      <w:r>
        <w:t xml:space="preserve">Un lien de réinitialisation est envoyé par email à l'adresse associée au compte.</w:t>
      </w:r>
    </w:p>
    <w:p>
      <w:pPr>
        <w:spacing w:after="90"/>
        <w:ind w:left="200"/>
      </w:pPr>
      <w:r>
        <w:rPr>
          <w:b/>
          <w:bCs/>
          <w:color w:val="2B529F"/>
        </w:rPr>
        <w:t xml:space="preserve">3. </w:t>
      </w:r>
      <w:r>
        <w:t xml:space="preserve">Cliquer sur « Retour à la connexion » une fois la démarche lancée.</w:t>
      </w:r>
    </w:p>
    <w:p>
      <w:pPr>
        <w:pStyle w:val="Heading2"/>
        <w:spacing w:after="120" w:before="280"/>
      </w:pPr>
      <w:r>
        <w:t xml:space="preserve">2.5 S’inscrire en ligne (candidat, sans compte)</w:t>
      </w:r>
    </w:p>
    <w:p>
      <w:pPr>
        <w:spacing w:after="120"/>
      </w:pPr>
      <w:r>
        <w:t xml:space="preserve">Un futur adhérent peut lancer sa demande d'adhésion sans disposer encore d'un compte, via le bouton « S'inscrire en ligne » sur l'écran de connexion.</w:t>
      </w:r>
    </w:p>
    <w:p>
      <w:pPr>
        <w:pStyle w:val="Heading3"/>
        <w:spacing w:after="100" w:before="200"/>
      </w:pPr>
      <w:r>
        <w:t xml:space="preserve">Étape 1 — Recherche de l’agent</w:t>
      </w:r>
    </w:p>
    <w:p>
      <w:pPr>
        <w:spacing w:after="90"/>
        <w:ind w:left="200"/>
      </w:pPr>
      <w:r>
        <w:rPr>
          <w:b/>
          <w:bCs/>
          <w:color w:val="2B529F"/>
        </w:rPr>
        <w:t xml:space="preserve">1. </w:t>
      </w:r>
      <w:r>
        <w:t xml:space="preserve">Renseigner « Matricule » et « Date de naissance ».</w:t>
      </w:r>
    </w:p>
    <w:p>
      <w:pPr>
        <w:spacing w:after="90"/>
        <w:ind w:left="200"/>
      </w:pPr>
      <w:r>
        <w:rPr>
          <w:b/>
          <w:bCs/>
          <w:color w:val="2B529F"/>
        </w:rPr>
        <w:t xml:space="preserve">2. </w:t>
      </w:r>
      <w:r>
        <w:t xml:space="preserve">Cliquer sur « Rechercher » (le bouton reste inactif tant que les deux champs ne sont pas remplis). Les informations d’identité sont alors préchargées depuis SIAPS.</w:t>
      </w:r>
    </w:p>
    <w:p>
      <w:pPr>
        <w:pStyle w:val="Heading3"/>
        <w:spacing w:after="100" w:before="200"/>
      </w:pPr>
      <w:r>
        <w:t xml:space="preserve">Étape 2 — Formulaire d’adhésion en ligne</w:t>
      </w:r>
    </w:p>
    <w:p>
      <w:pPr>
        <w:spacing w:after="120"/>
      </w:pPr>
      <w:r>
        <w:t xml:space="preserve">Compléter les champs non préremplis, notamment :</w:t>
      </w:r>
    </w:p>
    <w:p>
      <w:pPr>
        <w:pStyle w:val="ListParagraph"/>
        <w:numPr>
          <w:ilvl w:val="0"/>
          <w:numId w:val="1"/>
        </w:numPr>
        <w:spacing w:after="70"/>
      </w:pPr>
      <w:r>
        <w:rPr>
          <w:b/>
          <w:bCs/>
          <w:i/>
          <w:iCs/>
        </w:rPr>
        <w:t xml:space="preserve">Grade professionnel</w:t>
      </w:r>
      <w:r>
        <w:t xml:space="preserve"> — à choisir manuellement pour éviter une mauvaise correspondance</w:t>
      </w:r>
    </w:p>
    <w:p>
      <w:pPr>
        <w:pStyle w:val="ListParagraph"/>
        <w:numPr>
          <w:ilvl w:val="0"/>
          <w:numId w:val="1"/>
        </w:numPr>
        <w:spacing w:after="70"/>
      </w:pPr>
      <w:r>
        <w:rPr>
          <w:b/>
          <w:bCs/>
          <w:i/>
          <w:iCs/>
        </w:rPr>
        <w:t xml:space="preserve">Trimestre du premier precompte</w:t>
      </w:r>
      <w:r>
        <w:t xml:space="preserve"> — trimestre de départ de la cotisation ; l'écran affiche « Aucun trimestre disponible » si aucune option n'est calculable</w:t>
      </w:r>
    </w:p>
    <w:p>
      <w:pPr>
        <w:spacing w:after="120"/>
      </w:pPr>
      <w:r>
        <w:t xml:space="preserve">Le formulaire calcule automatiquement et affiche : Cotisation annuelle, Date retraite, Premier precompte, Date effet, Trimestres, Cotisation ESR.</w:t>
      </w:r>
    </w:p>
    <w:p>
      <w:pPr>
        <w:spacing w:after="90"/>
        <w:ind w:left="200"/>
      </w:pPr>
      <w:r>
        <w:rPr>
          <w:b/>
          <w:bCs/>
          <w:color w:val="2B529F"/>
        </w:rPr>
        <w:t xml:space="preserve">1. </w:t>
      </w:r>
      <w:r>
        <w:t xml:space="preserve">Vérifier le résumé calculé.</w:t>
      </w:r>
    </w:p>
    <w:p>
      <w:pPr>
        <w:spacing w:after="90"/>
        <w:ind w:left="200"/>
      </w:pPr>
      <w:r>
        <w:rPr>
          <w:b/>
          <w:bCs/>
          <w:color w:val="2B529F"/>
        </w:rPr>
        <w:t xml:space="preserve">2. </w:t>
      </w:r>
      <w:r>
        <w:t xml:space="preserve">Cliquer sur « Soumettre » (ou « Changer de matricule » pour recommencer, « Annuler » pour abandonner).</w:t>
      </w:r>
    </w:p>
    <w:p>
      <w:pPr>
        <w:pStyle w:val="Heading3"/>
        <w:spacing w:after="100" w:before="200"/>
      </w:pPr>
      <w:r>
        <w:t xml:space="preserve">Étape 3 — Confirmation</w:t>
      </w:r>
    </w:p>
    <w:p>
      <w:pPr>
        <w:spacing w:after="120"/>
      </w:pPr>
      <w:r>
        <w:t xml:space="preserve">L'écran « Adhesion en attente de validation » confirme que la demande a été transmise à la mutuelle. Elle devient visible dans le module de validation du gestionnaire (chapitre 6).</w:t>
      </w:r>
    </w:p>
    <w:tbl>
      <w:tblPr>
        <w:tblW w:type="dxa" w:w="9350"/>
        <w:tblBorders>
          <w:top w:val="single" w:color="F59E0B" w:sz="4"/>
          <w:left w:val="single" w:color="F59E0B" w:sz="4"/>
          <w:bottom w:val="single" w:color="F59E0B" w:sz="4"/>
          <w:right w:val="single" w:color="F59E0B" w:sz="4"/>
          <w:insideH w:val="single" w:color="auto" w:sz="4"/>
          <w:insideV w:val="single" w:color="auto" w:sz="4"/>
        </w:tblBorders>
      </w:tblPr>
      <w:tblGrid>
        <w:gridCol w:w="9350"/>
      </w:tblGrid>
      <w:tr>
        <w:tc>
          <w:tcPr>
            <w:tcW w:type="dxa" w:w="9350"/>
            <w:shd w:fill="FEF3C7" w:val="clear"/>
            <w:tcMar>
              <w:top w:type="dxa" w:w="160"/>
              <w:left w:type="dxa" w:w="200"/>
              <w:bottom w:type="dxa" w:w="160"/>
              <w:right w:type="dxa" w:w="200"/>
            </w:tcMar>
          </w:tcPr>
          <w:p>
            <w:r>
              <w:rPr>
                <w:color w:val="B45309"/>
              </w:rPr>
              <w:t xml:space="preserve">⚠ La demande n'est pas encore un dossier actif : elle doit être validée par un gestionnaire (chapitre 6) avant que l'adhérent ne devienne réellement actif dans l'application.</w:t>
            </w:r>
          </w:p>
        </w:tc>
      </w:tr>
    </w:tbl>
    <w:p>
      <w:r>
        <w:br w:type="page"/>
      </w:r>
    </w:p>
    <w:p>
      <w:pPr>
        <w:pStyle w:val="Heading1"/>
        <w:spacing w:after="160" w:before="360"/>
      </w:pPr>
      <w:r>
        <w:t xml:space="preserve">3. Espace Adhérent</w:t>
      </w:r>
    </w:p>
    <w:tbl>
      <w:tblPr>
        <w:tblW w:type="dxa" w:w="4000"/>
        <w:tblBorders>
          <w:top w:val="single" w:color="CBD5E1" w:sz="4"/>
          <w:left w:val="single" w:color="CBD5E1" w:sz="4"/>
          <w:bottom w:val="single" w:color="CBD5E1" w:sz="4"/>
          <w:right w:val="single" w:color="CBD5E1" w:sz="4"/>
          <w:insideH w:val="single" w:color="auto" w:sz="4"/>
          <w:insideV w:val="single" w:color="auto" w:sz="4"/>
        </w:tblBorders>
      </w:tblPr>
      <w:tblGrid>
        <w:gridCol w:w="4000"/>
      </w:tblGrid>
      <w:tr>
        <w:tc>
          <w:tcPr>
            <w:tcW w:type="dxa" w:w="4000"/>
            <w:shd w:fill="EFF4FB" w:val="clear"/>
            <w:tcMar>
              <w:top w:type="dxa" w:w="80"/>
              <w:left w:type="dxa" w:w="160"/>
              <w:bottom w:type="dxa" w:w="80"/>
              <w:right w:type="dxa" w:w="160"/>
            </w:tcMar>
          </w:tcPr>
          <w:p>
            <w:r>
              <w:rPr>
                <w:b/>
                <w:bCs/>
                <w:color w:val="1F3B73"/>
                <w:sz w:val="19"/>
                <w:szCs w:val="19"/>
              </w:rPr>
              <w:t xml:space="preserve">Accès : Adhérent</w:t>
            </w:r>
          </w:p>
        </w:tc>
      </w:tr>
    </w:tbl>
    <w:p>
      <w:pPr>
        <w:spacing w:after="160"/>
      </w:pPr>
    </w:p>
    <w:p>
      <w:pPr>
        <w:spacing w:after="120"/>
      </w:pPr>
      <w:r>
        <w:t xml:space="preserve">Après connexion, un adhérent accède directement à son propre espace en lecture : aucun menu latéral complexe, tout est visible sur une seule page.</w:t>
      </w:r>
    </w:p>
    <w:p>
      <w:pPr>
        <w:pStyle w:val="Heading2"/>
        <w:spacing w:after="120" w:before="280"/>
      </w:pPr>
      <w:r>
        <w:t xml:space="preserve">3.1 Ce que l’on voit en arrivant</w:t>
      </w:r>
    </w:p>
    <w:p>
      <w:pPr>
        <w:pStyle w:val="ListParagraph"/>
        <w:numPr>
          <w:ilvl w:val="0"/>
          <w:numId w:val="1"/>
        </w:numPr>
        <w:spacing w:after="80"/>
      </w:pPr>
      <w:r>
        <w:t xml:space="preserve">Un bandeau d’en-tête avec nom, matricule et statut (En activite, Retraite, Decede ou Inactif).</w:t>
      </w:r>
    </w:p>
    <w:p>
      <w:pPr>
        <w:pStyle w:val="ListParagraph"/>
        <w:numPr>
          <w:ilvl w:val="0"/>
          <w:numId w:val="1"/>
        </w:numPr>
        <w:spacing w:after="80"/>
      </w:pPr>
      <w:r>
        <w:t xml:space="preserve">Le panneau « Situation de votre compte » : dernière cotisation (montant, période) et prochaine période indicative, avec une pastille de statut : Encaissée, Rejetée ou En traitement.</w:t>
      </w:r>
    </w:p>
    <w:p>
      <w:pPr>
        <w:pStyle w:val="ListParagraph"/>
        <w:numPr>
          <w:ilvl w:val="0"/>
          <w:numId w:val="1"/>
        </w:numPr>
        <w:spacing w:after="80"/>
      </w:pPr>
      <w:r>
        <w:t xml:space="preserve">Trois indicateurs : « Capital acquis », « Provision mathématique », « Valeur de rachat estimative » (avec la mention « Montant estimatif avant validation d'une demande de rachat »).</w:t>
      </w:r>
    </w:p>
    <w:p>
      <w:pPr>
        <w:pStyle w:val="ListParagraph"/>
        <w:numPr>
          <w:ilvl w:val="0"/>
          <w:numId w:val="1"/>
        </w:numPr>
        <w:spacing w:after="80"/>
      </w:pPr>
      <w:r>
        <w:t xml:space="preserve">Le bloc « Votre contrat en resume » : cotisation ES, durée résiduelle d’activité (en trimestres), âge de retraite.</w:t>
      </w:r>
    </w:p>
    <w:p>
      <w:pPr>
        <w:pStyle w:val="ListParagraph"/>
        <w:numPr>
          <w:ilvl w:val="0"/>
          <w:numId w:val="1"/>
        </w:numPr>
        <w:spacing w:after="80"/>
      </w:pPr>
      <w:r>
        <w:t xml:space="preserve">Un graphique « Progression du total cotisé » (uniquement les cotisations encaissées).</w:t>
      </w:r>
    </w:p>
    <w:tbl>
      <w:tblPr>
        <w:tblW w:type="dxa" w:w="9350"/>
        <w:tblBorders>
          <w:top w:val="single" w:color="F59E0B" w:sz="4"/>
          <w:left w:val="single" w:color="F59E0B" w:sz="4"/>
          <w:bottom w:val="single" w:color="F59E0B" w:sz="4"/>
          <w:right w:val="single" w:color="F59E0B" w:sz="4"/>
          <w:insideH w:val="single" w:color="auto" w:sz="4"/>
          <w:insideV w:val="single" w:color="auto" w:sz="4"/>
        </w:tblBorders>
      </w:tblPr>
      <w:tblGrid>
        <w:gridCol w:w="9350"/>
      </w:tblGrid>
      <w:tr>
        <w:tc>
          <w:tcPr>
            <w:tcW w:type="dxa" w:w="9350"/>
            <w:shd w:fill="FEF3C7" w:val="clear"/>
            <w:tcMar>
              <w:top w:type="dxa" w:w="160"/>
              <w:left w:type="dxa" w:w="200"/>
              <w:bottom w:type="dxa" w:w="160"/>
              <w:right w:type="dxa" w:w="200"/>
            </w:tcMar>
          </w:tcPr>
          <w:p>
            <w:r>
              <w:rPr>
                <w:color w:val="B45309"/>
              </w:rPr>
              <w:t xml:space="preserve">⚠ Si aucun bénéficiaire n'est enregistré, un bandeau d'alerte s'affiche : « Attention : aucun bénéficiaire n'est enregistré. Contactez la mutuelle pour compléter votre dossier. »</w:t>
            </w:r>
          </w:p>
        </w:tc>
      </w:tr>
    </w:tbl>
    <w:p>
      <w:pPr>
        <w:pStyle w:val="Heading2"/>
        <w:spacing w:after="120" w:before="280"/>
      </w:pPr>
      <w:r>
        <w:t xml:space="preserve">3.2 Actions rapides</w:t>
      </w:r>
    </w:p>
    <w:p>
      <w:pPr>
        <w:pStyle w:val="ListParagraph"/>
        <w:numPr>
          <w:ilvl w:val="0"/>
          <w:numId w:val="1"/>
        </w:numPr>
        <w:spacing w:after="80"/>
      </w:pPr>
      <w:r>
        <w:t xml:space="preserve">« Télécharger mon relevé » — télécharge le relevé de compte au format PDF.</w:t>
      </w:r>
    </w:p>
    <w:p>
      <w:pPr>
        <w:pStyle w:val="ListParagraph"/>
        <w:numPr>
          <w:ilvl w:val="0"/>
          <w:numId w:val="1"/>
        </w:numPr>
        <w:spacing w:after="80"/>
      </w:pPr>
      <w:r>
        <w:t xml:space="preserve">« Voir mes bénéficiaires » — fait défiler la page jusqu’à la liste des bénéficiaires.</w:t>
      </w:r>
    </w:p>
    <w:p>
      <w:pPr>
        <w:pStyle w:val="ListParagraph"/>
        <w:numPr>
          <w:ilvl w:val="0"/>
          <w:numId w:val="1"/>
        </w:numPr>
        <w:spacing w:after="80"/>
      </w:pPr>
      <w:r>
        <w:t xml:space="preserve">« Vérifier mes cotisations » — fait défiler la page jusqu’à l’historique des cotisations.</w:t>
      </w:r>
    </w:p>
    <w:p>
      <w:pPr>
        <w:pStyle w:val="Heading2"/>
        <w:spacing w:after="120" w:before="280"/>
      </w:pPr>
      <w:r>
        <w:t xml:space="preserve">3.3 Historique des cotisations</w:t>
      </w:r>
    </w:p>
    <w:p>
      <w:pPr>
        <w:spacing w:after="120"/>
      </w:pPr>
      <w:r>
        <w:t xml:space="preserve">Les 8 cotisations les plus récentes sont listées avec : Trimestre, Montant cotisé, Total cotisé, Statut, Date d'encaissement.</w:t>
      </w:r>
    </w:p>
    <w:p>
      <w:pPr>
        <w:pStyle w:val="Heading2"/>
        <w:spacing w:after="120" w:before="280"/>
      </w:pPr>
      <w:r>
        <w:t xml:space="preserve">3.4 Onglets « Informations adherent » et « Beneficiaires »</w:t>
      </w:r>
    </w:p>
    <w:p>
      <w:pPr>
        <w:spacing w:after="120"/>
      </w:pPr>
      <w:r>
        <w:t xml:space="preserve">Le second onglet affiche un tableau en lecture seule des bénéficiaires : Nom et prenoms, Lien, Part %, Statut.</w:t>
      </w:r>
    </w:p>
    <w:tbl>
      <w:tblPr>
        <w:tblW w:type="dxa" w:w="9350"/>
        <w:tblBorders>
          <w:top w:val="single" w:color="F59E0B" w:sz="4"/>
          <w:left w:val="single" w:color="F59E0B" w:sz="4"/>
          <w:bottom w:val="single" w:color="F59E0B" w:sz="4"/>
          <w:right w:val="single" w:color="F59E0B" w:sz="4"/>
          <w:insideH w:val="single" w:color="auto" w:sz="4"/>
          <w:insideV w:val="single" w:color="auto" w:sz="4"/>
        </w:tblBorders>
      </w:tblPr>
      <w:tblGrid>
        <w:gridCol w:w="9350"/>
      </w:tblGrid>
      <w:tr>
        <w:tc>
          <w:tcPr>
            <w:tcW w:type="dxa" w:w="9350"/>
            <w:shd w:fill="FEF3C7" w:val="clear"/>
            <w:tcMar>
              <w:top w:type="dxa" w:w="160"/>
              <w:left w:type="dxa" w:w="200"/>
              <w:bottom w:type="dxa" w:w="160"/>
              <w:right w:type="dxa" w:w="200"/>
            </w:tcMar>
          </w:tcPr>
          <w:p>
            <w:r>
              <w:rPr>
                <w:color w:val="B45309"/>
              </w:rPr>
              <w:t xml:space="preserve">⚠ L'espace adhérent est en lecture seule : un adhérent ne peut ni modifier ses informations personnelles, ni ajouter ou modifier un bénéficiaire lui-même. Toute correction doit être demandée à un gestionnaire (voir chapitre 5).</w:t>
            </w:r>
          </w:p>
        </w:tc>
      </w:tr>
    </w:tbl>
    <w:p>
      <w:pPr>
        <w:pStyle w:val="Heading2"/>
        <w:spacing w:after="120" w:before="280"/>
      </w:pPr>
      <w:r>
        <w:t xml:space="preserve">3.5 Télécharger le relevé de compte</w:t>
      </w:r>
    </w:p>
    <w:p>
      <w:pPr>
        <w:spacing w:after="120"/>
      </w:pPr>
      <w:r>
        <w:t xml:space="preserve">Le bouton « Télécharger mon relevé de compte » (disponible en haut et en bas de la page) génère un PDF nommé automatiquement releve-compte-esr-{matricule}.pdf.</w:t>
      </w:r>
    </w:p>
    <w:p>
      <w:r>
        <w:br w:type="page"/>
      </w:r>
    </w:p>
    <w:p>
      <w:pPr>
        <w:pStyle w:val="Heading1"/>
        <w:spacing w:after="160" w:before="360"/>
      </w:pPr>
      <w:r>
        <w:t xml:space="preserve">4. Tableau de bord</w:t>
      </w:r>
    </w:p>
    <w:tbl>
      <w:tblPr>
        <w:tblW w:type="dxa" w:w="4000"/>
        <w:tblBorders>
          <w:top w:val="single" w:color="CBD5E1" w:sz="4"/>
          <w:left w:val="single" w:color="CBD5E1" w:sz="4"/>
          <w:bottom w:val="single" w:color="CBD5E1" w:sz="4"/>
          <w:right w:val="single" w:color="CBD5E1" w:sz="4"/>
          <w:insideH w:val="single" w:color="auto" w:sz="4"/>
          <w:insideV w:val="single" w:color="auto" w:sz="4"/>
        </w:tblBorders>
      </w:tblPr>
      <w:tblGrid>
        <w:gridCol w:w="4000"/>
      </w:tblGrid>
      <w:tr>
        <w:tc>
          <w:tcPr>
            <w:tcW w:type="dxa" w:w="4000"/>
            <w:shd w:fill="EFF4FB" w:val="clear"/>
            <w:tcMar>
              <w:top w:type="dxa" w:w="80"/>
              <w:left w:type="dxa" w:w="160"/>
              <w:bottom w:type="dxa" w:w="80"/>
              <w:right w:type="dxa" w:w="160"/>
            </w:tcMar>
          </w:tcPr>
          <w:p>
            <w:r>
              <w:rPr>
                <w:b/>
                <w:bCs/>
                <w:color w:val="1F3B73"/>
                <w:sz w:val="19"/>
                <w:szCs w:val="19"/>
              </w:rPr>
              <w:t xml:space="preserve">Accès : Gestionnaire, Administrateur</w:t>
            </w:r>
          </w:p>
        </w:tc>
      </w:tr>
    </w:tbl>
    <w:p>
      <w:pPr>
        <w:spacing w:after="160"/>
      </w:pPr>
    </w:p>
    <w:p>
      <w:pPr>
        <w:spacing w:after="120"/>
      </w:pPr>
      <w:r>
        <w:t xml:space="preserve">Le tableau de bord est le premier écran visible après connexion pour un gestionnaire ou un administrateur. Il donne une vue synthétique et filtrable de l'activité, par trimestre ou par année.</w:t>
      </w:r>
    </w:p>
    <w:p>
      <w:pPr>
        <w:pStyle w:val="Heading2"/>
        <w:spacing w:after="120" w:before="280"/>
      </w:pPr>
      <w:r>
        <w:t xml:space="preserve">4.1 Choisir la période analysée</w:t>
      </w:r>
    </w:p>
    <w:p>
      <w:pPr>
        <w:spacing w:after="90"/>
        <w:ind w:left="200"/>
      </w:pPr>
      <w:r>
        <w:rPr>
          <w:b/>
          <w:bCs/>
          <w:color w:val="2B529F"/>
        </w:rPr>
        <w:t xml:space="preserve">1. </w:t>
      </w:r>
      <w:r>
        <w:t xml:space="preserve">Choisir le mode d’affichage : « Par trimestre » ou « Par année ».</w:t>
      </w:r>
    </w:p>
    <w:p>
      <w:pPr>
        <w:spacing w:after="90"/>
        <w:ind w:left="200"/>
      </w:pPr>
      <w:r>
        <w:rPr>
          <w:b/>
          <w:bCs/>
          <w:color w:val="2B529F"/>
        </w:rPr>
        <w:t xml:space="preserve">2. </w:t>
      </w:r>
      <w:r>
        <w:t xml:space="preserve">Sélectionner l’« Année » (les six derniers exercices sont proposés).</w:t>
      </w:r>
    </w:p>
    <w:p>
      <w:pPr>
        <w:spacing w:after="90"/>
        <w:ind w:left="200"/>
      </w:pPr>
      <w:r>
        <w:rPr>
          <w:b/>
          <w:bCs/>
          <w:color w:val="2B529F"/>
        </w:rPr>
        <w:t xml:space="preserve">3. </w:t>
      </w:r>
      <w:r>
        <w:t xml:space="preserve">En mode « Par trimestre », sélectionner en plus le « Trimestre » (T1 à T4).</w:t>
      </w:r>
    </w:p>
    <w:p>
      <w:pPr>
        <w:spacing w:after="90"/>
        <w:ind w:left="200"/>
      </w:pPr>
      <w:r>
        <w:rPr>
          <w:b/>
          <w:bCs/>
          <w:color w:val="2B529F"/>
        </w:rPr>
        <w:t xml:space="preserve">4. </w:t>
      </w:r>
      <w:r>
        <w:t xml:space="preserve">Cliquer sur « Actualiser » pour recharger les données selon la période choisie.</w:t>
      </w:r>
    </w:p>
    <w:p>
      <w:pPr>
        <w:spacing w:after="120"/>
      </w:pPr>
      <w:r>
        <w:t xml:space="preserve">La bannière d'en-tête rappelle en permanence la « Période analysée » ainsi que la date, l'heure de dernière actualisation et le matricule de l'utilisateur connecté.</w:t>
      </w:r>
    </w:p>
    <w:p>
      <w:pPr>
        <w:pStyle w:val="Heading2"/>
        <w:spacing w:after="120" w:before="280"/>
      </w:pPr>
      <w:r>
        <w:t xml:space="preserve">4.2 Indicateurs clés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00"/>
      </w:tblGrid>
      <w:tr>
        <w:trPr>
          <w:tblHeader/>
        </w:trPr>
        <w:tc>
          <w:tcPr>
            <w:tcW w:type="dxa" w:w="2600"/>
            <w:shd w:fill="2B529F" w:val="clear"/>
            <w:tcMar>
              <w:top w:type="dxa" w:w="100"/>
              <w:left w:type="dxa" w:w="120"/>
              <w:bottom w:type="dxa" w:w="100"/>
              <w:right w:type="dxa" w:w="120"/>
            </w:tcMar>
            <w:vAlign w:val="center"/>
          </w:tcPr>
          <w:p>
            <w:r>
              <w:rPr>
                <w:b/>
                <w:bCs/>
                <w:color w:val="FFFFFF"/>
                <w:sz w:val="19"/>
                <w:szCs w:val="19"/>
              </w:rPr>
              <w:t xml:space="preserve">Indicateur</w:t>
            </w:r>
          </w:p>
        </w:tc>
        <w:tc>
          <w:tcPr>
            <w:tcW w:type="dxa" w:w="3200"/>
            <w:shd w:fill="2B529F" w:val="clear"/>
            <w:tcMar>
              <w:top w:type="dxa" w:w="100"/>
              <w:left w:type="dxa" w:w="120"/>
              <w:bottom w:type="dxa" w:w="100"/>
              <w:right w:type="dxa" w:w="120"/>
            </w:tcMar>
            <w:vAlign w:val="center"/>
          </w:tcPr>
          <w:p>
            <w:r>
              <w:rPr>
                <w:b/>
                <w:bCs/>
                <w:color w:val="FFFFFF"/>
                <w:sz w:val="19"/>
                <w:szCs w:val="19"/>
              </w:rPr>
              <w:t xml:space="preserve">Valeur affichée</w:t>
            </w:r>
          </w:p>
        </w:tc>
        <w:tc>
          <w:tcPr>
            <w:tcW w:type="dxa" w:w="3500"/>
            <w:shd w:fill="2B529F" w:val="clear"/>
            <w:tcMar>
              <w:top w:type="dxa" w:w="100"/>
              <w:left w:type="dxa" w:w="120"/>
              <w:bottom w:type="dxa" w:w="100"/>
              <w:right w:type="dxa" w:w="120"/>
            </w:tcMar>
            <w:vAlign w:val="center"/>
          </w:tcPr>
          <w:p>
            <w:r>
              <w:rPr>
                <w:b/>
                <w:bCs/>
                <w:color w:val="FFFFFF"/>
                <w:sz w:val="19"/>
                <w:szCs w:val="19"/>
              </w:rPr>
              <w:t xml:space="preserve">Détail affiché en dessous</w:t>
            </w:r>
          </w:p>
        </w:tc>
      </w:tr>
      <w:tr>
        <w:tc>
          <w:tcPr>
            <w:tcW w:type="dxa" w:w="2600"/>
            <w:tcMar>
              <w:top w:type="dxa" w:w="100"/>
              <w:left w:type="dxa" w:w="120"/>
              <w:bottom w:type="dxa" w:w="100"/>
              <w:right w:type="dxa" w:w="120"/>
            </w:tcMar>
            <w:vAlign w:val="center"/>
          </w:tcPr>
          <w:p>
            <w:r>
              <w:rPr>
                <w:b w:val="false"/>
                <w:bCs w:val="false"/>
                <w:sz w:val="19"/>
                <w:szCs w:val="19"/>
              </w:rPr>
              <w:t xml:space="preserve">Adhérents actifs</w:t>
            </w:r>
          </w:p>
        </w:tc>
        <w:tc>
          <w:tcPr>
            <w:tcW w:type="dxa" w:w="3200"/>
            <w:tcMar>
              <w:top w:type="dxa" w:w="100"/>
              <w:left w:type="dxa" w:w="120"/>
              <w:bottom w:type="dxa" w:w="100"/>
              <w:right w:type="dxa" w:w="120"/>
            </w:tcMar>
            <w:vAlign w:val="center"/>
          </w:tcPr>
          <w:p>
            <w:r>
              <w:rPr>
                <w:b w:val="false"/>
                <w:bCs w:val="false"/>
                <w:sz w:val="19"/>
                <w:szCs w:val="19"/>
              </w:rPr>
              <w:t xml:space="preserve">Nombre d’adhérents au statut ACTIF</w:t>
            </w:r>
          </w:p>
        </w:tc>
        <w:tc>
          <w:tcPr>
            <w:tcW w:type="dxa" w:w="3500"/>
            <w:tcMar>
              <w:top w:type="dxa" w:w="100"/>
              <w:left w:type="dxa" w:w="120"/>
              <w:bottom w:type="dxa" w:w="100"/>
              <w:right w:type="dxa" w:w="120"/>
            </w:tcMar>
            <w:vAlign w:val="center"/>
          </w:tcPr>
          <w:p>
            <w:r>
              <w:rPr>
                <w:b w:val="false"/>
                <w:bCs w:val="false"/>
                <w:sz w:val="19"/>
                <w:szCs w:val="19"/>
              </w:rPr>
              <w:t xml:space="preserve">« {X} adhérents au total »</w:t>
            </w:r>
          </w:p>
        </w:tc>
      </w:tr>
      <w:tr>
        <w:tc>
          <w:tcPr>
            <w:tcW w:type="dxa" w:w="2600"/>
            <w:shd w:fill="F2F5FA" w:val="clear"/>
            <w:tcMar>
              <w:top w:type="dxa" w:w="100"/>
              <w:left w:type="dxa" w:w="120"/>
              <w:bottom w:type="dxa" w:w="100"/>
              <w:right w:type="dxa" w:w="120"/>
            </w:tcMar>
            <w:vAlign w:val="center"/>
          </w:tcPr>
          <w:p>
            <w:r>
              <w:rPr>
                <w:b w:val="false"/>
                <w:bCs w:val="false"/>
                <w:sz w:val="19"/>
                <w:szCs w:val="19"/>
              </w:rPr>
              <w:t xml:space="preserve">Cotisations attendues</w:t>
            </w:r>
          </w:p>
        </w:tc>
        <w:tc>
          <w:tcPr>
            <w:tcW w:type="dxa" w:w="3200"/>
            <w:shd w:fill="F2F5FA" w:val="clear"/>
            <w:tcMar>
              <w:top w:type="dxa" w:w="100"/>
              <w:left w:type="dxa" w:w="120"/>
              <w:bottom w:type="dxa" w:w="100"/>
              <w:right w:type="dxa" w:w="120"/>
            </w:tcMar>
            <w:vAlign w:val="center"/>
          </w:tcPr>
          <w:p>
            <w:r>
              <w:rPr>
                <w:b w:val="false"/>
                <w:bCs w:val="false"/>
                <w:sz w:val="19"/>
                <w:szCs w:val="19"/>
              </w:rPr>
              <w:t xml:space="preserve">Montant prévu sur la période choisie (F CFA)</w:t>
            </w:r>
          </w:p>
        </w:tc>
        <w:tc>
          <w:tcPr>
            <w:tcW w:type="dxa" w:w="3500"/>
            <w:shd w:fill="F2F5FA" w:val="clear"/>
            <w:tcMar>
              <w:top w:type="dxa" w:w="100"/>
              <w:left w:type="dxa" w:w="120"/>
              <w:bottom w:type="dxa" w:w="100"/>
              <w:right w:type="dxa" w:w="120"/>
            </w:tcMar>
            <w:vAlign w:val="center"/>
          </w:tcPr>
          <w:p>
            <w:r>
              <w:rPr>
                <w:b w:val="false"/>
                <w:bCs w:val="false"/>
                <w:sz w:val="19"/>
                <w:szCs w:val="19"/>
              </w:rPr>
              <w:t xml:space="preserve">Libellé de la période (ex. 2026T3)</w:t>
            </w:r>
          </w:p>
        </w:tc>
      </w:tr>
      <w:tr>
        <w:tc>
          <w:tcPr>
            <w:tcW w:type="dxa" w:w="2600"/>
            <w:tcMar>
              <w:top w:type="dxa" w:w="100"/>
              <w:left w:type="dxa" w:w="120"/>
              <w:bottom w:type="dxa" w:w="100"/>
              <w:right w:type="dxa" w:w="120"/>
            </w:tcMar>
            <w:vAlign w:val="center"/>
          </w:tcPr>
          <w:p>
            <w:r>
              <w:rPr>
                <w:b w:val="false"/>
                <w:bCs w:val="false"/>
                <w:sz w:val="19"/>
                <w:szCs w:val="19"/>
              </w:rPr>
              <w:t xml:space="preserve">Cotisations encaissées</w:t>
            </w:r>
          </w:p>
        </w:tc>
        <w:tc>
          <w:tcPr>
            <w:tcW w:type="dxa" w:w="3200"/>
            <w:tcMar>
              <w:top w:type="dxa" w:w="100"/>
              <w:left w:type="dxa" w:w="120"/>
              <w:bottom w:type="dxa" w:w="100"/>
              <w:right w:type="dxa" w:w="120"/>
            </w:tcMar>
            <w:vAlign w:val="center"/>
          </w:tcPr>
          <w:p>
            <w:r>
              <w:rPr>
                <w:b w:val="false"/>
                <w:bCs w:val="false"/>
                <w:sz w:val="19"/>
                <w:szCs w:val="19"/>
              </w:rPr>
              <w:t xml:space="preserve">Montant réellement encaissé sur la période (F CFA)</w:t>
            </w:r>
          </w:p>
        </w:tc>
        <w:tc>
          <w:tcPr>
            <w:tcW w:type="dxa" w:w="3500"/>
            <w:tcMar>
              <w:top w:type="dxa" w:w="100"/>
              <w:left w:type="dxa" w:w="120"/>
              <w:bottom w:type="dxa" w:w="100"/>
              <w:right w:type="dxa" w:w="120"/>
            </w:tcMar>
            <w:vAlign w:val="center"/>
          </w:tcPr>
          <w:p>
            <w:r>
              <w:rPr>
                <w:b w:val="false"/>
                <w:bCs w:val="false"/>
                <w:sz w:val="19"/>
                <w:szCs w:val="19"/>
              </w:rPr>
              <w:t xml:space="preserve">« {X} mouvement(s) »</w:t>
            </w:r>
          </w:p>
        </w:tc>
      </w:tr>
      <w:tr>
        <w:tc>
          <w:tcPr>
            <w:tcW w:type="dxa" w:w="2600"/>
            <w:shd w:fill="F2F5FA" w:val="clear"/>
            <w:tcMar>
              <w:top w:type="dxa" w:w="100"/>
              <w:left w:type="dxa" w:w="120"/>
              <w:bottom w:type="dxa" w:w="100"/>
              <w:right w:type="dxa" w:w="120"/>
            </w:tcMar>
            <w:vAlign w:val="center"/>
          </w:tcPr>
          <w:p>
            <w:r>
              <w:rPr>
                <w:b w:val="false"/>
                <w:bCs w:val="false"/>
                <w:sz w:val="19"/>
                <w:szCs w:val="19"/>
              </w:rPr>
              <w:t xml:space="preserve">Taux de recouvrement</w:t>
            </w:r>
          </w:p>
        </w:tc>
        <w:tc>
          <w:tcPr>
            <w:tcW w:type="dxa" w:w="3200"/>
            <w:shd w:fill="F2F5FA" w:val="clear"/>
            <w:tcMar>
              <w:top w:type="dxa" w:w="100"/>
              <w:left w:type="dxa" w:w="120"/>
              <w:bottom w:type="dxa" w:w="100"/>
              <w:right w:type="dxa" w:w="120"/>
            </w:tcMar>
            <w:vAlign w:val="center"/>
          </w:tcPr>
          <w:p>
            <w:r>
              <w:rPr>
                <w:b w:val="false"/>
                <w:bCs w:val="false"/>
                <w:sz w:val="19"/>
                <w:szCs w:val="19"/>
              </w:rPr>
              <w:t xml:space="preserve">Pourcentage encaissé / attendu</w:t>
            </w:r>
          </w:p>
        </w:tc>
        <w:tc>
          <w:tcPr>
            <w:tcW w:type="dxa" w:w="3500"/>
            <w:shd w:fill="F2F5FA" w:val="clear"/>
            <w:tcMar>
              <w:top w:type="dxa" w:w="100"/>
              <w:left w:type="dxa" w:w="120"/>
              <w:bottom w:type="dxa" w:w="100"/>
              <w:right w:type="dxa" w:w="120"/>
            </w:tcMar>
            <w:vAlign w:val="center"/>
          </w:tcPr>
          <w:p>
            <w:r>
              <w:rPr>
                <w:b w:val="false"/>
                <w:bCs w:val="false"/>
                <w:sz w:val="19"/>
                <w:szCs w:val="19"/>
              </w:rPr>
              <w:t xml:space="preserve">« Écart : {montant} » — vert à partir de 90 %, orange en dessous</w:t>
            </w:r>
          </w:p>
        </w:tc>
      </w:tr>
      <w:tr>
        <w:tc>
          <w:tcPr>
            <w:tcW w:type="dxa" w:w="2600"/>
            <w:tcMar>
              <w:top w:type="dxa" w:w="100"/>
              <w:left w:type="dxa" w:w="120"/>
              <w:bottom w:type="dxa" w:w="100"/>
              <w:right w:type="dxa" w:w="120"/>
            </w:tcMar>
            <w:vAlign w:val="center"/>
          </w:tcPr>
          <w:p>
            <w:r>
              <w:rPr>
                <w:b w:val="false"/>
                <w:bCs w:val="false"/>
                <w:sz w:val="19"/>
                <w:szCs w:val="19"/>
              </w:rPr>
              <w:t xml:space="preserve">Provision mathématique</w:t>
            </w:r>
          </w:p>
        </w:tc>
        <w:tc>
          <w:tcPr>
            <w:tcW w:type="dxa" w:w="3200"/>
            <w:tcMar>
              <w:top w:type="dxa" w:w="100"/>
              <w:left w:type="dxa" w:w="120"/>
              <w:bottom w:type="dxa" w:w="100"/>
              <w:right w:type="dxa" w:w="120"/>
            </w:tcMar>
            <w:vAlign w:val="center"/>
          </w:tcPr>
          <w:p>
            <w:r>
              <w:rPr>
                <w:b w:val="false"/>
                <w:bCs w:val="false"/>
                <w:sz w:val="19"/>
                <w:szCs w:val="19"/>
              </w:rPr>
              <w:t xml:space="preserve">Dernière provision mathématique totale calculée (F CFA)</w:t>
            </w:r>
          </w:p>
        </w:tc>
        <w:tc>
          <w:tcPr>
            <w:tcW w:type="dxa" w:w="3500"/>
            <w:tcMar>
              <w:top w:type="dxa" w:w="100"/>
              <w:left w:type="dxa" w:w="120"/>
              <w:bottom w:type="dxa" w:w="100"/>
              <w:right w:type="dxa" w:w="120"/>
            </w:tcMar>
            <w:vAlign w:val="center"/>
          </w:tcPr>
          <w:p>
            <w:r>
              <w:rPr>
                <w:b w:val="false"/>
                <w:bCs w:val="false"/>
                <w:sz w:val="19"/>
                <w:szCs w:val="19"/>
              </w:rPr>
              <w:t xml:space="preserve">« Dernier calcul disponible »</w:t>
            </w:r>
          </w:p>
        </w:tc>
      </w:tr>
    </w:tbl>
    <w:p>
      <w:pPr>
        <w:spacing w:after="160"/>
      </w:pPr>
    </w:p>
    <w:p>
      <w:pPr>
        <w:pStyle w:val="Heading2"/>
        <w:spacing w:after="120" w:before="280"/>
      </w:pPr>
      <w:r>
        <w:t xml:space="preserve">4.3 Cotisations attendues et encaissées</w:t>
      </w:r>
    </w:p>
    <w:p>
      <w:pPr>
        <w:spacing w:after="120"/>
      </w:pPr>
      <w:r>
        <w:t xml:space="preserve">Ce panneau compare, trimestre par trimestre sur l'exercice sélectionné, le montant encaissé au montant prévu, sous forme de barres de progression. En mode « Par trimestre », les trimestres non sélectionnés apparaissent estompés pour mettre en évidence la période choisie.</w:t>
      </w:r>
    </w:p>
    <w:p>
      <w:pPr>
        <w:pStyle w:val="Heading2"/>
        <w:spacing w:after="120" w:before="280"/>
      </w:pPr>
      <w:r>
        <w:t xml:space="preserve">4.4 Actions requises</w:t>
      </w:r>
    </w:p>
    <w:p>
      <w:pPr>
        <w:spacing w:after="120"/>
      </w:pPr>
      <w:r>
        <w:t xml:space="preserve">Ce panneau signale, avec une icône orange (à traiter) ou verte (rien à signaler), trois points de vigilance :</w:t>
      </w:r>
    </w:p>
    <w:p>
      <w:pPr>
        <w:pStyle w:val="ListParagraph"/>
        <w:numPr>
          <w:ilvl w:val="0"/>
          <w:numId w:val="1"/>
        </w:numPr>
        <w:spacing w:after="80"/>
      </w:pPr>
      <w:r>
        <w:t xml:space="preserve">« Écart de cotisations » — montant restant à rapprocher sur la période.</w:t>
      </w:r>
    </w:p>
    <w:p>
      <w:pPr>
        <w:pStyle w:val="ListParagraph"/>
        <w:numPr>
          <w:ilvl w:val="0"/>
          <w:numId w:val="1"/>
        </w:numPr>
        <w:spacing w:after="80"/>
      </w:pPr>
      <w:r>
        <w:t xml:space="preserve">« Adhésions à valider » — nombre de demandes d’adhésion en ligne en attente de validation (voir chapitre 6).</w:t>
      </w:r>
    </w:p>
    <w:p>
      <w:pPr>
        <w:pStyle w:val="ListParagraph"/>
        <w:numPr>
          <w:ilvl w:val="0"/>
          <w:numId w:val="1"/>
        </w:numPr>
        <w:spacing w:after="80"/>
      </w:pPr>
      <w:r>
        <w:t xml:space="preserve">« Prestations » — nombre de dossiers de prestations enregistrés.</w:t>
      </w:r>
    </w:p>
    <w:p>
      <w:pPr>
        <w:pStyle w:val="Heading2"/>
        <w:spacing w:after="120" w:before="280"/>
      </w:pPr>
      <w:r>
        <w:t xml:space="preserve">4.5 Répartition des adhérents</w:t>
      </w:r>
    </w:p>
    <w:p>
      <w:pPr>
        <w:spacing w:after="120"/>
      </w:pPr>
      <w:r>
        <w:t xml:space="preserve">Quatre compteurs : Actifs, Retraités, Décédés, Adhésions en ligne en attente de validation.</w:t>
      </w:r>
    </w:p>
    <w:p>
      <w:pPr>
        <w:pStyle w:val="Heading2"/>
        <w:spacing w:after="120" w:before="280"/>
      </w:pPr>
      <w:r>
        <w:t xml:space="preserve">4.6 Dernières cotisations de la période</w:t>
      </w:r>
    </w:p>
    <w:p>
      <w:pPr>
        <w:spacing w:after="120"/>
      </w:pPr>
      <w:r>
        <w:t xml:space="preserve">Liste des cotisations les plus récentes enregistrées sur la période sélectionnée (jusqu'à 5), avec pour chacune l'adhérent, la date, la source (Précompte, Cotisation spontanée, Régularisation de précompte, Versement direct) et le montant.</w:t>
      </w:r>
    </w:p>
    <w:p>
      <w:r>
        <w:br w:type="page"/>
      </w:r>
    </w:p>
    <w:p>
      <w:pPr>
        <w:pStyle w:val="Heading1"/>
        <w:spacing w:after="160" w:before="360"/>
      </w:pPr>
      <w:r>
        <w:t xml:space="preserve">5. Gestion des adhérents</w:t>
      </w:r>
    </w:p>
    <w:tbl>
      <w:tblPr>
        <w:tblW w:type="dxa" w:w="4000"/>
        <w:tblBorders>
          <w:top w:val="single" w:color="CBD5E1" w:sz="4"/>
          <w:left w:val="single" w:color="CBD5E1" w:sz="4"/>
          <w:bottom w:val="single" w:color="CBD5E1" w:sz="4"/>
          <w:right w:val="single" w:color="CBD5E1" w:sz="4"/>
          <w:insideH w:val="single" w:color="auto" w:sz="4"/>
          <w:insideV w:val="single" w:color="auto" w:sz="4"/>
        </w:tblBorders>
      </w:tblPr>
      <w:tblGrid>
        <w:gridCol w:w="4000"/>
      </w:tblGrid>
      <w:tr>
        <w:tc>
          <w:tcPr>
            <w:tcW w:type="dxa" w:w="4000"/>
            <w:shd w:fill="EFF4FB" w:val="clear"/>
            <w:tcMar>
              <w:top w:type="dxa" w:w="80"/>
              <w:left w:type="dxa" w:w="160"/>
              <w:bottom w:type="dxa" w:w="80"/>
              <w:right w:type="dxa" w:w="160"/>
            </w:tcMar>
          </w:tcPr>
          <w:p>
            <w:r>
              <w:rPr>
                <w:b/>
                <w:bCs/>
                <w:color w:val="1F3B73"/>
                <w:sz w:val="19"/>
                <w:szCs w:val="19"/>
              </w:rPr>
              <w:t xml:space="preserve">Accès : Gestionnaire, Administrateur (lecture seule pour Adhérent, sans droit de création/modification)</w:t>
            </w:r>
          </w:p>
        </w:tc>
      </w:tr>
    </w:tbl>
    <w:p>
      <w:pPr>
        <w:spacing w:after="160"/>
      </w:pPr>
    </w:p>
    <w:p>
      <w:pPr>
        <w:pStyle w:val="Heading2"/>
        <w:spacing w:after="120" w:before="280"/>
      </w:pPr>
      <w:r>
        <w:t xml:space="preserve">5.1 Rechercher un adhérent</w:t>
      </w:r>
    </w:p>
    <w:p>
      <w:pPr>
        <w:spacing w:after="90"/>
        <w:ind w:left="200"/>
      </w:pPr>
      <w:r>
        <w:rPr>
          <w:b/>
          <w:bCs/>
          <w:color w:val="2B529F"/>
        </w:rPr>
        <w:t xml:space="preserve">1. </w:t>
      </w:r>
      <w:r>
        <w:t xml:space="preserve">Utiliser le champ « Rechercher par matricule, nom, prénom (Entrée)... » puis appuyer sur Entrée.</w:t>
      </w:r>
    </w:p>
    <w:p>
      <w:pPr>
        <w:spacing w:after="90"/>
        <w:ind w:left="200"/>
      </w:pPr>
      <w:r>
        <w:rPr>
          <w:b/>
          <w:bCs/>
          <w:color w:val="2B529F"/>
        </w:rPr>
        <w:t xml:space="preserve">2. </w:t>
      </w:r>
      <w:r>
        <w:t xml:space="preserve">Affiner si besoin avec les filtres de statut : Tous, ACTIF, RETRAITE, INACTIF, DECEDE.</w:t>
      </w:r>
    </w:p>
    <w:p>
      <w:pPr>
        <w:spacing w:after="90"/>
        <w:ind w:left="200"/>
      </w:pPr>
      <w:r>
        <w:rPr>
          <w:b/>
          <w:bCs/>
          <w:color w:val="2B529F"/>
        </w:rPr>
        <w:t xml:space="preserve">3. </w:t>
      </w:r>
      <w:r>
        <w:t xml:space="preserve">Régler le nombre de lignes par page (6, 10, 20 ou 50) et naviguer avec les flèches de pagination.</w:t>
      </w:r>
    </w:p>
    <w:p>
      <w:pPr>
        <w:pStyle w:val="Heading2"/>
        <w:spacing w:after="120" w:before="280"/>
      </w:pPr>
      <w:r>
        <w:t xml:space="preserve">5.2 Inscrire un nouvel adhérent</w:t>
      </w:r>
    </w:p>
    <w:p>
      <w:pPr>
        <w:spacing w:after="120"/>
      </w:pPr>
      <w:r>
        <w:t xml:space="preserve">Cliquer sur « Inscrire un Adhérent » depuis la liste. Le formulaire comporte deux blocs.</w:t>
      </w:r>
    </w:p>
    <w:p>
      <w:pPr>
        <w:pStyle w:val="Heading3"/>
        <w:spacing w:after="100" w:before="200"/>
      </w:pPr>
      <w:r>
        <w:t xml:space="preserve">Bloc Identité de l’Adhérent</w:t>
      </w:r>
    </w:p>
    <w:p>
      <w:pPr>
        <w:spacing w:after="90"/>
        <w:ind w:left="200"/>
      </w:pPr>
      <w:r>
        <w:rPr>
          <w:b/>
          <w:bCs/>
          <w:color w:val="2B529F"/>
        </w:rPr>
        <w:t xml:space="preserve">1. </w:t>
      </w:r>
      <w:r>
        <w:t xml:space="preserve">Saisir le « Matricule DGI / MADGI » puis cliquer sur « Rechercher » (ou laisser le champ perdre le focus : la recherche se lance aussi automatiquement).</w:t>
      </w:r>
    </w:p>
    <w:p>
      <w:pPr>
        <w:spacing w:after="90"/>
        <w:ind w:left="200"/>
      </w:pPr>
      <w:r>
        <w:rPr>
          <w:b/>
          <w:bCs/>
          <w:color w:val="2B529F"/>
        </w:rPr>
        <w:t xml:space="preserve">2. </w:t>
      </w:r>
      <w:r>
        <w:t xml:space="preserve">Vérifier le résultat : coche verte si l'agent est trouvé et les champs sont préremplis (Nom, Prénoms, Date de naissance, Téléphone, Email, Emploi, Civilité, Situation matrimoniale) ; message orange « Aucun agent trouvé pour ce matricule » sinon.</w:t>
      </w:r>
    </w:p>
    <w:p>
      <w:pPr>
        <w:spacing w:after="90"/>
        <w:ind w:left="200"/>
      </w:pPr>
      <w:r>
        <w:rPr>
          <w:b/>
          <w:bCs/>
          <w:color w:val="2B529F"/>
        </w:rPr>
        <w:t xml:space="preserve">3. </w:t>
      </w:r>
      <w:r>
        <w:t xml:space="preserve">Compléter ou corriger les champs restants : Date d’adhésion, Civilité, Nom de famille, Prénoms, Date de naissance, Situation matrimoniale, Téléphone, Adresse Email, Emploi / Direction, Statut ESR.</w:t>
      </w:r>
    </w:p>
    <w:p>
      <w:pPr>
        <w:pStyle w:val="Heading3"/>
        <w:spacing w:after="100" w:before="200"/>
      </w:pPr>
      <w:r>
        <w:t xml:space="preserve">Bloc Contrat Épargne Santé Retraite (ESR)</w:t>
      </w:r>
    </w:p>
    <w:p>
      <w:pPr>
        <w:spacing w:after="90"/>
        <w:ind w:left="200"/>
      </w:pPr>
      <w:r>
        <w:rPr>
          <w:b/>
          <w:bCs/>
          <w:color w:val="2B529F"/>
        </w:rPr>
        <w:t xml:space="preserve">4. </w:t>
      </w:r>
      <w:r>
        <w:t xml:space="preserve">« Grade Professionnel » — le choix déclenche automatiquement le calcul de l’âge de retraite, de la cotisation annuelle et des dates.</w:t>
      </w:r>
    </w:p>
    <w:p>
      <w:pPr>
        <w:spacing w:after="90"/>
        <w:ind w:left="200"/>
      </w:pPr>
      <w:r>
        <w:rPr>
          <w:b/>
          <w:bCs/>
          <w:color w:val="2B529F"/>
        </w:rPr>
        <w:t xml:space="preserve">5. </w:t>
      </w:r>
      <w:r>
        <w:t xml:space="preserve">« Trimestre du premier precompte » — sélectionner le trimestre de départ (désactivé si aucune option n’est disponible).</w:t>
      </w:r>
    </w:p>
    <w:p>
      <w:pPr>
        <w:spacing w:after="90"/>
        <w:ind w:left="200"/>
      </w:pPr>
      <w:r>
        <w:rPr>
          <w:b/>
          <w:bCs/>
          <w:color w:val="2B529F"/>
        </w:rPr>
        <w:t xml:space="preserve">6. </w:t>
      </w:r>
      <w:r>
        <w:t xml:space="preserve">Vérifier le panneau « Résumé du pré-calcul ESR » : il doit afficher le badge « Calcul OK ». Le détail est visible dans trois sous-panneaux : Données contrat, Paramètres techniques, Résultat calculé.</w:t>
      </w:r>
    </w:p>
    <w:p>
      <w:pPr>
        <w:spacing w:after="90"/>
        <w:ind w:left="200"/>
      </w:pPr>
      <w:r>
        <w:rPr>
          <w:b/>
          <w:bCs/>
          <w:color w:val="2B529F"/>
        </w:rPr>
        <w:t xml:space="preserve">7. </w:t>
      </w:r>
      <w:r>
        <w:t xml:space="preserve">Cliquer sur « Enregistrer l’adhérent ».</w:t>
      </w:r>
    </w:p>
    <w:tbl>
      <w:tblPr>
        <w:tblW w:type="dxa" w:w="9350"/>
        <w:tblBorders>
          <w:top w:val="single" w:color="F59E0B" w:sz="4"/>
          <w:left w:val="single" w:color="F59E0B" w:sz="4"/>
          <w:bottom w:val="single" w:color="F59E0B" w:sz="4"/>
          <w:right w:val="single" w:color="F59E0B" w:sz="4"/>
          <w:insideH w:val="single" w:color="auto" w:sz="4"/>
          <w:insideV w:val="single" w:color="auto" w:sz="4"/>
        </w:tblBorders>
      </w:tblPr>
      <w:tblGrid>
        <w:gridCol w:w="9350"/>
      </w:tblGrid>
      <w:tr>
        <w:tc>
          <w:tcPr>
            <w:tcW w:type="dxa" w:w="9350"/>
            <w:shd w:fill="FEF3C7" w:val="clear"/>
            <w:tcMar>
              <w:top w:type="dxa" w:w="160"/>
              <w:left w:type="dxa" w:w="200"/>
              <w:bottom w:type="dxa" w:w="160"/>
              <w:right w:type="dxa" w:w="200"/>
            </w:tcMar>
          </w:tcPr>
          <w:p>
            <w:r>
              <w:rPr>
                <w:color w:val="B45309"/>
              </w:rPr>
              <w:t xml:space="preserve">⚠ Le formulaire bloque l'enregistrement si : un référentiel (civilité, situation matrimoniale, emploi) est vide, le trimestre de premier précompte n'est pas choisi, la date de retraite calculée précède le premier précompte, le nombre de trimestres n'est pas positif, ou si le pré-calcul ESR n'est pas au statut « OK ».</w:t>
            </w:r>
          </w:p>
        </w:tc>
      </w:tr>
    </w:tbl>
    <w:tbl>
      <w:tblPr>
        <w:tblW w:type="dxa" w:w="9350"/>
        <w:tblBorders>
          <w:top w:val="single" w:color="22C55E" w:sz="4"/>
          <w:left w:val="single" w:color="22C55E" w:sz="4"/>
          <w:bottom w:val="single" w:color="22C55E" w:sz="4"/>
          <w:right w:val="single" w:color="22C55E" w:sz="4"/>
          <w:insideH w:val="single" w:color="auto" w:sz="4"/>
          <w:insideV w:val="single" w:color="auto" w:sz="4"/>
        </w:tblBorders>
      </w:tblPr>
      <w:tblGrid>
        <w:gridCol w:w="9350"/>
      </w:tblGrid>
      <w:tr>
        <w:tc>
          <w:tcPr>
            <w:tcW w:type="dxa" w:w="9350"/>
            <w:shd w:fill="DCFCE7" w:val="clear"/>
            <w:tcMar>
              <w:top w:type="dxa" w:w="160"/>
              <w:left w:type="dxa" w:w="200"/>
              <w:bottom w:type="dxa" w:w="160"/>
              <w:right w:type="dxa" w:w="200"/>
            </w:tcMar>
          </w:tcPr>
          <w:p>
            <w:r>
              <w:rPr>
                <w:color w:val="15803D"/>
              </w:rPr>
              <w:t xml:space="preserve">✅ Le bouton « Simulation (aperçu à imprimer) » permet de visualiser et d’imprimer une fiche de simulation avant d’enregistrer définitivement.</w:t>
            </w:r>
          </w:p>
        </w:tc>
      </w:tr>
    </w:tbl>
    <w:p>
      <w:pPr>
        <w:pStyle w:val="Heading2"/>
        <w:spacing w:after="120" w:before="280"/>
      </w:pPr>
      <w:r>
        <w:t xml:space="preserve">5.3 Modifier un adhérent existant</w:t>
      </w:r>
    </w:p>
    <w:p>
      <w:pPr>
        <w:spacing w:after="120"/>
      </w:pPr>
      <w:r>
        <w:t xml:space="preserve">Depuis la liste, cliquer sur « Modifier » (bouton non disponible pour le profil Adhérent). Les mêmes champs qu’à la création sont proposés ; le matricule reste modifiable mais la recherche DGI n’est plus automatique.</w:t>
      </w:r>
    </w:p>
    <w:p>
      <w:pPr>
        <w:pStyle w:val="Heading2"/>
        <w:spacing w:after="120" w:before="280"/>
      </w:pPr>
      <w:r>
        <w:t xml:space="preserve">5.4 Gérer le cycle de vie d’un adhérent</w:t>
      </w:r>
    </w:p>
    <w:p>
      <w:pPr>
        <w:spacing w:after="120"/>
      </w:pPr>
      <w:r>
        <w:t xml:space="preserve">Depuis la fiche détaillée d’un adhérent (« Voir »), des boutons d’action apparaissent pour les gestionnaires et administrateurs :</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2B529F" w:val="clear"/>
            <w:tcMar>
              <w:top w:type="dxa" w:w="100"/>
              <w:left w:type="dxa" w:w="120"/>
              <w:bottom w:type="dxa" w:w="100"/>
              <w:right w:type="dxa" w:w="120"/>
            </w:tcMar>
            <w:vAlign w:val="center"/>
          </w:tcPr>
          <w:p>
            <w:r>
              <w:rPr>
                <w:b/>
                <w:bCs/>
                <w:color w:val="FFFFFF"/>
                <w:sz w:val="19"/>
                <w:szCs w:val="19"/>
              </w:rPr>
              <w:t xml:space="preserve">Bouton</w:t>
            </w:r>
          </w:p>
        </w:tc>
        <w:tc>
          <w:tcPr>
            <w:tcW w:type="dxa" w:w="6700"/>
            <w:shd w:fill="2B529F" w:val="clear"/>
            <w:tcMar>
              <w:top w:type="dxa" w:w="100"/>
              <w:left w:type="dxa" w:w="120"/>
              <w:bottom w:type="dxa" w:w="100"/>
              <w:right w:type="dxa" w:w="120"/>
            </w:tcMar>
            <w:vAlign w:val="center"/>
          </w:tcPr>
          <w:p>
            <w:r>
              <w:rPr>
                <w:b/>
                <w:bCs/>
                <w:color w:val="FFFFFF"/>
                <w:sz w:val="19"/>
                <w:szCs w:val="19"/>
              </w:rPr>
              <w:t xml:space="preserve">Effet</w:t>
            </w:r>
          </w:p>
        </w:tc>
      </w:tr>
      <w:tr>
        <w:tc>
          <w:tcPr>
            <w:tcW w:type="dxa" w:w="2600"/>
            <w:tcMar>
              <w:top w:type="dxa" w:w="100"/>
              <w:left w:type="dxa" w:w="120"/>
              <w:bottom w:type="dxa" w:w="100"/>
              <w:right w:type="dxa" w:w="120"/>
            </w:tcMar>
            <w:vAlign w:val="center"/>
          </w:tcPr>
          <w:p>
            <w:r>
              <w:rPr>
                <w:b w:val="false"/>
                <w:bCs w:val="false"/>
                <w:sz w:val="19"/>
                <w:szCs w:val="19"/>
              </w:rPr>
              <w:t xml:space="preserve">Acces adherent</w:t>
            </w:r>
          </w:p>
        </w:tc>
        <w:tc>
          <w:tcPr>
            <w:tcW w:type="dxa" w:w="6700"/>
            <w:tcMar>
              <w:top w:type="dxa" w:w="100"/>
              <w:left w:type="dxa" w:w="120"/>
              <w:bottom w:type="dxa" w:w="100"/>
              <w:right w:type="dxa" w:w="120"/>
            </w:tcMar>
            <w:vAlign w:val="center"/>
          </w:tcPr>
          <w:p>
            <w:r>
              <w:rPr>
                <w:b w:val="false"/>
                <w:bCs w:val="false"/>
                <w:sz w:val="19"/>
                <w:szCs w:val="19"/>
              </w:rPr>
              <w:t xml:space="preserve">Ouvre un mini-formulaire (Email de connexion, Telephone, Mot de passe) et crée l'accès de connexion de l'adhérent via « Creer l'acces ».</w:t>
            </w:r>
          </w:p>
        </w:tc>
      </w:tr>
      <w:tr>
        <w:tc>
          <w:tcPr>
            <w:tcW w:type="dxa" w:w="2600"/>
            <w:shd w:fill="F2F5FA" w:val="clear"/>
            <w:tcMar>
              <w:top w:type="dxa" w:w="100"/>
              <w:left w:type="dxa" w:w="120"/>
              <w:bottom w:type="dxa" w:w="100"/>
              <w:right w:type="dxa" w:w="120"/>
            </w:tcMar>
            <w:vAlign w:val="center"/>
          </w:tcPr>
          <w:p>
            <w:r>
              <w:rPr>
                <w:b w:val="false"/>
                <w:bCs w:val="false"/>
                <w:sz w:val="19"/>
                <w:szCs w:val="19"/>
              </w:rPr>
              <w:t xml:space="preserve">Activer</w:t>
            </w:r>
          </w:p>
        </w:tc>
        <w:tc>
          <w:tcPr>
            <w:tcW w:type="dxa" w:w="6700"/>
            <w:shd w:fill="F2F5FA" w:val="clear"/>
            <w:tcMar>
              <w:top w:type="dxa" w:w="100"/>
              <w:left w:type="dxa" w:w="120"/>
              <w:bottom w:type="dxa" w:w="100"/>
              <w:right w:type="dxa" w:w="120"/>
            </w:tcMar>
            <w:vAlign w:val="center"/>
          </w:tcPr>
          <w:p>
            <w:r>
              <w:rPr>
                <w:b w:val="false"/>
                <w:bCs w:val="false"/>
                <w:sz w:val="19"/>
                <w:szCs w:val="19"/>
              </w:rPr>
              <w:t xml:space="preserve">Repasse le dossier au statut ACTIF.</w:t>
            </w:r>
          </w:p>
        </w:tc>
      </w:tr>
      <w:tr>
        <w:tc>
          <w:tcPr>
            <w:tcW w:type="dxa" w:w="2600"/>
            <w:tcMar>
              <w:top w:type="dxa" w:w="100"/>
              <w:left w:type="dxa" w:w="120"/>
              <w:bottom w:type="dxa" w:w="100"/>
              <w:right w:type="dxa" w:w="120"/>
            </w:tcMar>
            <w:vAlign w:val="center"/>
          </w:tcPr>
          <w:p>
            <w:r>
              <w:rPr>
                <w:b w:val="false"/>
                <w:bCs w:val="false"/>
                <w:sz w:val="19"/>
                <w:szCs w:val="19"/>
              </w:rPr>
              <w:t xml:space="preserve">Desactiver</w:t>
            </w:r>
          </w:p>
        </w:tc>
        <w:tc>
          <w:tcPr>
            <w:tcW w:type="dxa" w:w="6700"/>
            <w:tcMar>
              <w:top w:type="dxa" w:w="100"/>
              <w:left w:type="dxa" w:w="120"/>
              <w:bottom w:type="dxa" w:w="100"/>
              <w:right w:type="dxa" w:w="120"/>
            </w:tcMar>
            <w:vAlign w:val="center"/>
          </w:tcPr>
          <w:p>
            <w:r>
              <w:rPr>
                <w:b w:val="false"/>
                <w:bCs w:val="false"/>
                <w:sz w:val="19"/>
                <w:szCs w:val="19"/>
              </w:rPr>
              <w:t xml:space="preserve">Passe le dossier au statut INACTIF.</w:t>
            </w:r>
          </w:p>
        </w:tc>
      </w:tr>
      <w:tr>
        <w:tc>
          <w:tcPr>
            <w:tcW w:type="dxa" w:w="2600"/>
            <w:shd w:fill="F2F5FA" w:val="clear"/>
            <w:tcMar>
              <w:top w:type="dxa" w:w="100"/>
              <w:left w:type="dxa" w:w="120"/>
              <w:bottom w:type="dxa" w:w="100"/>
              <w:right w:type="dxa" w:w="120"/>
            </w:tcMar>
            <w:vAlign w:val="center"/>
          </w:tcPr>
          <w:p>
            <w:r>
              <w:rPr>
                <w:b w:val="false"/>
                <w:bCs w:val="false"/>
                <w:sz w:val="19"/>
                <w:szCs w:val="19"/>
              </w:rPr>
              <w:t xml:space="preserve">Retraite</w:t>
            </w:r>
          </w:p>
        </w:tc>
        <w:tc>
          <w:tcPr>
            <w:tcW w:type="dxa" w:w="6700"/>
            <w:shd w:fill="F2F5FA" w:val="clear"/>
            <w:tcMar>
              <w:top w:type="dxa" w:w="100"/>
              <w:left w:type="dxa" w:w="120"/>
              <w:bottom w:type="dxa" w:w="100"/>
              <w:right w:type="dxa" w:w="120"/>
            </w:tcMar>
            <w:vAlign w:val="center"/>
          </w:tcPr>
          <w:p>
            <w:r>
              <w:rPr>
                <w:b w:val="false"/>
                <w:bCs w:val="false"/>
                <w:sz w:val="19"/>
                <w:szCs w:val="19"/>
              </w:rPr>
              <w:t xml:space="preserve">Fait passer l'adhérent au statut RETRAITE.</w:t>
            </w:r>
          </w:p>
        </w:tc>
      </w:tr>
      <w:tr>
        <w:tc>
          <w:tcPr>
            <w:tcW w:type="dxa" w:w="2600"/>
            <w:tcMar>
              <w:top w:type="dxa" w:w="100"/>
              <w:left w:type="dxa" w:w="120"/>
              <w:bottom w:type="dxa" w:w="100"/>
              <w:right w:type="dxa" w:w="120"/>
            </w:tcMar>
            <w:vAlign w:val="center"/>
          </w:tcPr>
          <w:p>
            <w:r>
              <w:rPr>
                <w:b w:val="false"/>
                <w:bCs w:val="false"/>
                <w:sz w:val="19"/>
                <w:szCs w:val="19"/>
              </w:rPr>
              <w:t xml:space="preserve">Deces</w:t>
            </w:r>
          </w:p>
        </w:tc>
        <w:tc>
          <w:tcPr>
            <w:tcW w:type="dxa" w:w="6700"/>
            <w:tcMar>
              <w:top w:type="dxa" w:w="100"/>
              <w:left w:type="dxa" w:w="120"/>
              <w:bottom w:type="dxa" w:w="100"/>
              <w:right w:type="dxa" w:w="120"/>
            </w:tcMar>
            <w:vAlign w:val="center"/>
          </w:tcPr>
          <w:p>
            <w:r>
              <w:rPr>
                <w:b w:val="false"/>
                <w:bCs w:val="false"/>
                <w:sz w:val="19"/>
                <w:szCs w:val="19"/>
              </w:rPr>
              <w:t xml:space="preserve">Fait passer l'adhérent au statut DECEDE.</w:t>
            </w:r>
          </w:p>
        </w:tc>
      </w:tr>
    </w:tbl>
    <w:p>
      <w:pPr>
        <w:spacing w:after="160"/>
      </w:pPr>
    </w:p>
    <w:p>
      <w:pPr>
        <w:spacing w:after="120"/>
      </w:pPr>
      <w:r>
        <w:t xml:space="preserve">Chaque action demande une confirmation (« Confirmez-vous l'action : {label} ? ») puis un motif obligatoire (« Motif ou commentaire de la decision : »).</w:t>
      </w:r>
    </w:p>
    <w:p>
      <w:pPr>
        <w:pStyle w:val="Heading2"/>
        <w:spacing w:after="120" w:before="280"/>
      </w:pPr>
      <w:r>
        <w:t xml:space="preserve">5.5 Gérer les bénéficiaires</w:t>
      </w:r>
    </w:p>
    <w:p>
      <w:pPr>
        <w:spacing w:after="120"/>
      </w:pPr>
      <w:r>
        <w:t xml:space="preserve">Depuis la fiche adhérent, la section bénéficiaires permet d'ajouter, modifier ou supprimer les ayants droit.</w:t>
      </w:r>
    </w:p>
    <w:p>
      <w:pPr>
        <w:spacing w:after="90"/>
        <w:ind w:left="200"/>
      </w:pPr>
      <w:r>
        <w:rPr>
          <w:b/>
          <w:bCs/>
          <w:color w:val="2B529F"/>
        </w:rPr>
        <w:t xml:space="preserve">1. </w:t>
      </w:r>
      <w:r>
        <w:t xml:space="preserve">Cliquer sur « Nouveau bénéficiaire » (grisé si le référentiel des liens de parenté est vide).</w:t>
      </w:r>
    </w:p>
    <w:p>
      <w:pPr>
        <w:spacing w:after="90"/>
        <w:ind w:left="200"/>
      </w:pPr>
      <w:r>
        <w:rPr>
          <w:b/>
          <w:bCs/>
          <w:color w:val="2B529F"/>
        </w:rPr>
        <w:t xml:space="preserve">2. </w:t>
      </w:r>
      <w:r>
        <w:t xml:space="preserve">Renseigner Nom, Prénoms, Lien / Parenté, Part Épargne (%).</w:t>
      </w:r>
    </w:p>
    <w:p>
      <w:pPr>
        <w:spacing w:after="90"/>
        <w:ind w:left="200"/>
      </w:pPr>
      <w:r>
        <w:rPr>
          <w:b/>
          <w:bCs/>
          <w:color w:val="2B529F"/>
        </w:rPr>
        <w:t xml:space="preserve">3. </w:t>
      </w:r>
      <w:r>
        <w:t xml:space="preserve">Valider avec l’icône disque (enregistrer) ou annuler avec l’icône X.</w:t>
      </w:r>
    </w:p>
    <w:tbl>
      <w:tblPr>
        <w:tblW w:type="dxa" w:w="9350"/>
        <w:tblBorders>
          <w:top w:val="single" w:color="F59E0B" w:sz="4"/>
          <w:left w:val="single" w:color="F59E0B" w:sz="4"/>
          <w:bottom w:val="single" w:color="F59E0B" w:sz="4"/>
          <w:right w:val="single" w:color="F59E0B" w:sz="4"/>
          <w:insideH w:val="single" w:color="auto" w:sz="4"/>
          <w:insideV w:val="single" w:color="auto" w:sz="4"/>
        </w:tblBorders>
      </w:tblPr>
      <w:tblGrid>
        <w:gridCol w:w="9350"/>
      </w:tblGrid>
      <w:tr>
        <w:tc>
          <w:tcPr>
            <w:tcW w:type="dxa" w:w="9350"/>
            <w:shd w:fill="FEF3C7" w:val="clear"/>
            <w:tcMar>
              <w:top w:type="dxa" w:w="160"/>
              <w:left w:type="dxa" w:w="200"/>
              <w:bottom w:type="dxa" w:w="160"/>
              <w:right w:type="dxa" w:w="200"/>
            </w:tcMar>
          </w:tcPr>
          <w:p>
            <w:r>
              <w:rPr>
                <w:color w:val="B45309"/>
              </w:rPr>
              <w:t xml:space="preserve">⚠ Règle impérative : la somme des pourcentages de tous les bénéficiaires d'un adhérent ne peut jamais dépasser 100 %. Le message « La somme des pourcentages ne peut pas dépasser 100% (Courante: {X}%) » bloque l'ajout si la limite est atteinte. Le bandeau « Total des parts désignées : {X}% / 100% » passe au vert uniquement à 100 % exactement.</w:t>
            </w:r>
          </w:p>
        </w:tc>
      </w:tr>
    </w:tbl>
    <w:p>
      <w:pPr>
        <w:pStyle w:val="Heading2"/>
        <w:spacing w:after="120" w:before="280"/>
      </w:pPr>
      <w:r>
        <w:t xml:space="preserve">5.6 Consulter l’historique des changements</w:t>
      </w:r>
    </w:p>
    <w:p>
      <w:pPr>
        <w:spacing w:after="120"/>
      </w:pPr>
      <w:r>
        <w:t xml:space="preserve">La section « Historique des changements » de la fiche adhérent liste, avec un bouton d'actualisation, toutes les actions d'audit effectuées sur le dossier (créations, modifications, changements de statut).</w:t>
      </w:r>
    </w:p>
    <w:p>
      <w:r>
        <w:br w:type="page"/>
      </w:r>
    </w:p>
    <w:p>
      <w:pPr>
        <w:pStyle w:val="Heading1"/>
        <w:spacing w:after="160" w:before="360"/>
      </w:pPr>
      <w:r>
        <w:t xml:space="preserve">6. Adhésions en ligne</w:t>
      </w:r>
    </w:p>
    <w:tbl>
      <w:tblPr>
        <w:tblW w:type="dxa" w:w="4000"/>
        <w:tblBorders>
          <w:top w:val="single" w:color="CBD5E1" w:sz="4"/>
          <w:left w:val="single" w:color="CBD5E1" w:sz="4"/>
          <w:bottom w:val="single" w:color="CBD5E1" w:sz="4"/>
          <w:right w:val="single" w:color="CBD5E1" w:sz="4"/>
          <w:insideH w:val="single" w:color="auto" w:sz="4"/>
          <w:insideV w:val="single" w:color="auto" w:sz="4"/>
        </w:tblBorders>
      </w:tblPr>
      <w:tblGrid>
        <w:gridCol w:w="4000"/>
      </w:tblGrid>
      <w:tr>
        <w:tc>
          <w:tcPr>
            <w:tcW w:type="dxa" w:w="4000"/>
            <w:shd w:fill="EFF4FB" w:val="clear"/>
            <w:tcMar>
              <w:top w:type="dxa" w:w="80"/>
              <w:left w:type="dxa" w:w="160"/>
              <w:bottom w:type="dxa" w:w="80"/>
              <w:right w:type="dxa" w:w="160"/>
            </w:tcMar>
          </w:tcPr>
          <w:p>
            <w:r>
              <w:rPr>
                <w:b/>
                <w:bCs/>
                <w:color w:val="1F3B73"/>
                <w:sz w:val="19"/>
                <w:szCs w:val="19"/>
              </w:rPr>
              <w:t xml:space="preserve">Accès : Gestionnaire, Administrateur</w:t>
            </w:r>
          </w:p>
        </w:tc>
      </w:tr>
    </w:tbl>
    <w:p>
      <w:pPr>
        <w:spacing w:after="160"/>
      </w:pPr>
    </w:p>
    <w:p>
      <w:pPr>
        <w:spacing w:after="120"/>
      </w:pPr>
      <w:r>
        <w:t xml:space="preserve">Ce module permet de traiter les demandes déposées via le formulaire public « S’inscrire en ligne » (chapitre 2.5).</w:t>
      </w:r>
    </w:p>
    <w:p>
      <w:pPr>
        <w:pStyle w:val="Heading2"/>
        <w:spacing w:after="120" w:before="280"/>
      </w:pPr>
      <w:r>
        <w:t xml:space="preserve">6.1 Consulter les demandes</w:t>
      </w:r>
    </w:p>
    <w:p>
      <w:pPr>
        <w:spacing w:after="120"/>
      </w:pPr>
      <w:r>
        <w:t xml:space="preserve">L’écran « Validation des adhesions en ligne » affiche un badge « {N} en attente » et un tableau : Date, Matricule, Nom et prénoms, Téléphone, Grade, Emploi/Fonction, Statut, Actions.</w:t>
      </w:r>
    </w:p>
    <w:p>
      <w:pPr>
        <w:pStyle w:val="Heading2"/>
        <w:spacing w:after="120" w:before="280"/>
      </w:pPr>
      <w:r>
        <w:t xml:space="preserve">6.2 Traiter une demande</w:t>
      </w:r>
    </w:p>
    <w:p>
      <w:pPr>
        <w:spacing w:after="90"/>
        <w:ind w:left="200"/>
      </w:pPr>
      <w:r>
        <w:rPr>
          <w:b/>
          <w:bCs/>
          <w:color w:val="2B529F"/>
        </w:rPr>
        <w:t xml:space="preserve">1. </w:t>
      </w:r>
      <w:r>
        <w:t xml:space="preserve">Cliquer sur « Ouvrir » sur la ligne concernée.</w:t>
      </w:r>
    </w:p>
    <w:p>
      <w:pPr>
        <w:spacing w:after="90"/>
        <w:ind w:left="200"/>
      </w:pPr>
      <w:r>
        <w:rPr>
          <w:b/>
          <w:bCs/>
          <w:color w:val="2B529F"/>
        </w:rPr>
        <w:t xml:space="preserve">2. </w:t>
      </w:r>
      <w:r>
        <w:t xml:space="preserve">Vérifier ou corriger les champs (identiques au formulaire d’adhésion en ligne).</w:t>
      </w:r>
    </w:p>
    <w:p>
      <w:pPr>
        <w:spacing w:after="90"/>
        <w:ind w:left="200"/>
      </w:pPr>
      <w:r>
        <w:rPr>
          <w:b/>
          <w:bCs/>
          <w:color w:val="2B529F"/>
        </w:rPr>
        <w:t xml:space="preserve">3. </w:t>
      </w:r>
      <w:r>
        <w:t xml:space="preserve">Trois choix : « Enregistrer » (sauvegarde sans changer le statut), « Valider », ou « Rejeter ».</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shd w:fill="2B529F" w:val="clear"/>
            <w:tcMar>
              <w:top w:type="dxa" w:w="100"/>
              <w:left w:type="dxa" w:w="120"/>
              <w:bottom w:type="dxa" w:w="100"/>
              <w:right w:type="dxa" w:w="120"/>
            </w:tcMar>
            <w:vAlign w:val="center"/>
          </w:tcPr>
          <w:p>
            <w:r>
              <w:rPr>
                <w:b/>
                <w:bCs/>
                <w:color w:val="FFFFFF"/>
                <w:sz w:val="19"/>
                <w:szCs w:val="19"/>
              </w:rPr>
              <w:t xml:space="preserve">Statut</w:t>
            </w:r>
          </w:p>
        </w:tc>
        <w:tc>
          <w:tcPr>
            <w:tcW w:type="dxa" w:w="7100"/>
            <w:shd w:fill="2B529F" w:val="clear"/>
            <w:tcMar>
              <w:top w:type="dxa" w:w="100"/>
              <w:left w:type="dxa" w:w="120"/>
              <w:bottom w:type="dxa" w:w="100"/>
              <w:right w:type="dxa" w:w="120"/>
            </w:tcMar>
            <w:vAlign w:val="center"/>
          </w:tcPr>
          <w:p>
            <w:r>
              <w:rPr>
                <w:b/>
                <w:bCs/>
                <w:color w:val="FFFFFF"/>
                <w:sz w:val="19"/>
                <w:szCs w:val="19"/>
              </w:rPr>
              <w:t xml:space="preserve">Signification</w:t>
            </w:r>
          </w:p>
        </w:tc>
      </w:tr>
      <w:tr>
        <w:tc>
          <w:tcPr>
            <w:tcW w:type="dxa" w:w="2200"/>
            <w:tcMar>
              <w:top w:type="dxa" w:w="100"/>
              <w:left w:type="dxa" w:w="120"/>
              <w:bottom w:type="dxa" w:w="100"/>
              <w:right w:type="dxa" w:w="120"/>
            </w:tcMar>
            <w:vAlign w:val="center"/>
          </w:tcPr>
          <w:p>
            <w:r>
              <w:rPr>
                <w:b w:val="false"/>
                <w:bCs w:val="false"/>
                <w:sz w:val="19"/>
                <w:szCs w:val="19"/>
              </w:rPr>
              <w:t xml:space="preserve">EN_ATTENTE</w:t>
            </w:r>
          </w:p>
        </w:tc>
        <w:tc>
          <w:tcPr>
            <w:tcW w:type="dxa" w:w="7100"/>
            <w:tcMar>
              <w:top w:type="dxa" w:w="100"/>
              <w:left w:type="dxa" w:w="120"/>
              <w:bottom w:type="dxa" w:w="100"/>
              <w:right w:type="dxa" w:w="120"/>
            </w:tcMar>
            <w:vAlign w:val="center"/>
          </w:tcPr>
          <w:p>
            <w:r>
              <w:rPr>
                <w:b w:val="false"/>
                <w:bCs w:val="false"/>
                <w:sz w:val="19"/>
                <w:szCs w:val="19"/>
              </w:rPr>
              <w:t xml:space="preserve">Demande déposée, en attente de traitement (statut par défaut de la liste).</w:t>
            </w:r>
          </w:p>
        </w:tc>
      </w:tr>
      <w:tr>
        <w:tc>
          <w:tcPr>
            <w:tcW w:type="dxa" w:w="2200"/>
            <w:shd w:fill="F2F5FA" w:val="clear"/>
            <w:tcMar>
              <w:top w:type="dxa" w:w="100"/>
              <w:left w:type="dxa" w:w="120"/>
              <w:bottom w:type="dxa" w:w="100"/>
              <w:right w:type="dxa" w:w="120"/>
            </w:tcMar>
            <w:vAlign w:val="center"/>
          </w:tcPr>
          <w:p>
            <w:r>
              <w:rPr>
                <w:b w:val="false"/>
                <w:bCs w:val="false"/>
                <w:sz w:val="19"/>
                <w:szCs w:val="19"/>
              </w:rPr>
              <w:t xml:space="preserve">VALIDE</w:t>
            </w:r>
          </w:p>
        </w:tc>
        <w:tc>
          <w:tcPr>
            <w:tcW w:type="dxa" w:w="7100"/>
            <w:shd w:fill="F2F5FA" w:val="clear"/>
            <w:tcMar>
              <w:top w:type="dxa" w:w="100"/>
              <w:left w:type="dxa" w:w="120"/>
              <w:bottom w:type="dxa" w:w="100"/>
              <w:right w:type="dxa" w:w="120"/>
            </w:tcMar>
            <w:vAlign w:val="center"/>
          </w:tcPr>
          <w:p>
            <w:r>
              <w:rPr>
                <w:b w:val="false"/>
                <w:bCs w:val="false"/>
                <w:sz w:val="19"/>
                <w:szCs w:val="19"/>
              </w:rPr>
              <w:t xml:space="preserve">Demande acceptée : un adhérent ESR actif est créé.</w:t>
            </w:r>
          </w:p>
        </w:tc>
      </w:tr>
      <w:tr>
        <w:tc>
          <w:tcPr>
            <w:tcW w:type="dxa" w:w="2200"/>
            <w:tcMar>
              <w:top w:type="dxa" w:w="100"/>
              <w:left w:type="dxa" w:w="120"/>
              <w:bottom w:type="dxa" w:w="100"/>
              <w:right w:type="dxa" w:w="120"/>
            </w:tcMar>
            <w:vAlign w:val="center"/>
          </w:tcPr>
          <w:p>
            <w:r>
              <w:rPr>
                <w:b w:val="false"/>
                <w:bCs w:val="false"/>
                <w:sz w:val="19"/>
                <w:szCs w:val="19"/>
              </w:rPr>
              <w:t xml:space="preserve">REJETE</w:t>
            </w:r>
          </w:p>
        </w:tc>
        <w:tc>
          <w:tcPr>
            <w:tcW w:type="dxa" w:w="7100"/>
            <w:tcMar>
              <w:top w:type="dxa" w:w="100"/>
              <w:left w:type="dxa" w:w="120"/>
              <w:bottom w:type="dxa" w:w="100"/>
              <w:right w:type="dxa" w:w="120"/>
            </w:tcMar>
            <w:vAlign w:val="center"/>
          </w:tcPr>
          <w:p>
            <w:r>
              <w:rPr>
                <w:b w:val="false"/>
                <w:bCs w:val="false"/>
                <w:sz w:val="19"/>
                <w:szCs w:val="19"/>
              </w:rPr>
              <w:t xml:space="preserve">Demande refusée, avec un motif obligatoire.</w:t>
            </w:r>
          </w:p>
        </w:tc>
      </w:tr>
    </w:tbl>
    <w:p>
      <w:pPr>
        <w:spacing w:after="160"/>
      </w:pPr>
    </w:p>
    <w:p>
      <w:pPr>
        <w:spacing w:after="120"/>
      </w:pPr>
      <w:r>
        <w:t xml:space="preserve">« Valider » demande confirmation (« Valider cette adhesion en ligne et creer l adherent ESR actif ? ») puis crée le dossier adhérent, avec ou sans accès de connexion selon les informations disponibles.</w:t>
      </w:r>
    </w:p>
    <w:p>
      <w:pPr>
        <w:spacing w:after="120"/>
      </w:pPr>
      <w:r>
        <w:t xml:space="preserve">« Rejeter » demande un motif (« Motif du rejet : ») puis confirmation avant de retirer la demande de la file d’attente.</w:t>
      </w:r>
    </w:p>
    <w:tbl>
      <w:tblPr>
        <w:tblW w:type="dxa" w:w="9350"/>
        <w:tblBorders>
          <w:top w:val="single" w:color="F59E0B" w:sz="4"/>
          <w:left w:val="single" w:color="F59E0B" w:sz="4"/>
          <w:bottom w:val="single" w:color="F59E0B" w:sz="4"/>
          <w:right w:val="single" w:color="F59E0B" w:sz="4"/>
          <w:insideH w:val="single" w:color="auto" w:sz="4"/>
          <w:insideV w:val="single" w:color="auto" w:sz="4"/>
        </w:tblBorders>
      </w:tblPr>
      <w:tblGrid>
        <w:gridCol w:w="9350"/>
      </w:tblGrid>
      <w:tr>
        <w:tc>
          <w:tcPr>
            <w:tcW w:type="dxa" w:w="9350"/>
            <w:shd w:fill="FEF3C7" w:val="clear"/>
            <w:tcMar>
              <w:top w:type="dxa" w:w="160"/>
              <w:left w:type="dxa" w:w="200"/>
              <w:bottom w:type="dxa" w:w="160"/>
              <w:right w:type="dxa" w:w="200"/>
            </w:tcMar>
          </w:tcPr>
          <w:p>
            <w:r>
              <w:rPr>
                <w:color w:val="B45309"/>
              </w:rPr>
              <w:t xml:space="preserve">⚠ Avant de valider ou d'enregistrer, la plateforme vérifie que le grade et le trimestre de premier précompte sont choisis, que la date de retraite ne précède pas le précompte, et que la cotisation ESR est correctement calculée.</w:t>
            </w:r>
          </w:p>
        </w:tc>
      </w:tr>
    </w:tbl>
    <w:tbl>
      <w:tblPr>
        <w:tblW w:type="dxa" w:w="9350"/>
        <w:tblBorders>
          <w:top w:val="single" w:color="F59E0B" w:sz="4"/>
          <w:left w:val="single" w:color="F59E0B" w:sz="4"/>
          <w:bottom w:val="single" w:color="F59E0B" w:sz="4"/>
          <w:right w:val="single" w:color="F59E0B" w:sz="4"/>
          <w:insideH w:val="single" w:color="auto" w:sz="4"/>
          <w:insideV w:val="single" w:color="auto" w:sz="4"/>
        </w:tblBorders>
      </w:tblPr>
      <w:tblGrid>
        <w:gridCol w:w="9350"/>
      </w:tblGrid>
      <w:tr>
        <w:tc>
          <w:tcPr>
            <w:tcW w:type="dxa" w:w="9350"/>
            <w:shd w:fill="FEF3C7" w:val="clear"/>
            <w:tcMar>
              <w:top w:type="dxa" w:w="160"/>
              <w:left w:type="dxa" w:w="200"/>
              <w:bottom w:type="dxa" w:w="160"/>
              <w:right w:type="dxa" w:w="200"/>
            </w:tcMar>
          </w:tcPr>
          <w:p>
            <w:r>
              <w:rPr>
                <w:color w:val="B45309"/>
              </w:rPr>
              <w:t xml:space="preserve">⚠ Une fois le statut VALIDE ou REJETE atteint, le formulaire devient définitivement en lecture seule.</w:t>
            </w:r>
          </w:p>
        </w:tc>
      </w:tr>
    </w:tbl>
    <w:p>
      <w:r>
        <w:br w:type="page"/>
      </w:r>
    </w:p>
    <w:p>
      <w:pPr>
        <w:pStyle w:val="Heading1"/>
        <w:spacing w:after="160" w:before="360"/>
      </w:pPr>
      <w:r>
        <w:t xml:space="preserve">7. Cotisations</w:t>
      </w:r>
    </w:p>
    <w:tbl>
      <w:tblPr>
        <w:tblW w:type="dxa" w:w="4000"/>
        <w:tblBorders>
          <w:top w:val="single" w:color="CBD5E1" w:sz="4"/>
          <w:left w:val="single" w:color="CBD5E1" w:sz="4"/>
          <w:bottom w:val="single" w:color="CBD5E1" w:sz="4"/>
          <w:right w:val="single" w:color="CBD5E1" w:sz="4"/>
          <w:insideH w:val="single" w:color="auto" w:sz="4"/>
          <w:insideV w:val="single" w:color="auto" w:sz="4"/>
        </w:tblBorders>
      </w:tblPr>
      <w:tblGrid>
        <w:gridCol w:w="4000"/>
      </w:tblGrid>
      <w:tr>
        <w:tc>
          <w:tcPr>
            <w:tcW w:type="dxa" w:w="4000"/>
            <w:shd w:fill="EFF4FB" w:val="clear"/>
            <w:tcMar>
              <w:top w:type="dxa" w:w="80"/>
              <w:left w:type="dxa" w:w="160"/>
              <w:bottom w:type="dxa" w:w="80"/>
              <w:right w:type="dxa" w:w="160"/>
            </w:tcMar>
          </w:tcPr>
          <w:p>
            <w:r>
              <w:rPr>
                <w:b/>
                <w:bCs/>
                <w:color w:val="1F3B73"/>
                <w:sz w:val="19"/>
                <w:szCs w:val="19"/>
              </w:rPr>
              <w:t xml:space="preserve">Accès : Gestionnaire, Administrateur</w:t>
            </w:r>
          </w:p>
        </w:tc>
      </w:tr>
    </w:tbl>
    <w:p>
      <w:pPr>
        <w:spacing w:after="160"/>
      </w:pPr>
    </w:p>
    <w:p>
      <w:pPr>
        <w:pStyle w:val="Heading2"/>
        <w:spacing w:after="120" w:before="280"/>
      </w:pPr>
      <w:r>
        <w:t xml:space="preserve">7.1 Consulter la liste des cotisations</w:t>
      </w:r>
    </w:p>
    <w:p>
      <w:pPr>
        <w:spacing w:after="120"/>
      </w:pPr>
      <w:r>
        <w:t xml:space="preserve">Filtres disponibles : Recherche Adhérent (matricule/nom/prénoms), Période, Origine / Canal (Toutes les sources, PRECOMPTE (Salaire), SPONTANEE (Cotisation directe)), Date début, Date fin, puis « Actualiser les filtres ».</w:t>
      </w:r>
    </w:p>
    <w:p>
      <w:pPr>
        <w:spacing w:after="120"/>
      </w:pPr>
      <w:r>
        <w:t xml:space="preserve">Le tableau affiche Adhérent, Matricule, Période, Date valeur, Source, Mode, Montant. Cliquer sur une ligne ouvre la fenêtre « Historique des cotisations ESR » du membre concerné.</w:t>
      </w:r>
    </w:p>
    <w:p>
      <w:pPr>
        <w:pStyle w:val="Heading2"/>
        <w:spacing w:after="120" w:before="280"/>
      </w:pPr>
      <w:r>
        <w:t xml:space="preserve">7.2 Enregistrer une cotisation spontanée</w:t>
      </w:r>
    </w:p>
    <w:p>
      <w:pPr>
        <w:spacing w:after="120"/>
      </w:pPr>
      <w:r>
        <w:t xml:space="preserve">Une cotisation « spontanée » est un versement direct, hors précompte salarial (ex. chèque, espèces, virement).</w:t>
      </w:r>
    </w:p>
    <w:p>
      <w:pPr>
        <w:spacing w:after="90"/>
        <w:ind w:left="200"/>
      </w:pPr>
      <w:r>
        <w:rPr>
          <w:b/>
          <w:bCs/>
          <w:color w:val="2B529F"/>
        </w:rPr>
        <w:t xml:space="preserve">1. </w:t>
      </w:r>
      <w:r>
        <w:t xml:space="preserve">Cliquer sur « Cotisation spontanée ».</w:t>
      </w:r>
    </w:p>
    <w:p>
      <w:pPr>
        <w:spacing w:after="90"/>
        <w:ind w:left="200"/>
      </w:pPr>
      <w:r>
        <w:rPr>
          <w:b/>
          <w:bCs/>
          <w:color w:val="2B529F"/>
        </w:rPr>
        <w:t xml:space="preserve">2. </w:t>
      </w:r>
      <w:r>
        <w:t xml:space="preserve">« Adhérent » — rechercher par matricule, nom ou prénoms ; la « Cotisation trimestrielle » attendue s’affiche automatiquement.</w:t>
      </w:r>
    </w:p>
    <w:p>
      <w:pPr>
        <w:spacing w:after="90"/>
        <w:ind w:left="200"/>
      </w:pPr>
      <w:r>
        <w:rPr>
          <w:b/>
          <w:bCs/>
          <w:color w:val="2B529F"/>
        </w:rPr>
        <w:t xml:space="preserve">3. </w:t>
      </w:r>
      <w:r>
        <w:t xml:space="preserve">Saisir « Montant versé (FCFA) », choisir le « Mode de versement » (VIREMENT, CHEQUE ou ESPECES) et la « Date ».</w:t>
      </w:r>
    </w:p>
    <w:p>
      <w:pPr>
        <w:spacing w:after="90"/>
        <w:ind w:left="200"/>
      </w:pPr>
      <w:r>
        <w:rPr>
          <w:b/>
          <w:bCs/>
          <w:color w:val="2B529F"/>
        </w:rPr>
        <w:t xml:space="preserve">4. </w:t>
      </w:r>
      <w:r>
        <w:t xml:space="preserve">Si le mode choisi est CHEQUE, compléter en plus : Numero du cheque, Banque emettrice, Titulaire, Date d’emission.</w:t>
      </w:r>
    </w:p>
    <w:p>
      <w:pPr>
        <w:spacing w:after="90"/>
        <w:ind w:left="200"/>
      </w:pPr>
      <w:r>
        <w:rPr>
          <w:b/>
          <w:bCs/>
          <w:color w:val="2B529F"/>
        </w:rPr>
        <w:t xml:space="preserve">5. </w:t>
      </w:r>
      <w:r>
        <w:t xml:space="preserve">Cliquer sur « Valider » (ou « Enregistrer pour validation » si le mode est CHEQUE).</w:t>
      </w:r>
    </w:p>
    <w:tbl>
      <w:tblPr>
        <w:tblW w:type="dxa" w:w="9350"/>
        <w:tblBorders>
          <w:top w:val="single" w:color="F59E0B" w:sz="4"/>
          <w:left w:val="single" w:color="F59E0B" w:sz="4"/>
          <w:bottom w:val="single" w:color="F59E0B" w:sz="4"/>
          <w:right w:val="single" w:color="F59E0B" w:sz="4"/>
          <w:insideH w:val="single" w:color="auto" w:sz="4"/>
          <w:insideV w:val="single" w:color="auto" w:sz="4"/>
        </w:tblBorders>
      </w:tblPr>
      <w:tblGrid>
        <w:gridCol w:w="9350"/>
      </w:tblGrid>
      <w:tr>
        <w:tc>
          <w:tcPr>
            <w:tcW w:type="dxa" w:w="9350"/>
            <w:shd w:fill="FEF3C7" w:val="clear"/>
            <w:tcMar>
              <w:top w:type="dxa" w:w="160"/>
              <w:left w:type="dxa" w:w="200"/>
              <w:bottom w:type="dxa" w:w="160"/>
              <w:right w:type="dxa" w:w="200"/>
            </w:tcMar>
          </w:tcPr>
          <w:p>
            <w:r>
              <w:rPr>
                <w:color w:val="B45309"/>
              </w:rPr>
              <w:t xml:space="preserve">⚠ Un paiement par chèque n'est pas immédiatement crédité : « Le cheque reste en attente. La cotisation sera creditee apres compensation bancaire. » Les paiements par virement ou espèces sont enregistrés immédiatement et génèrent un reçu.</w:t>
            </w:r>
          </w:p>
        </w:tc>
      </w:tr>
    </w:tbl>
    <w:p>
      <w:pPr>
        <w:pStyle w:val="Heading2"/>
        <w:spacing w:after="120" w:before="280"/>
      </w:pPr>
      <w:r>
        <w:t xml:space="preserve">7.3 Statuts d’une cotisation</w:t>
      </w:r>
    </w:p>
    <w:p>
      <w:pPr>
        <w:spacing w:after="120"/>
      </w:pPr>
      <w:r>
        <w:t xml:space="preserve">Vu depuis l'espace adhérent, chaque cotisation est résumée en trois statuts : Encaissée, Rejetée, En traitement. Les statuts détaillés utilisés côté précompte sont décrits au chapitre 8.</w:t>
      </w:r>
    </w:p>
    <w:p>
      <w:r>
        <w:br w:type="page"/>
      </w:r>
    </w:p>
    <w:p>
      <w:pPr>
        <w:pStyle w:val="Heading1"/>
        <w:spacing w:after="160" w:before="360"/>
      </w:pPr>
      <w:r>
        <w:t xml:space="preserve">8. Précomptes</w:t>
      </w:r>
    </w:p>
    <w:tbl>
      <w:tblPr>
        <w:tblW w:type="dxa" w:w="4000"/>
        <w:tblBorders>
          <w:top w:val="single" w:color="CBD5E1" w:sz="4"/>
          <w:left w:val="single" w:color="CBD5E1" w:sz="4"/>
          <w:bottom w:val="single" w:color="CBD5E1" w:sz="4"/>
          <w:right w:val="single" w:color="CBD5E1" w:sz="4"/>
          <w:insideH w:val="single" w:color="auto" w:sz="4"/>
          <w:insideV w:val="single" w:color="auto" w:sz="4"/>
        </w:tblBorders>
      </w:tblPr>
      <w:tblGrid>
        <w:gridCol w:w="4000"/>
      </w:tblGrid>
      <w:tr>
        <w:tc>
          <w:tcPr>
            <w:tcW w:type="dxa" w:w="4000"/>
            <w:shd w:fill="EFF4FB" w:val="clear"/>
            <w:tcMar>
              <w:top w:type="dxa" w:w="80"/>
              <w:left w:type="dxa" w:w="160"/>
              <w:bottom w:type="dxa" w:w="80"/>
              <w:right w:type="dxa" w:w="160"/>
            </w:tcMar>
          </w:tcPr>
          <w:p>
            <w:r>
              <w:rPr>
                <w:b/>
                <w:bCs/>
                <w:color w:val="1F3B73"/>
                <w:sz w:val="19"/>
                <w:szCs w:val="19"/>
              </w:rPr>
              <w:t xml:space="preserve">Accès : Gestionnaire, Administrateur</w:t>
            </w:r>
          </w:p>
        </w:tc>
      </w:tr>
    </w:tbl>
    <w:p>
      <w:pPr>
        <w:spacing w:after="160"/>
      </w:pPr>
    </w:p>
    <w:p>
      <w:pPr>
        <w:spacing w:after="120"/>
      </w:pPr>
      <w:r>
        <w:t xml:space="preserve">Ce module gère le cycle des retenues sur salaire (précomptes) : génération, export vers la DGI, puis import du retour DGI pour rapprochement.</w:t>
      </w:r>
    </w:p>
    <w:p>
      <w:pPr>
        <w:pStyle w:val="Heading2"/>
        <w:spacing w:after="120" w:before="280"/>
      </w:pPr>
      <w:r>
        <w:t xml:space="preserve">8.1 Générer les précomptes d’une période</w:t>
      </w:r>
    </w:p>
    <w:p>
      <w:pPr>
        <w:spacing w:after="90"/>
        <w:ind w:left="200"/>
      </w:pPr>
      <w:r>
        <w:rPr>
          <w:b/>
          <w:bCs/>
          <w:color w:val="2B529F"/>
        </w:rPr>
        <w:t xml:space="preserve">1. </w:t>
      </w:r>
      <w:r>
        <w:t xml:space="preserve">Choisir la « Période » (les périodes clôturées sont signalées).</w:t>
      </w:r>
    </w:p>
    <w:p>
      <w:pPr>
        <w:spacing w:after="90"/>
        <w:ind w:left="200"/>
      </w:pPr>
      <w:r>
        <w:rPr>
          <w:b/>
          <w:bCs/>
          <w:color w:val="2B529F"/>
        </w:rPr>
        <w:t xml:space="preserve">2. </w:t>
      </w:r>
      <w:r>
        <w:t xml:space="preserve">Cliquer sur « Générer les précomptes ».</w:t>
      </w:r>
    </w:p>
    <w:p>
      <w:pPr>
        <w:spacing w:after="90"/>
        <w:ind w:left="200"/>
      </w:pPr>
      <w:r>
        <w:rPr>
          <w:b/>
          <w:bCs/>
          <w:color w:val="2B529F"/>
        </w:rPr>
        <w:t xml:space="preserve">3. </w:t>
      </w:r>
      <w:r>
        <w:t xml:space="preserve">Lire le résultat : « Précomptes générés : {N} créés, {N} ignorés, {N} erreurs » (les 5 premières erreurs éventuelles sont listées).</w:t>
      </w:r>
    </w:p>
    <w:p>
      <w:pPr>
        <w:pStyle w:val="Heading2"/>
        <w:spacing w:after="120" w:before="280"/>
      </w:pPr>
      <w:r>
        <w:t xml:space="preserve">8.2 Exporter le fichier précompte</w:t>
      </w:r>
    </w:p>
    <w:p>
      <w:pPr>
        <w:spacing w:after="120"/>
      </w:pPr>
      <w:r>
        <w:t xml:space="preserve">Une fois les précomptes générés, deux boutons apparaissent : « Générer le fichier » (export Excel avec les colonnes N° D’ORDRE, MADGI_MATRICULE, AGENT_NOM, CATEGORIE, PERIODE, MADGI_ESR) et « Retour précompte » (accès direct à la section d’import du retour DGI).</w:t>
      </w:r>
    </w:p>
    <w:p>
      <w:pPr>
        <w:pStyle w:val="Heading2"/>
        <w:spacing w:after="120" w:before="280"/>
      </w:pPr>
      <w:r>
        <w:t xml:space="preserve">8.3 Importer le retour DGI</w:t>
      </w:r>
    </w:p>
    <w:p>
      <w:pPr>
        <w:spacing w:after="90"/>
        <w:ind w:left="200"/>
      </w:pPr>
      <w:r>
        <w:rPr>
          <w:b/>
          <w:bCs/>
          <w:color w:val="2B529F"/>
        </w:rPr>
        <w:t xml:space="preserve">1. </w:t>
      </w:r>
      <w:r>
        <w:t xml:space="preserve">Sélectionner le « Fichier retour précompte (.xlsx) » reçu de la DGI.</w:t>
      </w:r>
    </w:p>
    <w:p>
      <w:pPr>
        <w:spacing w:after="90"/>
        <w:ind w:left="200"/>
      </w:pPr>
      <w:r>
        <w:rPr>
          <w:b/>
          <w:bCs/>
          <w:color w:val="2B529F"/>
        </w:rPr>
        <w:t xml:space="preserve">2. </w:t>
      </w:r>
      <w:r>
        <w:t xml:space="preserve">Cliquer sur « Importer le retour DGI ».</w:t>
      </w:r>
    </w:p>
    <w:p>
      <w:pPr>
        <w:spacing w:after="90"/>
        <w:ind w:left="200"/>
      </w:pPr>
      <w:r>
        <w:rPr>
          <w:b/>
          <w:bCs/>
          <w:color w:val="2B529F"/>
        </w:rPr>
        <w:t xml:space="preserve">3. </w:t>
      </w:r>
      <w:r>
        <w:t xml:space="preserve">Consulter le résumé : Lignes, Conformes, Écarts, Non-précomptés, Introuvables.</w:t>
      </w:r>
    </w:p>
    <w:p>
      <w:pPr>
        <w:pStyle w:val="Heading2"/>
        <w:spacing w:after="120" w:before="280"/>
      </w:pPr>
      <w:r>
        <w:t xml:space="preserve">8.4 Statuts d’un précompte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2B529F" w:val="clear"/>
            <w:tcMar>
              <w:top w:type="dxa" w:w="100"/>
              <w:left w:type="dxa" w:w="120"/>
              <w:bottom w:type="dxa" w:w="100"/>
              <w:right w:type="dxa" w:w="120"/>
            </w:tcMar>
            <w:vAlign w:val="center"/>
          </w:tcPr>
          <w:p>
            <w:r>
              <w:rPr>
                <w:b/>
                <w:bCs/>
                <w:color w:val="FFFFFF"/>
                <w:sz w:val="19"/>
                <w:szCs w:val="19"/>
              </w:rPr>
              <w:t xml:space="preserve">Statut</w:t>
            </w:r>
          </w:p>
        </w:tc>
        <w:tc>
          <w:tcPr>
            <w:tcW w:type="dxa" w:w="6900"/>
            <w:shd w:fill="2B529F" w:val="clear"/>
            <w:tcMar>
              <w:top w:type="dxa" w:w="100"/>
              <w:left w:type="dxa" w:w="120"/>
              <w:bottom w:type="dxa" w:w="100"/>
              <w:right w:type="dxa" w:w="120"/>
            </w:tcMar>
            <w:vAlign w:val="center"/>
          </w:tcPr>
          <w:p>
            <w:r>
              <w:rPr>
                <w:b/>
                <w:bCs/>
                <w:color w:val="FFFFFF"/>
                <w:sz w:val="19"/>
                <w:szCs w:val="19"/>
              </w:rPr>
              <w:t xml:space="preserve">Signification</w:t>
            </w:r>
          </w:p>
        </w:tc>
      </w:tr>
      <w:tr>
        <w:tc>
          <w:tcPr>
            <w:tcW w:type="dxa" w:w="2400"/>
            <w:tcMar>
              <w:top w:type="dxa" w:w="100"/>
              <w:left w:type="dxa" w:w="120"/>
              <w:bottom w:type="dxa" w:w="100"/>
              <w:right w:type="dxa" w:w="120"/>
            </w:tcMar>
            <w:vAlign w:val="center"/>
          </w:tcPr>
          <w:p>
            <w:r>
              <w:rPr>
                <w:b w:val="false"/>
                <w:bCs w:val="false"/>
                <w:sz w:val="19"/>
                <w:szCs w:val="19"/>
              </w:rPr>
              <w:t xml:space="preserve">GENERE</w:t>
            </w:r>
          </w:p>
        </w:tc>
        <w:tc>
          <w:tcPr>
            <w:tcW w:type="dxa" w:w="6900"/>
            <w:tcMar>
              <w:top w:type="dxa" w:w="100"/>
              <w:left w:type="dxa" w:w="120"/>
              <w:bottom w:type="dxa" w:w="100"/>
              <w:right w:type="dxa" w:w="120"/>
            </w:tcMar>
            <w:vAlign w:val="center"/>
          </w:tcPr>
          <w:p>
            <w:r>
              <w:rPr>
                <w:b w:val="false"/>
                <w:bCs w:val="false"/>
                <w:sz w:val="19"/>
                <w:szCs w:val="19"/>
              </w:rPr>
              <w:t xml:space="preserve">Précompte généré, en attente du retour DGI.</w:t>
            </w:r>
          </w:p>
        </w:tc>
      </w:tr>
      <w:tr>
        <w:tc>
          <w:tcPr>
            <w:tcW w:type="dxa" w:w="2400"/>
            <w:shd w:fill="F2F5FA" w:val="clear"/>
            <w:tcMar>
              <w:top w:type="dxa" w:w="100"/>
              <w:left w:type="dxa" w:w="120"/>
              <w:bottom w:type="dxa" w:w="100"/>
              <w:right w:type="dxa" w:w="120"/>
            </w:tcMar>
            <w:vAlign w:val="center"/>
          </w:tcPr>
          <w:p>
            <w:r>
              <w:rPr>
                <w:b w:val="false"/>
                <w:bCs w:val="false"/>
                <w:sz w:val="19"/>
                <w:szCs w:val="19"/>
              </w:rPr>
              <w:t xml:space="preserve">INITIE</w:t>
            </w:r>
          </w:p>
        </w:tc>
        <w:tc>
          <w:tcPr>
            <w:tcW w:type="dxa" w:w="6900"/>
            <w:shd w:fill="F2F5FA" w:val="clear"/>
            <w:tcMar>
              <w:top w:type="dxa" w:w="100"/>
              <w:left w:type="dxa" w:w="120"/>
              <w:bottom w:type="dxa" w:w="100"/>
              <w:right w:type="dxa" w:w="120"/>
            </w:tcMar>
            <w:vAlign w:val="center"/>
          </w:tcPr>
          <w:p>
            <w:r>
              <w:rPr>
                <w:b w:val="false"/>
                <w:bCs w:val="false"/>
                <w:sz w:val="19"/>
                <w:szCs w:val="19"/>
              </w:rPr>
              <w:t xml:space="preserve">Ligne initiée, pas encore de retour.</w:t>
            </w:r>
          </w:p>
        </w:tc>
      </w:tr>
      <w:tr>
        <w:tc>
          <w:tcPr>
            <w:tcW w:type="dxa" w:w="2400"/>
            <w:tcMar>
              <w:top w:type="dxa" w:w="100"/>
              <w:left w:type="dxa" w:w="120"/>
              <w:bottom w:type="dxa" w:w="100"/>
              <w:right w:type="dxa" w:w="120"/>
            </w:tcMar>
            <w:vAlign w:val="center"/>
          </w:tcPr>
          <w:p>
            <w:r>
              <w:rPr>
                <w:b w:val="false"/>
                <w:bCs w:val="false"/>
                <w:sz w:val="19"/>
                <w:szCs w:val="19"/>
              </w:rPr>
              <w:t xml:space="preserve">ENCAISSE</w:t>
            </w:r>
          </w:p>
        </w:tc>
        <w:tc>
          <w:tcPr>
            <w:tcW w:type="dxa" w:w="6900"/>
            <w:tcMar>
              <w:top w:type="dxa" w:w="100"/>
              <w:left w:type="dxa" w:w="120"/>
              <w:bottom w:type="dxa" w:w="100"/>
              <w:right w:type="dxa" w:w="120"/>
            </w:tcMar>
            <w:vAlign w:val="center"/>
          </w:tcPr>
          <w:p>
            <w:r>
              <w:rPr>
                <w:b w:val="false"/>
                <w:bCs w:val="false"/>
                <w:sz w:val="19"/>
                <w:szCs w:val="19"/>
              </w:rPr>
              <w:t xml:space="preserve">Montant conforme reçu et rapproché.</w:t>
            </w:r>
          </w:p>
        </w:tc>
      </w:tr>
      <w:tr>
        <w:tc>
          <w:tcPr>
            <w:tcW w:type="dxa" w:w="2400"/>
            <w:shd w:fill="F2F5FA" w:val="clear"/>
            <w:tcMar>
              <w:top w:type="dxa" w:w="100"/>
              <w:left w:type="dxa" w:w="120"/>
              <w:bottom w:type="dxa" w:w="100"/>
              <w:right w:type="dxa" w:w="120"/>
            </w:tcMar>
            <w:vAlign w:val="center"/>
          </w:tcPr>
          <w:p>
            <w:r>
              <w:rPr>
                <w:b w:val="false"/>
                <w:bCs w:val="false"/>
                <w:sz w:val="19"/>
                <w:szCs w:val="19"/>
              </w:rPr>
              <w:t xml:space="preserve">PARTIEL</w:t>
            </w:r>
          </w:p>
        </w:tc>
        <w:tc>
          <w:tcPr>
            <w:tcW w:type="dxa" w:w="6900"/>
            <w:shd w:fill="F2F5FA" w:val="clear"/>
            <w:tcMar>
              <w:top w:type="dxa" w:w="100"/>
              <w:left w:type="dxa" w:w="120"/>
              <w:bottom w:type="dxa" w:w="100"/>
              <w:right w:type="dxa" w:w="120"/>
            </w:tcMar>
            <w:vAlign w:val="center"/>
          </w:tcPr>
          <w:p>
            <w:r>
              <w:rPr>
                <w:b w:val="false"/>
                <w:bCs w:val="false"/>
                <w:sz w:val="19"/>
                <w:szCs w:val="19"/>
              </w:rPr>
              <w:t xml:space="preserve">Montant reçu inférieur au montant attendu.</w:t>
            </w:r>
          </w:p>
        </w:tc>
      </w:tr>
      <w:tr>
        <w:tc>
          <w:tcPr>
            <w:tcW w:type="dxa" w:w="2400"/>
            <w:tcMar>
              <w:top w:type="dxa" w:w="100"/>
              <w:left w:type="dxa" w:w="120"/>
              <w:bottom w:type="dxa" w:w="100"/>
              <w:right w:type="dxa" w:w="120"/>
            </w:tcMar>
            <w:vAlign w:val="center"/>
          </w:tcPr>
          <w:p>
            <w:r>
              <w:rPr>
                <w:b w:val="false"/>
                <w:bCs w:val="false"/>
                <w:sz w:val="19"/>
                <w:szCs w:val="19"/>
              </w:rPr>
              <w:t xml:space="preserve">REJETE</w:t>
            </w:r>
          </w:p>
        </w:tc>
        <w:tc>
          <w:tcPr>
            <w:tcW w:type="dxa" w:w="6900"/>
            <w:tcMar>
              <w:top w:type="dxa" w:w="100"/>
              <w:left w:type="dxa" w:w="120"/>
              <w:bottom w:type="dxa" w:w="100"/>
              <w:right w:type="dxa" w:w="120"/>
            </w:tcMar>
            <w:vAlign w:val="center"/>
          </w:tcPr>
          <w:p>
            <w:r>
              <w:rPr>
                <w:b w:val="false"/>
                <w:bCs w:val="false"/>
                <w:sz w:val="19"/>
                <w:szCs w:val="19"/>
              </w:rPr>
              <w:t xml:space="preserve">Ligne rejetée par la DGI.</w:t>
            </w:r>
          </w:p>
        </w:tc>
      </w:tr>
      <w:tr>
        <w:tc>
          <w:tcPr>
            <w:tcW w:type="dxa" w:w="2400"/>
            <w:shd w:fill="F2F5FA" w:val="clear"/>
            <w:tcMar>
              <w:top w:type="dxa" w:w="100"/>
              <w:left w:type="dxa" w:w="120"/>
              <w:bottom w:type="dxa" w:w="100"/>
              <w:right w:type="dxa" w:w="120"/>
            </w:tcMar>
            <w:vAlign w:val="center"/>
          </w:tcPr>
          <w:p>
            <w:r>
              <w:rPr>
                <w:b w:val="false"/>
                <w:bCs w:val="false"/>
                <w:sz w:val="19"/>
                <w:szCs w:val="19"/>
              </w:rPr>
              <w:t xml:space="preserve">ECART</w:t>
            </w:r>
          </w:p>
        </w:tc>
        <w:tc>
          <w:tcPr>
            <w:tcW w:type="dxa" w:w="6900"/>
            <w:shd w:fill="F2F5FA" w:val="clear"/>
            <w:tcMar>
              <w:top w:type="dxa" w:w="100"/>
              <w:left w:type="dxa" w:w="120"/>
              <w:bottom w:type="dxa" w:w="100"/>
              <w:right w:type="dxa" w:w="120"/>
            </w:tcMar>
            <w:vAlign w:val="center"/>
          </w:tcPr>
          <w:p>
            <w:r>
              <w:rPr>
                <w:b w:val="false"/>
                <w:bCs w:val="false"/>
                <w:sz w:val="19"/>
                <w:szCs w:val="19"/>
              </w:rPr>
              <w:t xml:space="preserve">Montant reçu différent du montant attendu.</w:t>
            </w:r>
          </w:p>
        </w:tc>
      </w:tr>
      <w:tr>
        <w:tc>
          <w:tcPr>
            <w:tcW w:type="dxa" w:w="2400"/>
            <w:tcMar>
              <w:top w:type="dxa" w:w="100"/>
              <w:left w:type="dxa" w:w="120"/>
              <w:bottom w:type="dxa" w:w="100"/>
              <w:right w:type="dxa" w:w="120"/>
            </w:tcMar>
            <w:vAlign w:val="center"/>
          </w:tcPr>
          <w:p>
            <w:r>
              <w:rPr>
                <w:b w:val="false"/>
                <w:bCs w:val="false"/>
                <w:sz w:val="19"/>
                <w:szCs w:val="19"/>
              </w:rPr>
              <w:t xml:space="preserve">NON_PRECOMPTE</w:t>
            </w:r>
          </w:p>
        </w:tc>
        <w:tc>
          <w:tcPr>
            <w:tcW w:type="dxa" w:w="6900"/>
            <w:tcMar>
              <w:top w:type="dxa" w:w="100"/>
              <w:left w:type="dxa" w:w="120"/>
              <w:bottom w:type="dxa" w:w="100"/>
              <w:right w:type="dxa" w:w="120"/>
            </w:tcMar>
            <w:vAlign w:val="center"/>
          </w:tcPr>
          <w:p>
            <w:r>
              <w:rPr>
                <w:b w:val="false"/>
                <w:bCs w:val="false"/>
                <w:sz w:val="19"/>
                <w:szCs w:val="19"/>
              </w:rPr>
              <w:t xml:space="preserve">Aucun précompte n'a été effectué sur cette ligne.</w:t>
            </w:r>
          </w:p>
        </w:tc>
      </w:tr>
      <w:tr>
        <w:tc>
          <w:tcPr>
            <w:tcW w:type="dxa" w:w="2400"/>
            <w:shd w:fill="F2F5FA" w:val="clear"/>
            <w:tcMar>
              <w:top w:type="dxa" w:w="100"/>
              <w:left w:type="dxa" w:w="120"/>
              <w:bottom w:type="dxa" w:w="100"/>
              <w:right w:type="dxa" w:w="120"/>
            </w:tcMar>
            <w:vAlign w:val="center"/>
          </w:tcPr>
          <w:p>
            <w:r>
              <w:rPr>
                <w:b w:val="false"/>
                <w:bCs w:val="false"/>
                <w:sz w:val="19"/>
                <w:szCs w:val="19"/>
              </w:rPr>
              <w:t xml:space="preserve">REPORTE</w:t>
            </w:r>
          </w:p>
        </w:tc>
        <w:tc>
          <w:tcPr>
            <w:tcW w:type="dxa" w:w="6900"/>
            <w:shd w:fill="F2F5FA" w:val="clear"/>
            <w:tcMar>
              <w:top w:type="dxa" w:w="100"/>
              <w:left w:type="dxa" w:w="120"/>
              <w:bottom w:type="dxa" w:w="100"/>
              <w:right w:type="dxa" w:w="120"/>
            </w:tcMar>
            <w:vAlign w:val="center"/>
          </w:tcPr>
          <w:p>
            <w:r>
              <w:rPr>
                <w:b w:val="false"/>
                <w:bCs w:val="false"/>
                <w:sz w:val="19"/>
                <w:szCs w:val="19"/>
              </w:rPr>
              <w:t xml:space="preserve">Régularisation reportée à une période ultérieure.</w:t>
            </w:r>
          </w:p>
        </w:tc>
      </w:tr>
      <w:tr>
        <w:tc>
          <w:tcPr>
            <w:tcW w:type="dxa" w:w="2400"/>
            <w:tcMar>
              <w:top w:type="dxa" w:w="100"/>
              <w:left w:type="dxa" w:w="120"/>
              <w:bottom w:type="dxa" w:w="100"/>
              <w:right w:type="dxa" w:w="120"/>
            </w:tcMar>
            <w:vAlign w:val="center"/>
          </w:tcPr>
          <w:p>
            <w:r>
              <w:rPr>
                <w:b w:val="false"/>
                <w:bCs w:val="false"/>
                <w:sz w:val="19"/>
                <w:szCs w:val="19"/>
              </w:rPr>
              <w:t xml:space="preserve">REGULARISE</w:t>
            </w:r>
          </w:p>
        </w:tc>
        <w:tc>
          <w:tcPr>
            <w:tcW w:type="dxa" w:w="6900"/>
            <w:tcMar>
              <w:top w:type="dxa" w:w="100"/>
              <w:left w:type="dxa" w:w="120"/>
              <w:bottom w:type="dxa" w:w="100"/>
              <w:right w:type="dxa" w:w="120"/>
            </w:tcMar>
            <w:vAlign w:val="center"/>
          </w:tcPr>
          <w:p>
            <w:r>
              <w:rPr>
                <w:b w:val="false"/>
                <w:bCs w:val="false"/>
                <w:sz w:val="19"/>
                <w:szCs w:val="19"/>
              </w:rPr>
              <w:t xml:space="preserve">Ligne traitée via une cotisation spontanée de régularisation.</w:t>
            </w:r>
          </w:p>
        </w:tc>
      </w:tr>
    </w:tbl>
    <w:p>
      <w:pPr>
        <w:spacing w:after="160"/>
      </w:pPr>
    </w:p>
    <w:p>
      <w:pPr>
        <w:pStyle w:val="Heading2"/>
        <w:spacing w:after="120" w:before="280"/>
      </w:pPr>
      <w:r>
        <w:t xml:space="preserve">8.5 Régulariser une ligne non précomptée</w:t>
      </w:r>
    </w:p>
    <w:p>
      <w:pPr>
        <w:spacing w:after="120"/>
      </w:pPr>
      <w:r>
        <w:t xml:space="preserve">Un bouton « Régulariser » apparaît sur les lignes au statut NON_PRECOMPTE. Il ouvre la fenêtre « Régularisation de non précompte | Cotisation spontanée » : Adhérent et Cotisation trimestrielle sont en lecture seule ; renseigner Montant versé, Mode Versement, Date, puis « Valider ».</w:t>
      </w:r>
    </w:p>
    <w:tbl>
      <w:tblPr>
        <w:tblW w:type="dxa" w:w="9350"/>
        <w:tblBorders>
          <w:top w:val="single" w:color="F59E0B" w:sz="4"/>
          <w:left w:val="single" w:color="F59E0B" w:sz="4"/>
          <w:bottom w:val="single" w:color="F59E0B" w:sz="4"/>
          <w:right w:val="single" w:color="F59E0B" w:sz="4"/>
          <w:insideH w:val="single" w:color="auto" w:sz="4"/>
          <w:insideV w:val="single" w:color="auto" w:sz="4"/>
        </w:tblBorders>
      </w:tblPr>
      <w:tblGrid>
        <w:gridCol w:w="9350"/>
      </w:tblGrid>
      <w:tr>
        <w:tc>
          <w:tcPr>
            <w:tcW w:type="dxa" w:w="9350"/>
            <w:shd w:fill="FEF3C7" w:val="clear"/>
            <w:tcMar>
              <w:top w:type="dxa" w:w="160"/>
              <w:left w:type="dxa" w:w="200"/>
              <w:bottom w:type="dxa" w:w="160"/>
              <w:right w:type="dxa" w:w="200"/>
            </w:tcMar>
          </w:tcPr>
          <w:p>
            <w:r>
              <w:rPr>
                <w:color w:val="B45309"/>
              </w:rPr>
              <w:t xml:space="preserve">⚠ Le bouton « Export au format XLS / Trésor public » n'est pas encore actif dans cette version : il affiche un message d'information plutôt que de produire un fichier.</w:t>
            </w:r>
          </w:p>
        </w:tc>
      </w:tr>
    </w:tbl>
    <w:p>
      <w:r>
        <w:br w:type="page"/>
      </w:r>
    </w:p>
    <w:p>
      <w:pPr>
        <w:pStyle w:val="Heading1"/>
        <w:spacing w:after="160" w:before="360"/>
      </w:pPr>
      <w:r>
        <w:t xml:space="preserve">9. Régularisation des précomptes</w:t>
      </w:r>
    </w:p>
    <w:tbl>
      <w:tblPr>
        <w:tblW w:type="dxa" w:w="4000"/>
        <w:tblBorders>
          <w:top w:val="single" w:color="CBD5E1" w:sz="4"/>
          <w:left w:val="single" w:color="CBD5E1" w:sz="4"/>
          <w:bottom w:val="single" w:color="CBD5E1" w:sz="4"/>
          <w:right w:val="single" w:color="CBD5E1" w:sz="4"/>
          <w:insideH w:val="single" w:color="auto" w:sz="4"/>
          <w:insideV w:val="single" w:color="auto" w:sz="4"/>
        </w:tblBorders>
      </w:tblPr>
      <w:tblGrid>
        <w:gridCol w:w="4000"/>
      </w:tblGrid>
      <w:tr>
        <w:tc>
          <w:tcPr>
            <w:tcW w:type="dxa" w:w="4000"/>
            <w:shd w:fill="EFF4FB" w:val="clear"/>
            <w:tcMar>
              <w:top w:type="dxa" w:w="80"/>
              <w:left w:type="dxa" w:w="160"/>
              <w:bottom w:type="dxa" w:w="80"/>
              <w:right w:type="dxa" w:w="160"/>
            </w:tcMar>
          </w:tcPr>
          <w:p>
            <w:r>
              <w:rPr>
                <w:b/>
                <w:bCs/>
                <w:color w:val="1F3B73"/>
                <w:sz w:val="19"/>
                <w:szCs w:val="19"/>
              </w:rPr>
              <w:t xml:space="preserve">Accès : Gestionnaire, Administrateur</w:t>
            </w:r>
          </w:p>
        </w:tc>
      </w:tr>
    </w:tbl>
    <w:p>
      <w:pPr>
        <w:spacing w:after="160"/>
      </w:pPr>
    </w:p>
    <w:p>
      <w:pPr>
        <w:spacing w:after="120"/>
      </w:pPr>
      <w:r>
        <w:t xml:space="preserve">Cet écran dédié regroupe, pour un trimestre ouvert donné, toutes les lignes NON_PRECOMPTE ou ECART à traiter.</w:t>
      </w:r>
    </w:p>
    <w:p>
      <w:pPr>
        <w:spacing w:after="90"/>
        <w:ind w:left="200"/>
      </w:pPr>
      <w:r>
        <w:rPr>
          <w:b/>
          <w:bCs/>
          <w:color w:val="2B529F"/>
        </w:rPr>
        <w:t xml:space="preserve">1. </w:t>
      </w:r>
      <w:r>
        <w:t xml:space="preserve">Choisir le « Trimestre » (seules les périodes OUVERTE sont proposées).</w:t>
      </w:r>
    </w:p>
    <w:p>
      <w:pPr>
        <w:spacing w:after="90"/>
        <w:ind w:left="200"/>
      </w:pPr>
      <w:r>
        <w:rPr>
          <w:b/>
          <w:bCs/>
          <w:color w:val="2B529F"/>
        </w:rPr>
        <w:t xml:space="preserve">2. </w:t>
      </w:r>
      <w:r>
        <w:t xml:space="preserve">Pour chaque ligne, choisir « Payer maintenant » (ouvre la même fenêtre de régularisation qu'au chapitre 8.5) ou « Reporter » (demande confirmation : « Reporter la régularisation de {matricule} — {nom prenoms} ? »).</w:t>
      </w:r>
    </w:p>
    <w:tbl>
      <w:tblPr>
        <w:tblW w:type="dxa" w:w="9350"/>
        <w:tblBorders>
          <w:top w:val="single" w:color="F59E0B" w:sz="4"/>
          <w:left w:val="single" w:color="F59E0B" w:sz="4"/>
          <w:bottom w:val="single" w:color="F59E0B" w:sz="4"/>
          <w:right w:val="single" w:color="F59E0B" w:sz="4"/>
          <w:insideH w:val="single" w:color="auto" w:sz="4"/>
          <w:insideV w:val="single" w:color="auto" w:sz="4"/>
        </w:tblBorders>
      </w:tblPr>
      <w:tblGrid>
        <w:gridCol w:w="9350"/>
      </w:tblGrid>
      <w:tr>
        <w:tc>
          <w:tcPr>
            <w:tcW w:type="dxa" w:w="9350"/>
            <w:shd w:fill="FEF3C7" w:val="clear"/>
            <w:tcMar>
              <w:top w:type="dxa" w:w="160"/>
              <w:left w:type="dxa" w:w="200"/>
              <w:bottom w:type="dxa" w:w="160"/>
              <w:right w:type="dxa" w:w="200"/>
            </w:tcMar>
          </w:tcPr>
          <w:p>
            <w:r>
              <w:rPr>
                <w:color w:val="B45309"/>
              </w:rPr>
              <w:t xml:space="preserve">⚠ Comme pour la cotisation spontanée, un paiement CHEQUE reste en attente de compensation bancaire avant d'être définitivement crédité.</w:t>
            </w:r>
          </w:p>
        </w:tc>
      </w:tr>
    </w:tbl>
    <w:p>
      <w:r>
        <w:br w:type="page"/>
      </w:r>
    </w:p>
    <w:p>
      <w:pPr>
        <w:pStyle w:val="Heading1"/>
        <w:spacing w:after="160" w:before="360"/>
      </w:pPr>
      <w:r>
        <w:t xml:space="preserve">10. Clôture de période</w:t>
      </w:r>
    </w:p>
    <w:tbl>
      <w:tblPr>
        <w:tblW w:type="dxa" w:w="4000"/>
        <w:tblBorders>
          <w:top w:val="single" w:color="CBD5E1" w:sz="4"/>
          <w:left w:val="single" w:color="CBD5E1" w:sz="4"/>
          <w:bottom w:val="single" w:color="CBD5E1" w:sz="4"/>
          <w:right w:val="single" w:color="CBD5E1" w:sz="4"/>
          <w:insideH w:val="single" w:color="auto" w:sz="4"/>
          <w:insideV w:val="single" w:color="auto" w:sz="4"/>
        </w:tblBorders>
      </w:tblPr>
      <w:tblGrid>
        <w:gridCol w:w="4000"/>
      </w:tblGrid>
      <w:tr>
        <w:tc>
          <w:tcPr>
            <w:tcW w:type="dxa" w:w="4000"/>
            <w:shd w:fill="EFF4FB" w:val="clear"/>
            <w:tcMar>
              <w:top w:type="dxa" w:w="80"/>
              <w:left w:type="dxa" w:w="160"/>
              <w:bottom w:type="dxa" w:w="80"/>
              <w:right w:type="dxa" w:w="160"/>
            </w:tcMar>
          </w:tcPr>
          <w:p>
            <w:r>
              <w:rPr>
                <w:b/>
                <w:bCs/>
                <w:color w:val="1F3B73"/>
                <w:sz w:val="19"/>
                <w:szCs w:val="19"/>
              </w:rPr>
              <w:t xml:space="preserve">Accès : Consultation : Gestionnaire, Administrateur — Clôture définitive : Administrateur, Superadministrateur uniquement</w:t>
            </w:r>
          </w:p>
        </w:tc>
      </w:tr>
    </w:tbl>
    <w:p>
      <w:pPr>
        <w:spacing w:after="160"/>
      </w:pPr>
    </w:p>
    <w:p>
      <w:pPr>
        <w:spacing w:after="120"/>
      </w:pPr>
      <w:r>
        <w:t xml:space="preserve">Cet écran contrôle qu’une période trimestrielle peut être clôturée avant d’en ouvrir une nouvelle.</w:t>
      </w:r>
    </w:p>
    <w:p>
      <w:pPr>
        <w:pStyle w:val="Heading2"/>
        <w:spacing w:after="120" w:before="280"/>
      </w:pPr>
      <w:r>
        <w:t xml:space="preserve">10.1 Synthèse et contrôles</w:t>
      </w:r>
    </w:p>
    <w:p>
      <w:pPr>
        <w:spacing w:after="120"/>
      </w:pPr>
      <w:r>
        <w:t xml:space="preserve">Cinq indicateurs sont affichés : Adhérents concernés, Précomptes attendus, Précomptes encaissés, Précomptes régularisés, Paiements spontanés.</w:t>
      </w:r>
    </w:p>
    <w:p>
      <w:pPr>
        <w:spacing w:after="120"/>
      </w:pPr>
      <w:r>
        <w:t xml:space="preserve">La checklist « Contrôles avant clôture » vérifie trois points, chacun marqué d’une coche verte ou d’une croix rouge :</w:t>
      </w:r>
    </w:p>
    <w:p>
      <w:pPr>
        <w:pStyle w:val="ListParagraph"/>
        <w:numPr>
          <w:ilvl w:val="0"/>
          <w:numId w:val="1"/>
        </w:numPr>
        <w:spacing w:after="80"/>
      </w:pPr>
      <w:r>
        <w:t xml:space="preserve">Toutes les cotisations prévues ont été encaissées.</w:t>
      </w:r>
    </w:p>
    <w:p>
      <w:pPr>
        <w:pStyle w:val="ListParagraph"/>
        <w:numPr>
          <w:ilvl w:val="0"/>
          <w:numId w:val="1"/>
        </w:numPr>
        <w:spacing w:after="80"/>
      </w:pPr>
      <w:r>
        <w:t xml:space="preserve">Toutes les cotisations encaissées ont une date de valeur.</w:t>
      </w:r>
    </w:p>
    <w:p>
      <w:pPr>
        <w:pStyle w:val="ListParagraph"/>
        <w:numPr>
          <w:ilvl w:val="0"/>
          <w:numId w:val="1"/>
        </w:numPr>
        <w:spacing w:after="80"/>
      </w:pPr>
      <w:r>
        <w:t xml:space="preserve">Tous les précomptes ont été effectués.</w:t>
      </w:r>
    </w:p>
    <w:p>
      <w:pPr>
        <w:pStyle w:val="Heading2"/>
        <w:spacing w:after="120" w:before="280"/>
      </w:pPr>
      <w:r>
        <w:t xml:space="preserve">10.2 Clôturer la période</w:t>
      </w:r>
    </w:p>
    <w:p>
      <w:pPr>
        <w:spacing w:after="90"/>
        <w:ind w:left="200"/>
      </w:pPr>
      <w:r>
        <w:rPr>
          <w:b/>
          <w:bCs/>
          <w:color w:val="2B529F"/>
        </w:rPr>
        <w:t xml:space="preserve">1. </w:t>
      </w:r>
      <w:r>
        <w:t xml:space="preserve">Vérifier qu'aucune alerte bloquante n'apparaît dans le panneau « Alertes » (sinon la mention « Aucun blocage détecté » s'affiche).</w:t>
      </w:r>
    </w:p>
    <w:p>
      <w:pPr>
        <w:spacing w:after="90"/>
        <w:ind w:left="200"/>
      </w:pPr>
      <w:r>
        <w:rPr>
          <w:b/>
          <w:bCs/>
          <w:color w:val="2B529F"/>
        </w:rPr>
        <w:t xml:space="preserve">2. </w:t>
      </w:r>
      <w:r>
        <w:t xml:space="preserve">Cliquer sur « Cliquer ici pour clôturer » (bouton actif uniquement si la clôture est autorisée et si l’on est Administrateur ou Superadministrateur).</w:t>
      </w:r>
    </w:p>
    <w:p>
      <w:pPr>
        <w:spacing w:after="90"/>
        <w:ind w:left="200"/>
      </w:pPr>
      <w:r>
        <w:rPr>
          <w:b/>
          <w:bCs/>
          <w:color w:val="2B529F"/>
        </w:rPr>
        <w:t xml:space="preserve">3. </w:t>
      </w:r>
      <w:r>
        <w:t xml:space="preserve">Confirmer via la boîte de dialogue « Confirmer la clôture définitive de la période ESR {periode} ? ».</w:t>
      </w:r>
    </w:p>
    <w:tbl>
      <w:tblPr>
        <w:tblW w:type="dxa" w:w="9350"/>
        <w:tblBorders>
          <w:top w:val="single" w:color="F59E0B" w:sz="4"/>
          <w:left w:val="single" w:color="F59E0B" w:sz="4"/>
          <w:bottom w:val="single" w:color="F59E0B" w:sz="4"/>
          <w:right w:val="single" w:color="F59E0B" w:sz="4"/>
          <w:insideH w:val="single" w:color="auto" w:sz="4"/>
          <w:insideV w:val="single" w:color="auto" w:sz="4"/>
        </w:tblBorders>
      </w:tblPr>
      <w:tblGrid>
        <w:gridCol w:w="9350"/>
      </w:tblGrid>
      <w:tr>
        <w:tc>
          <w:tcPr>
            <w:tcW w:type="dxa" w:w="9350"/>
            <w:shd w:fill="FEF3C7" w:val="clear"/>
            <w:tcMar>
              <w:top w:type="dxa" w:w="160"/>
              <w:left w:type="dxa" w:w="200"/>
              <w:bottom w:type="dxa" w:w="160"/>
              <w:right w:type="dxa" w:w="200"/>
            </w:tcMar>
          </w:tcPr>
          <w:p>
            <w:r>
              <w:rPr>
                <w:color w:val="B45309"/>
              </w:rPr>
              <w:t xml:space="preserve">⚠ Pour les profils Gestionnaire, le bouton est désactivé (« Clôture impossible ») avec le message « La clôture définitive est réservée aux administrateurs. »</w:t>
            </w:r>
          </w:p>
        </w:tc>
      </w:tr>
    </w:tbl>
    <w:p>
      <w:r>
        <w:br w:type="page"/>
      </w:r>
    </w:p>
    <w:p>
      <w:pPr>
        <w:pStyle w:val="Heading1"/>
        <w:spacing w:after="160" w:before="360"/>
      </w:pPr>
      <w:r>
        <w:t xml:space="preserve">11. Prestations</w:t>
      </w:r>
    </w:p>
    <w:tbl>
      <w:tblPr>
        <w:tblW w:type="dxa" w:w="4000"/>
        <w:tblBorders>
          <w:top w:val="single" w:color="CBD5E1" w:sz="4"/>
          <w:left w:val="single" w:color="CBD5E1" w:sz="4"/>
          <w:bottom w:val="single" w:color="CBD5E1" w:sz="4"/>
          <w:right w:val="single" w:color="CBD5E1" w:sz="4"/>
          <w:insideH w:val="single" w:color="auto" w:sz="4"/>
          <w:insideV w:val="single" w:color="auto" w:sz="4"/>
        </w:tblBorders>
      </w:tblPr>
      <w:tblGrid>
        <w:gridCol w:w="4000"/>
      </w:tblGrid>
      <w:tr>
        <w:tc>
          <w:tcPr>
            <w:tcW w:type="dxa" w:w="4000"/>
            <w:shd w:fill="EFF4FB" w:val="clear"/>
            <w:tcMar>
              <w:top w:type="dxa" w:w="80"/>
              <w:left w:type="dxa" w:w="160"/>
              <w:bottom w:type="dxa" w:w="80"/>
              <w:right w:type="dxa" w:w="160"/>
            </w:tcMar>
          </w:tcPr>
          <w:p>
            <w:r>
              <w:rPr>
                <w:b/>
                <w:bCs/>
                <w:color w:val="1F3B73"/>
                <w:sz w:val="19"/>
                <w:szCs w:val="19"/>
              </w:rPr>
              <w:t xml:space="preserve">Accès : Gestionnaire, Administrateur</w:t>
            </w:r>
          </w:p>
        </w:tc>
      </w:tr>
    </w:tbl>
    <w:p>
      <w:pPr>
        <w:spacing w:after="160"/>
      </w:pPr>
    </w:p>
    <w:p>
      <w:pPr>
        <w:spacing w:after="120"/>
      </w:pPr>
      <w:r>
        <w:t xml:space="preserve">Ce module gère les dossiers de retraite, décès et invalidité, à travers trois onglets : « Dossiers de Prestations », « Liquidation &amp; Rentes viagères », « Échéances APS ».</w:t>
      </w:r>
    </w:p>
    <w:p>
      <w:pPr>
        <w:pStyle w:val="Heading2"/>
        <w:spacing w:after="120" w:before="280"/>
      </w:pPr>
      <w:r>
        <w:t xml:space="preserve">11.1 Ouvrir un dossier de prestation</w:t>
      </w:r>
    </w:p>
    <w:p>
      <w:pPr>
        <w:spacing w:after="90"/>
        <w:ind w:left="200"/>
      </w:pPr>
      <w:r>
        <w:rPr>
          <w:b/>
          <w:bCs/>
          <w:color w:val="2B529F"/>
        </w:rPr>
        <w:t xml:space="preserve">1. </w:t>
      </w:r>
      <w:r>
        <w:t xml:space="preserve">Onglet « Dossiers de Prestations » puis « Créer un dossier de prestation ».</w:t>
      </w:r>
    </w:p>
    <w:p>
      <w:pPr>
        <w:spacing w:after="90"/>
        <w:ind w:left="200"/>
      </w:pPr>
      <w:r>
        <w:rPr>
          <w:b/>
          <w:bCs/>
          <w:color w:val="2B529F"/>
        </w:rPr>
        <w:t xml:space="preserve">2. </w:t>
      </w:r>
      <w:r>
        <w:t xml:space="preserve">Choisir « Assuré concerné », le « Type événement » (RETRAITE, DECES ou INVALIDITE) et le « Statut dossier initial ».</w:t>
      </w:r>
    </w:p>
    <w:p>
      <w:pPr>
        <w:spacing w:after="90"/>
        <w:ind w:left="200"/>
      </w:pPr>
      <w:r>
        <w:rPr>
          <w:b/>
          <w:bCs/>
          <w:color w:val="2B529F"/>
        </w:rPr>
        <w:t xml:space="preserve">3. </w:t>
      </w:r>
      <w:r>
        <w:t xml:space="preserve">Renseigner la « Date de dépôt ».</w:t>
      </w:r>
    </w:p>
    <w:p>
      <w:pPr>
        <w:spacing w:after="90"/>
        <w:ind w:left="200"/>
      </w:pPr>
      <w:r>
        <w:rPr>
          <w:b/>
          <w:bCs/>
          <w:color w:val="2B529F"/>
        </w:rPr>
        <w:t xml:space="preserve">4. </w:t>
      </w:r>
      <w:r>
        <w:t xml:space="preserve">Cliquer sur « Enregistrer le dossier ».</w:t>
      </w:r>
    </w:p>
    <w:tbl>
      <w:tblPr>
        <w:tblW w:type="dxa" w:w="9350"/>
        <w:tblBorders>
          <w:top w:val="single" w:color="F59E0B" w:sz="4"/>
          <w:left w:val="single" w:color="F59E0B" w:sz="4"/>
          <w:bottom w:val="single" w:color="F59E0B" w:sz="4"/>
          <w:right w:val="single" w:color="F59E0B" w:sz="4"/>
          <w:insideH w:val="single" w:color="auto" w:sz="4"/>
          <w:insideV w:val="single" w:color="auto" w:sz="4"/>
        </w:tblBorders>
      </w:tblPr>
      <w:tblGrid>
        <w:gridCol w:w="9350"/>
      </w:tblGrid>
      <w:tr>
        <w:tc>
          <w:tcPr>
            <w:tcW w:type="dxa" w:w="9350"/>
            <w:shd w:fill="FEF3C7" w:val="clear"/>
            <w:tcMar>
              <w:top w:type="dxa" w:w="160"/>
              <w:left w:type="dxa" w:w="200"/>
              <w:bottom w:type="dxa" w:w="160"/>
              <w:right w:type="dxa" w:w="200"/>
            </w:tcMar>
          </w:tcPr>
          <w:p>
            <w:r>
              <w:rPr>
                <w:color w:val="B45309"/>
              </w:rPr>
              <w:t xml:space="preserve">⚠ Le montant de la prestation n'est jamais saisi manuellement : « Le montant sera calculé automatiquement depuis les cotisations encaissées, le compte ESR et les paramètres applicables à la date de dépôt. »</w:t>
            </w:r>
          </w:p>
        </w:tc>
      </w:tr>
    </w:tbl>
    <w:p>
      <w:pPr>
        <w:pStyle w:val="Heading2"/>
        <w:spacing w:after="120" w:before="280"/>
      </w:pPr>
      <w:r>
        <w:t xml:space="preserve">11.2 Suivre le cycle de vie du dossier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00"/>
      </w:tblGrid>
      <w:tr>
        <w:trPr>
          <w:tblHeader/>
        </w:trPr>
        <w:tc>
          <w:tcPr>
            <w:tcW w:type="dxa" w:w="3000"/>
            <w:shd w:fill="2B529F" w:val="clear"/>
            <w:tcMar>
              <w:top w:type="dxa" w:w="100"/>
              <w:left w:type="dxa" w:w="120"/>
              <w:bottom w:type="dxa" w:w="100"/>
              <w:right w:type="dxa" w:w="120"/>
            </w:tcMar>
            <w:vAlign w:val="center"/>
          </w:tcPr>
          <w:p>
            <w:r>
              <w:rPr>
                <w:b/>
                <w:bCs/>
                <w:color w:val="FFFFFF"/>
                <w:sz w:val="19"/>
                <w:szCs w:val="19"/>
              </w:rPr>
              <w:t xml:space="preserve">Statut courant</w:t>
            </w:r>
          </w:p>
        </w:tc>
        <w:tc>
          <w:tcPr>
            <w:tcW w:type="dxa" w:w="3200"/>
            <w:shd w:fill="2B529F" w:val="clear"/>
            <w:tcMar>
              <w:top w:type="dxa" w:w="100"/>
              <w:left w:type="dxa" w:w="120"/>
              <w:bottom w:type="dxa" w:w="100"/>
              <w:right w:type="dxa" w:w="120"/>
            </w:tcMar>
            <w:vAlign w:val="center"/>
          </w:tcPr>
          <w:p>
            <w:r>
              <w:rPr>
                <w:b/>
                <w:bCs/>
                <w:color w:val="FFFFFF"/>
                <w:sz w:val="19"/>
                <w:szCs w:val="19"/>
              </w:rPr>
              <w:t xml:space="preserve">Bouton affiché</w:t>
            </w:r>
          </w:p>
        </w:tc>
        <w:tc>
          <w:tcPr>
            <w:tcW w:type="dxa" w:w="3100"/>
            <w:shd w:fill="2B529F" w:val="clear"/>
            <w:tcMar>
              <w:top w:type="dxa" w:w="100"/>
              <w:left w:type="dxa" w:w="120"/>
              <w:bottom w:type="dxa" w:w="100"/>
              <w:right w:type="dxa" w:w="120"/>
            </w:tcMar>
            <w:vAlign w:val="center"/>
          </w:tcPr>
          <w:p>
            <w:r>
              <w:rPr>
                <w:b/>
                <w:bCs/>
                <w:color w:val="FFFFFF"/>
                <w:sz w:val="19"/>
                <w:szCs w:val="19"/>
              </w:rPr>
              <w:t xml:space="preserve">Effet du clic</w:t>
            </w:r>
          </w:p>
        </w:tc>
      </w:tr>
      <w:tr>
        <w:tc>
          <w:tcPr>
            <w:tcW w:type="dxa" w:w="3000"/>
            <w:tcMar>
              <w:top w:type="dxa" w:w="100"/>
              <w:left w:type="dxa" w:w="120"/>
              <w:bottom w:type="dxa" w:w="100"/>
              <w:right w:type="dxa" w:w="120"/>
            </w:tcMar>
            <w:vAlign w:val="center"/>
          </w:tcPr>
          <w:p>
            <w:r>
              <w:rPr>
                <w:b w:val="false"/>
                <w:bCs w:val="false"/>
                <w:sz w:val="19"/>
                <w:szCs w:val="19"/>
              </w:rPr>
              <w:t xml:space="preserve">DOSSIER_OUVERT</w:t>
            </w:r>
          </w:p>
        </w:tc>
        <w:tc>
          <w:tcPr>
            <w:tcW w:type="dxa" w:w="3200"/>
            <w:tcMar>
              <w:top w:type="dxa" w:w="100"/>
              <w:left w:type="dxa" w:w="120"/>
              <w:bottom w:type="dxa" w:w="100"/>
              <w:right w:type="dxa" w:w="120"/>
            </w:tcMar>
            <w:vAlign w:val="center"/>
          </w:tcPr>
          <w:p>
            <w:r>
              <w:rPr>
                <w:b w:val="false"/>
                <w:bCs w:val="false"/>
                <w:sz w:val="19"/>
                <w:szCs w:val="19"/>
              </w:rPr>
              <w:t xml:space="preserve">Mettre en contrôle</w:t>
            </w:r>
          </w:p>
        </w:tc>
        <w:tc>
          <w:tcPr>
            <w:tcW w:type="dxa" w:w="3100"/>
            <w:tcMar>
              <w:top w:type="dxa" w:w="100"/>
              <w:left w:type="dxa" w:w="120"/>
              <w:bottom w:type="dxa" w:w="100"/>
              <w:right w:type="dxa" w:w="120"/>
            </w:tcMar>
            <w:vAlign w:val="center"/>
          </w:tcPr>
          <w:p>
            <w:r>
              <w:rPr>
                <w:b w:val="false"/>
                <w:bCs w:val="false"/>
                <w:sz w:val="19"/>
                <w:szCs w:val="19"/>
              </w:rPr>
              <w:t xml:space="preserve">Passe le dossier au statut EN_CONTROLE.</w:t>
            </w:r>
          </w:p>
        </w:tc>
      </w:tr>
      <w:tr>
        <w:tc>
          <w:tcPr>
            <w:tcW w:type="dxa" w:w="3000"/>
            <w:shd w:fill="F2F5FA" w:val="clear"/>
            <w:tcMar>
              <w:top w:type="dxa" w:w="100"/>
              <w:left w:type="dxa" w:w="120"/>
              <w:bottom w:type="dxa" w:w="100"/>
              <w:right w:type="dxa" w:w="120"/>
            </w:tcMar>
            <w:vAlign w:val="center"/>
          </w:tcPr>
          <w:p>
            <w:r>
              <w:rPr>
                <w:b w:val="false"/>
                <w:bCs w:val="false"/>
                <w:sz w:val="19"/>
                <w:szCs w:val="19"/>
              </w:rPr>
              <w:t xml:space="preserve">EN_CONTROLE</w:t>
            </w:r>
          </w:p>
        </w:tc>
        <w:tc>
          <w:tcPr>
            <w:tcW w:type="dxa" w:w="3200"/>
            <w:shd w:fill="F2F5FA" w:val="clear"/>
            <w:tcMar>
              <w:top w:type="dxa" w:w="100"/>
              <w:left w:type="dxa" w:w="120"/>
              <w:bottom w:type="dxa" w:w="100"/>
              <w:right w:type="dxa" w:w="120"/>
            </w:tcMar>
            <w:vAlign w:val="center"/>
          </w:tcPr>
          <w:p>
            <w:r>
              <w:rPr>
                <w:b w:val="false"/>
                <w:bCs w:val="false"/>
                <w:sz w:val="19"/>
                <w:szCs w:val="19"/>
              </w:rPr>
              <w:t xml:space="preserve">Valider</w:t>
            </w:r>
          </w:p>
        </w:tc>
        <w:tc>
          <w:tcPr>
            <w:tcW w:type="dxa" w:w="3100"/>
            <w:shd w:fill="F2F5FA" w:val="clear"/>
            <w:tcMar>
              <w:top w:type="dxa" w:w="100"/>
              <w:left w:type="dxa" w:w="120"/>
              <w:bottom w:type="dxa" w:w="100"/>
              <w:right w:type="dxa" w:w="120"/>
            </w:tcMar>
            <w:vAlign w:val="center"/>
          </w:tcPr>
          <w:p>
            <w:r>
              <w:rPr>
                <w:b w:val="false"/>
                <w:bCs w:val="false"/>
                <w:sz w:val="19"/>
                <w:szCs w:val="19"/>
              </w:rPr>
              <w:t xml:space="preserve">Passe le dossier au statut VALIDE.</w:t>
            </w:r>
          </w:p>
        </w:tc>
      </w:tr>
      <w:tr>
        <w:tc>
          <w:tcPr>
            <w:tcW w:type="dxa" w:w="3000"/>
            <w:tcMar>
              <w:top w:type="dxa" w:w="100"/>
              <w:left w:type="dxa" w:w="120"/>
              <w:bottom w:type="dxa" w:w="100"/>
              <w:right w:type="dxa" w:w="120"/>
            </w:tcMar>
            <w:vAlign w:val="center"/>
          </w:tcPr>
          <w:p>
            <w:r>
              <w:rPr>
                <w:b w:val="false"/>
                <w:bCs w:val="false"/>
                <w:sz w:val="19"/>
                <w:szCs w:val="19"/>
              </w:rPr>
              <w:t xml:space="preserve">VALIDE</w:t>
            </w:r>
          </w:p>
        </w:tc>
        <w:tc>
          <w:tcPr>
            <w:tcW w:type="dxa" w:w="3200"/>
            <w:tcMar>
              <w:top w:type="dxa" w:w="100"/>
              <w:left w:type="dxa" w:w="120"/>
              <w:bottom w:type="dxa" w:w="100"/>
              <w:right w:type="dxa" w:w="120"/>
            </w:tcMar>
            <w:vAlign w:val="center"/>
          </w:tcPr>
          <w:p>
            <w:r>
              <w:rPr>
                <w:b w:val="false"/>
                <w:bCs w:val="false"/>
                <w:sz w:val="19"/>
                <w:szCs w:val="19"/>
              </w:rPr>
              <w:t xml:space="preserve">Marquer payé</w:t>
            </w:r>
          </w:p>
        </w:tc>
        <w:tc>
          <w:tcPr>
            <w:tcW w:type="dxa" w:w="3100"/>
            <w:tcMar>
              <w:top w:type="dxa" w:w="100"/>
              <w:left w:type="dxa" w:w="120"/>
              <w:bottom w:type="dxa" w:w="100"/>
              <w:right w:type="dxa" w:w="120"/>
            </w:tcMar>
            <w:vAlign w:val="center"/>
          </w:tcPr>
          <w:p>
            <w:r>
              <w:rPr>
                <w:b w:val="false"/>
                <w:bCs w:val="false"/>
                <w:sz w:val="19"/>
                <w:szCs w:val="19"/>
              </w:rPr>
              <w:t xml:space="preserve">Passe le dossier au statut PAYE.</w:t>
            </w:r>
          </w:p>
        </w:tc>
      </w:tr>
      <w:tr>
        <w:tc>
          <w:tcPr>
            <w:tcW w:type="dxa" w:w="3000"/>
            <w:shd w:fill="F2F5FA" w:val="clear"/>
            <w:tcMar>
              <w:top w:type="dxa" w:w="100"/>
              <w:left w:type="dxa" w:w="120"/>
              <w:bottom w:type="dxa" w:w="100"/>
              <w:right w:type="dxa" w:w="120"/>
            </w:tcMar>
            <w:vAlign w:val="center"/>
          </w:tcPr>
          <w:p>
            <w:r>
              <w:rPr>
                <w:b w:val="false"/>
                <w:bCs w:val="false"/>
                <w:sz w:val="19"/>
                <w:szCs w:val="19"/>
              </w:rPr>
              <w:t xml:space="preserve">PAYE / ANNULE</w:t>
            </w:r>
          </w:p>
        </w:tc>
        <w:tc>
          <w:tcPr>
            <w:tcW w:type="dxa" w:w="3200"/>
            <w:shd w:fill="F2F5FA" w:val="clear"/>
            <w:tcMar>
              <w:top w:type="dxa" w:w="100"/>
              <w:left w:type="dxa" w:w="120"/>
              <w:bottom w:type="dxa" w:w="100"/>
              <w:right w:type="dxa" w:w="120"/>
            </w:tcMar>
            <w:vAlign w:val="center"/>
          </w:tcPr>
          <w:p>
            <w:r>
              <w:rPr>
                <w:b w:val="false"/>
                <w:bCs w:val="false"/>
                <w:sz w:val="19"/>
                <w:szCs w:val="19"/>
              </w:rPr>
              <w:t xml:space="preserve">(aucun bouton)</w:t>
            </w:r>
          </w:p>
        </w:tc>
        <w:tc>
          <w:tcPr>
            <w:tcW w:type="dxa" w:w="3100"/>
            <w:shd w:fill="F2F5FA" w:val="clear"/>
            <w:tcMar>
              <w:top w:type="dxa" w:w="100"/>
              <w:left w:type="dxa" w:w="120"/>
              <w:bottom w:type="dxa" w:w="100"/>
              <w:right w:type="dxa" w:w="120"/>
            </w:tcMar>
            <w:vAlign w:val="center"/>
          </w:tcPr>
          <w:p>
            <w:r>
              <w:rPr>
                <w:b w:val="false"/>
                <w:bCs w:val="false"/>
                <w:sz w:val="19"/>
                <w:szCs w:val="19"/>
              </w:rPr>
              <w:t xml:space="preserve">Dossier clos.</w:t>
            </w:r>
          </w:p>
        </w:tc>
      </w:tr>
    </w:tbl>
    <w:p>
      <w:pPr>
        <w:spacing w:after="160"/>
      </w:pPr>
    </w:p>
    <w:p>
      <w:pPr>
        <w:pStyle w:val="Heading2"/>
        <w:spacing w:after="120" w:before="280"/>
      </w:pPr>
      <w:r>
        <w:t xml:space="preserve">11.3 Télécharger la liquidation</w:t>
      </w:r>
    </w:p>
    <w:p>
      <w:pPr>
        <w:spacing w:after="120"/>
      </w:pPr>
      <w:r>
        <w:t xml:space="preserve">Le bouton « Liquidation PDF » sur chaque ligne télécharge le document liquidation-{id}.pdf.</w:t>
      </w:r>
    </w:p>
    <w:p>
      <w:pPr>
        <w:pStyle w:val="Heading2"/>
        <w:spacing w:after="120" w:before="280"/>
      </w:pPr>
      <w:r>
        <w:t xml:space="preserve">11.4 Rentes viagères</w:t>
      </w:r>
    </w:p>
    <w:p>
      <w:pPr>
        <w:spacing w:after="120"/>
      </w:pPr>
      <w:r>
        <w:t xml:space="preserve">Le tableau de gauche « Grands Livres des Rentes actives » liste Adhérent, Matricule, Capital initial, Capital restant, Statut. Cliquer sur une ligne affiche à droite le détail « Détails des versements mensuels » : Capital Reconstitué, Provision Restante, et l’historique des versements.</w:t>
      </w:r>
    </w:p>
    <w:p>
      <w:pPr>
        <w:pStyle w:val="Heading2"/>
        <w:spacing w:after="120" w:before="280"/>
      </w:pPr>
      <w:r>
        <w:t xml:space="preserve">11.5 Échéances APS</w:t>
      </w:r>
    </w:p>
    <w:p>
      <w:pPr>
        <w:spacing w:after="90"/>
        <w:ind w:left="200"/>
      </w:pPr>
      <w:r>
        <w:rPr>
          <w:b/>
          <w:bCs/>
          <w:color w:val="2B529F"/>
        </w:rPr>
        <w:t xml:space="preserve">1. </w:t>
      </w:r>
      <w:r>
        <w:t xml:space="preserve">Choisir « Année » et « Trimestre ».</w:t>
      </w:r>
    </w:p>
    <w:p>
      <w:pPr>
        <w:spacing w:after="90"/>
        <w:ind w:left="200"/>
      </w:pPr>
      <w:r>
        <w:rPr>
          <w:b/>
          <w:bCs/>
          <w:color w:val="2B529F"/>
        </w:rPr>
        <w:t xml:space="preserve">2. </w:t>
      </w:r>
      <w:r>
        <w:t xml:space="preserve">Cliquer sur « Générer les échéances » (non visible pour le profil Adhérent).</w:t>
      </w:r>
    </w:p>
    <w:p>
      <w:pPr>
        <w:spacing w:after="120"/>
      </w:pPr>
      <w:r>
        <w:t xml:space="preserve">Le tableau affiche Retraité, Matricule, Période, Montant APS, Échéance, Statut, Action ; le total à verser à l’APS est affiché en haut à droite.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00"/>
      </w:tblGrid>
      <w:tr>
        <w:trPr>
          <w:tblHeader/>
        </w:trPr>
        <w:tc>
          <w:tcPr>
            <w:tcW w:type="dxa" w:w="3000"/>
            <w:shd w:fill="2B529F" w:val="clear"/>
            <w:tcMar>
              <w:top w:type="dxa" w:w="100"/>
              <w:left w:type="dxa" w:w="120"/>
              <w:bottom w:type="dxa" w:w="100"/>
              <w:right w:type="dxa" w:w="120"/>
            </w:tcMar>
            <w:vAlign w:val="center"/>
          </w:tcPr>
          <w:p>
            <w:r>
              <w:rPr>
                <w:b/>
                <w:bCs/>
                <w:color w:val="FFFFFF"/>
                <w:sz w:val="19"/>
                <w:szCs w:val="19"/>
              </w:rPr>
              <w:t xml:space="preserve">Statut courant</w:t>
            </w:r>
          </w:p>
        </w:tc>
        <w:tc>
          <w:tcPr>
            <w:tcW w:type="dxa" w:w="3200"/>
            <w:shd w:fill="2B529F" w:val="clear"/>
            <w:tcMar>
              <w:top w:type="dxa" w:w="100"/>
              <w:left w:type="dxa" w:w="120"/>
              <w:bottom w:type="dxa" w:w="100"/>
              <w:right w:type="dxa" w:w="120"/>
            </w:tcMar>
            <w:vAlign w:val="center"/>
          </w:tcPr>
          <w:p>
            <w:r>
              <w:rPr>
                <w:b/>
                <w:bCs/>
                <w:color w:val="FFFFFF"/>
                <w:sz w:val="19"/>
                <w:szCs w:val="19"/>
              </w:rPr>
              <w:t xml:space="preserve">Bouton affiché</w:t>
            </w:r>
          </w:p>
        </w:tc>
        <w:tc>
          <w:tcPr>
            <w:tcW w:type="dxa" w:w="3100"/>
            <w:shd w:fill="2B529F" w:val="clear"/>
            <w:tcMar>
              <w:top w:type="dxa" w:w="100"/>
              <w:left w:type="dxa" w:w="120"/>
              <w:bottom w:type="dxa" w:w="100"/>
              <w:right w:type="dxa" w:w="120"/>
            </w:tcMar>
            <w:vAlign w:val="center"/>
          </w:tcPr>
          <w:p>
            <w:r>
              <w:rPr>
                <w:b/>
                <w:bCs/>
                <w:color w:val="FFFFFF"/>
                <w:sz w:val="19"/>
                <w:szCs w:val="19"/>
              </w:rPr>
              <w:t xml:space="preserve">Effet du clic</w:t>
            </w:r>
          </w:p>
        </w:tc>
      </w:tr>
      <w:tr>
        <w:tc>
          <w:tcPr>
            <w:tcW w:type="dxa" w:w="3000"/>
            <w:tcMar>
              <w:top w:type="dxa" w:w="100"/>
              <w:left w:type="dxa" w:w="120"/>
              <w:bottom w:type="dxa" w:w="100"/>
              <w:right w:type="dxa" w:w="120"/>
            </w:tcMar>
            <w:vAlign w:val="center"/>
          </w:tcPr>
          <w:p>
            <w:r>
              <w:rPr>
                <w:b w:val="false"/>
                <w:bCs w:val="false"/>
                <w:sz w:val="19"/>
                <w:szCs w:val="19"/>
              </w:rPr>
              <w:t xml:space="preserve">GENEREE</w:t>
            </w:r>
          </w:p>
        </w:tc>
        <w:tc>
          <w:tcPr>
            <w:tcW w:type="dxa" w:w="3200"/>
            <w:tcMar>
              <w:top w:type="dxa" w:w="100"/>
              <w:left w:type="dxa" w:w="120"/>
              <w:bottom w:type="dxa" w:w="100"/>
              <w:right w:type="dxa" w:w="120"/>
            </w:tcMar>
            <w:vAlign w:val="center"/>
          </w:tcPr>
          <w:p>
            <w:r>
              <w:rPr>
                <w:b w:val="false"/>
                <w:bCs w:val="false"/>
                <w:sz w:val="19"/>
                <w:szCs w:val="19"/>
              </w:rPr>
              <w:t xml:space="preserve">Contrôler</w:t>
            </w:r>
          </w:p>
        </w:tc>
        <w:tc>
          <w:tcPr>
            <w:tcW w:type="dxa" w:w="3100"/>
            <w:tcMar>
              <w:top w:type="dxa" w:w="100"/>
              <w:left w:type="dxa" w:w="120"/>
              <w:bottom w:type="dxa" w:w="100"/>
              <w:right w:type="dxa" w:w="120"/>
            </w:tcMar>
            <w:vAlign w:val="center"/>
          </w:tcPr>
          <w:p>
            <w:r>
              <w:rPr>
                <w:b w:val="false"/>
                <w:bCs w:val="false"/>
                <w:sz w:val="19"/>
                <w:szCs w:val="19"/>
              </w:rPr>
              <w:t xml:space="preserve">Passe au statut EN_CONTROLE.</w:t>
            </w:r>
          </w:p>
        </w:tc>
      </w:tr>
      <w:tr>
        <w:tc>
          <w:tcPr>
            <w:tcW w:type="dxa" w:w="3000"/>
            <w:shd w:fill="F2F5FA" w:val="clear"/>
            <w:tcMar>
              <w:top w:type="dxa" w:w="100"/>
              <w:left w:type="dxa" w:w="120"/>
              <w:bottom w:type="dxa" w:w="100"/>
              <w:right w:type="dxa" w:w="120"/>
            </w:tcMar>
            <w:vAlign w:val="center"/>
          </w:tcPr>
          <w:p>
            <w:r>
              <w:rPr>
                <w:b w:val="false"/>
                <w:bCs w:val="false"/>
                <w:sz w:val="19"/>
                <w:szCs w:val="19"/>
              </w:rPr>
              <w:t xml:space="preserve">EN_CONTROLE</w:t>
            </w:r>
          </w:p>
        </w:tc>
        <w:tc>
          <w:tcPr>
            <w:tcW w:type="dxa" w:w="3200"/>
            <w:shd w:fill="F2F5FA" w:val="clear"/>
            <w:tcMar>
              <w:top w:type="dxa" w:w="100"/>
              <w:left w:type="dxa" w:w="120"/>
              <w:bottom w:type="dxa" w:w="100"/>
              <w:right w:type="dxa" w:w="120"/>
            </w:tcMar>
            <w:vAlign w:val="center"/>
          </w:tcPr>
          <w:p>
            <w:r>
              <w:rPr>
                <w:b w:val="false"/>
                <w:bCs w:val="false"/>
                <w:sz w:val="19"/>
                <w:szCs w:val="19"/>
              </w:rPr>
              <w:t xml:space="preserve">Valider</w:t>
            </w:r>
          </w:p>
        </w:tc>
        <w:tc>
          <w:tcPr>
            <w:tcW w:type="dxa" w:w="3100"/>
            <w:shd w:fill="F2F5FA" w:val="clear"/>
            <w:tcMar>
              <w:top w:type="dxa" w:w="100"/>
              <w:left w:type="dxa" w:w="120"/>
              <w:bottom w:type="dxa" w:w="100"/>
              <w:right w:type="dxa" w:w="120"/>
            </w:tcMar>
            <w:vAlign w:val="center"/>
          </w:tcPr>
          <w:p>
            <w:r>
              <w:rPr>
                <w:b w:val="false"/>
                <w:bCs w:val="false"/>
                <w:sz w:val="19"/>
                <w:szCs w:val="19"/>
              </w:rPr>
              <w:t xml:space="preserve">Passe au statut VALIDEE.</w:t>
            </w:r>
          </w:p>
        </w:tc>
      </w:tr>
      <w:tr>
        <w:tc>
          <w:tcPr>
            <w:tcW w:type="dxa" w:w="3000"/>
            <w:tcMar>
              <w:top w:type="dxa" w:w="100"/>
              <w:left w:type="dxa" w:w="120"/>
              <w:bottom w:type="dxa" w:w="100"/>
              <w:right w:type="dxa" w:w="120"/>
            </w:tcMar>
            <w:vAlign w:val="center"/>
          </w:tcPr>
          <w:p>
            <w:r>
              <w:rPr>
                <w:b w:val="false"/>
                <w:bCs w:val="false"/>
                <w:sz w:val="19"/>
                <w:szCs w:val="19"/>
              </w:rPr>
              <w:t xml:space="preserve">VALIDEE</w:t>
            </w:r>
          </w:p>
        </w:tc>
        <w:tc>
          <w:tcPr>
            <w:tcW w:type="dxa" w:w="3200"/>
            <w:tcMar>
              <w:top w:type="dxa" w:w="100"/>
              <w:left w:type="dxa" w:w="120"/>
              <w:bottom w:type="dxa" w:w="100"/>
              <w:right w:type="dxa" w:w="120"/>
            </w:tcMar>
            <w:vAlign w:val="center"/>
          </w:tcPr>
          <w:p>
            <w:r>
              <w:rPr>
                <w:b w:val="false"/>
                <w:bCs w:val="false"/>
                <w:sz w:val="19"/>
                <w:szCs w:val="19"/>
              </w:rPr>
              <w:t xml:space="preserve">Payer APS</w:t>
            </w:r>
          </w:p>
        </w:tc>
        <w:tc>
          <w:tcPr>
            <w:tcW w:type="dxa" w:w="3100"/>
            <w:tcMar>
              <w:top w:type="dxa" w:w="100"/>
              <w:left w:type="dxa" w:w="120"/>
              <w:bottom w:type="dxa" w:w="100"/>
              <w:right w:type="dxa" w:w="120"/>
            </w:tcMar>
            <w:vAlign w:val="center"/>
          </w:tcPr>
          <w:p>
            <w:r>
              <w:rPr>
                <w:b w:val="false"/>
                <w:bCs w:val="false"/>
                <w:sz w:val="19"/>
                <w:szCs w:val="19"/>
              </w:rPr>
              <w:t xml:space="preserve">Demande une référence de paiement (« Référence du paiement APS : ») puis marque l'échéance payée.</w:t>
            </w:r>
          </w:p>
        </w:tc>
      </w:tr>
    </w:tbl>
    <w:p>
      <w:pPr>
        <w:spacing w:after="160"/>
      </w:pPr>
    </w:p>
    <w:p>
      <w:r>
        <w:br w:type="page"/>
      </w:r>
    </w:p>
    <w:p>
      <w:pPr>
        <w:pStyle w:val="Heading1"/>
        <w:spacing w:after="160" w:before="360"/>
      </w:pPr>
      <w:r>
        <w:t xml:space="preserve">12. Rachats et résiliations</w:t>
      </w:r>
    </w:p>
    <w:tbl>
      <w:tblPr>
        <w:tblW w:type="dxa" w:w="4000"/>
        <w:tblBorders>
          <w:top w:val="single" w:color="CBD5E1" w:sz="4"/>
          <w:left w:val="single" w:color="CBD5E1" w:sz="4"/>
          <w:bottom w:val="single" w:color="CBD5E1" w:sz="4"/>
          <w:right w:val="single" w:color="CBD5E1" w:sz="4"/>
          <w:insideH w:val="single" w:color="auto" w:sz="4"/>
          <w:insideV w:val="single" w:color="auto" w:sz="4"/>
        </w:tblBorders>
      </w:tblPr>
      <w:tblGrid>
        <w:gridCol w:w="4000"/>
      </w:tblGrid>
      <w:tr>
        <w:tc>
          <w:tcPr>
            <w:tcW w:type="dxa" w:w="4000"/>
            <w:shd w:fill="EFF4FB" w:val="clear"/>
            <w:tcMar>
              <w:top w:type="dxa" w:w="80"/>
              <w:left w:type="dxa" w:w="160"/>
              <w:bottom w:type="dxa" w:w="80"/>
              <w:right w:type="dxa" w:w="160"/>
            </w:tcMar>
          </w:tcPr>
          <w:p>
            <w:r>
              <w:rPr>
                <w:b/>
                <w:bCs/>
                <w:color w:val="1F3B73"/>
                <w:sz w:val="19"/>
                <w:szCs w:val="19"/>
              </w:rPr>
              <w:t xml:space="preserve">Accès : Gestionnaire, Administrateur</w:t>
            </w:r>
          </w:p>
        </w:tc>
      </w:tr>
    </w:tbl>
    <w:p>
      <w:pPr>
        <w:spacing w:after="160"/>
      </w:pPr>
    </w:p>
    <w:p>
      <w:pPr>
        <w:spacing w:after="120"/>
      </w:pPr>
      <w:r>
        <w:t xml:space="preserve">Le module traite exclusivement le rachat total (pas de rachat partiel), avec un contrôle et un paiement séparés de l’ouverture du dossier.</w:t>
      </w:r>
    </w:p>
    <w:p>
      <w:pPr>
        <w:pStyle w:val="Heading2"/>
        <w:spacing w:after="120" w:before="280"/>
      </w:pPr>
      <w:r>
        <w:t xml:space="preserve">12.1 Conditions d’éligibilité</w:t>
      </w:r>
    </w:p>
    <w:tbl>
      <w:tblPr>
        <w:tblW w:type="dxa" w:w="9350"/>
        <w:tblBorders>
          <w:top w:val="single" w:color="F59E0B" w:sz="4"/>
          <w:left w:val="single" w:color="F59E0B" w:sz="4"/>
          <w:bottom w:val="single" w:color="F59E0B" w:sz="4"/>
          <w:right w:val="single" w:color="F59E0B" w:sz="4"/>
          <w:insideH w:val="single" w:color="auto" w:sz="4"/>
          <w:insideV w:val="single" w:color="auto" w:sz="4"/>
        </w:tblBorders>
      </w:tblPr>
      <w:tblGrid>
        <w:gridCol w:w="9350"/>
      </w:tblGrid>
      <w:tr>
        <w:tc>
          <w:tcPr>
            <w:tcW w:type="dxa" w:w="9350"/>
            <w:shd w:fill="FEF3C7" w:val="clear"/>
            <w:tcMar>
              <w:top w:type="dxa" w:w="160"/>
              <w:left w:type="dxa" w:w="200"/>
              <w:bottom w:type="dxa" w:w="160"/>
              <w:right w:type="dxa" w:w="200"/>
            </w:tcMar>
          </w:tcPr>
          <w:p>
            <w:r>
              <w:rPr>
                <w:color w:val="B45309"/>
              </w:rPr>
              <w:t xml:space="preserve">⚠ Éligibilité automatique : période de cotisation, 2 années complètes, au moins 8 mouvements encaissés, aucune rente active. Formule provisoire : PM moins 5 % de frais, puis 5 % de pénalité.</w:t>
            </w:r>
          </w:p>
        </w:tc>
      </w:tr>
    </w:tbl>
    <w:p>
      <w:pPr>
        <w:pStyle w:val="Heading2"/>
        <w:spacing w:after="120" w:before="280"/>
      </w:pPr>
      <w:r>
        <w:t xml:space="preserve">12.2 Ouvrir une demande de rachat</w:t>
      </w:r>
    </w:p>
    <w:p>
      <w:pPr>
        <w:spacing w:after="90"/>
        <w:ind w:left="200"/>
      </w:pPr>
      <w:r>
        <w:rPr>
          <w:b/>
          <w:bCs/>
          <w:color w:val="2B529F"/>
        </w:rPr>
        <w:t xml:space="preserve">1. </w:t>
      </w:r>
      <w:r>
        <w:t xml:space="preserve">Cliquer sur « Nouvelle demande ».</w:t>
      </w:r>
    </w:p>
    <w:p>
      <w:pPr>
        <w:spacing w:after="90"/>
        <w:ind w:left="200"/>
      </w:pPr>
      <w:r>
        <w:rPr>
          <w:b/>
          <w:bCs/>
          <w:color w:val="2B529F"/>
        </w:rPr>
        <w:t xml:space="preserve">2. </w:t>
      </w:r>
      <w:r>
        <w:t xml:space="preserve">Choisir l’« Adhérent actif… », la « Date », et indiquer un « Motif / référence de demande » si utile.</w:t>
      </w:r>
    </w:p>
    <w:p>
      <w:pPr>
        <w:spacing w:after="90"/>
        <w:ind w:left="200"/>
      </w:pPr>
      <w:r>
        <w:rPr>
          <w:b/>
          <w:bCs/>
          <w:color w:val="2B529F"/>
        </w:rPr>
        <w:t xml:space="preserve">3. </w:t>
      </w:r>
      <w:r>
        <w:t xml:space="preserve">Cliquer sur « Calculer et ouvrir ».</w:t>
      </w:r>
    </w:p>
    <w:p>
      <w:pPr>
        <w:pStyle w:val="Heading2"/>
        <w:spacing w:after="120" w:before="280"/>
      </w:pPr>
      <w:r>
        <w:t xml:space="preserve">12.3 Suivre un dossier de rachat</w:t>
      </w:r>
    </w:p>
    <w:p>
      <w:pPr>
        <w:spacing w:after="120"/>
      </w:pPr>
      <w:r>
        <w:t xml:space="preserve">Filtres disponibles : recherche « Matricule, nom… » et statut (TOUS, DOSSIER_OUVERT, EN_CONTROLE, VALIDE, PAYE, REJETE, ANNULE). Le tableau affiche Adhérent, Demande, Statut, PM, Frais, Pénalité, Net à payer, Contrôles ({anciennete_annees} ans · {nombre_mouvements} mvts).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00"/>
      </w:tblGrid>
      <w:tr>
        <w:trPr>
          <w:tblHeader/>
        </w:trPr>
        <w:tc>
          <w:tcPr>
            <w:tcW w:type="dxa" w:w="3000"/>
            <w:shd w:fill="2B529F" w:val="clear"/>
            <w:tcMar>
              <w:top w:type="dxa" w:w="100"/>
              <w:left w:type="dxa" w:w="120"/>
              <w:bottom w:type="dxa" w:w="100"/>
              <w:right w:type="dxa" w:w="120"/>
            </w:tcMar>
            <w:vAlign w:val="center"/>
          </w:tcPr>
          <w:p>
            <w:r>
              <w:rPr>
                <w:b/>
                <w:bCs/>
                <w:color w:val="FFFFFF"/>
                <w:sz w:val="19"/>
                <w:szCs w:val="19"/>
              </w:rPr>
              <w:t xml:space="preserve">Statut courant</w:t>
            </w:r>
          </w:p>
        </w:tc>
        <w:tc>
          <w:tcPr>
            <w:tcW w:type="dxa" w:w="3200"/>
            <w:shd w:fill="2B529F" w:val="clear"/>
            <w:tcMar>
              <w:top w:type="dxa" w:w="100"/>
              <w:left w:type="dxa" w:w="120"/>
              <w:bottom w:type="dxa" w:w="100"/>
              <w:right w:type="dxa" w:w="120"/>
            </w:tcMar>
            <w:vAlign w:val="center"/>
          </w:tcPr>
          <w:p>
            <w:r>
              <w:rPr>
                <w:b/>
                <w:bCs/>
                <w:color w:val="FFFFFF"/>
                <w:sz w:val="19"/>
                <w:szCs w:val="19"/>
              </w:rPr>
              <w:t xml:space="preserve">Bouton affiché</w:t>
            </w:r>
          </w:p>
        </w:tc>
        <w:tc>
          <w:tcPr>
            <w:tcW w:type="dxa" w:w="3100"/>
            <w:shd w:fill="2B529F" w:val="clear"/>
            <w:tcMar>
              <w:top w:type="dxa" w:w="100"/>
              <w:left w:type="dxa" w:w="120"/>
              <w:bottom w:type="dxa" w:w="100"/>
              <w:right w:type="dxa" w:w="120"/>
            </w:tcMar>
            <w:vAlign w:val="center"/>
          </w:tcPr>
          <w:p>
            <w:r>
              <w:rPr>
                <w:b/>
                <w:bCs/>
                <w:color w:val="FFFFFF"/>
                <w:sz w:val="19"/>
                <w:szCs w:val="19"/>
              </w:rPr>
              <w:t xml:space="preserve">Effet du clic</w:t>
            </w:r>
          </w:p>
        </w:tc>
      </w:tr>
      <w:tr>
        <w:tc>
          <w:tcPr>
            <w:tcW w:type="dxa" w:w="3000"/>
            <w:tcMar>
              <w:top w:type="dxa" w:w="100"/>
              <w:left w:type="dxa" w:w="120"/>
              <w:bottom w:type="dxa" w:w="100"/>
              <w:right w:type="dxa" w:w="120"/>
            </w:tcMar>
            <w:vAlign w:val="center"/>
          </w:tcPr>
          <w:p>
            <w:r>
              <w:rPr>
                <w:b w:val="false"/>
                <w:bCs w:val="false"/>
                <w:sz w:val="19"/>
                <w:szCs w:val="19"/>
              </w:rPr>
              <w:t xml:space="preserve">DOSSIER_OUVERT ou EN_CONTROLE</w:t>
            </w:r>
          </w:p>
        </w:tc>
        <w:tc>
          <w:tcPr>
            <w:tcW w:type="dxa" w:w="3200"/>
            <w:tcMar>
              <w:top w:type="dxa" w:w="100"/>
              <w:left w:type="dxa" w:w="120"/>
              <w:bottom w:type="dxa" w:w="100"/>
              <w:right w:type="dxa" w:w="120"/>
            </w:tcMar>
            <w:vAlign w:val="center"/>
          </w:tcPr>
          <w:p>
            <w:r>
              <w:rPr>
                <w:b w:val="false"/>
                <w:bCs w:val="false"/>
                <w:sz w:val="19"/>
                <w:szCs w:val="19"/>
              </w:rPr>
              <w:t xml:space="preserve">Avancer</w:t>
            </w:r>
          </w:p>
        </w:tc>
        <w:tc>
          <w:tcPr>
            <w:tcW w:type="dxa" w:w="3100"/>
            <w:tcMar>
              <w:top w:type="dxa" w:w="100"/>
              <w:left w:type="dxa" w:w="120"/>
              <w:bottom w:type="dxa" w:w="100"/>
              <w:right w:type="dxa" w:w="120"/>
            </w:tcMar>
            <w:vAlign w:val="center"/>
          </w:tcPr>
          <w:p>
            <w:r>
              <w:rPr>
                <w:b w:val="false"/>
                <w:bCs w:val="false"/>
                <w:sz w:val="19"/>
                <w:szCs w:val="19"/>
              </w:rPr>
              <w:t xml:space="preserve">Demande une observation (« Observation de contrôle/validation : ») puis fait passer le dossier à l'étape suivante.</w:t>
            </w:r>
          </w:p>
        </w:tc>
      </w:tr>
      <w:tr>
        <w:tc>
          <w:tcPr>
            <w:tcW w:type="dxa" w:w="3000"/>
            <w:shd w:fill="F2F5FA" w:val="clear"/>
            <w:tcMar>
              <w:top w:type="dxa" w:w="100"/>
              <w:left w:type="dxa" w:w="120"/>
              <w:bottom w:type="dxa" w:w="100"/>
              <w:right w:type="dxa" w:w="120"/>
            </w:tcMar>
            <w:vAlign w:val="center"/>
          </w:tcPr>
          <w:p>
            <w:r>
              <w:rPr>
                <w:b w:val="false"/>
                <w:bCs w:val="false"/>
                <w:sz w:val="19"/>
                <w:szCs w:val="19"/>
              </w:rPr>
              <w:t xml:space="preserve">VALIDE</w:t>
            </w:r>
          </w:p>
        </w:tc>
        <w:tc>
          <w:tcPr>
            <w:tcW w:type="dxa" w:w="3200"/>
            <w:shd w:fill="F2F5FA" w:val="clear"/>
            <w:tcMar>
              <w:top w:type="dxa" w:w="100"/>
              <w:left w:type="dxa" w:w="120"/>
              <w:bottom w:type="dxa" w:w="100"/>
              <w:right w:type="dxa" w:w="120"/>
            </w:tcMar>
            <w:vAlign w:val="center"/>
          </w:tcPr>
          <w:p>
            <w:r>
              <w:rPr>
                <w:b w:val="false"/>
                <w:bCs w:val="false"/>
                <w:sz w:val="19"/>
                <w:szCs w:val="19"/>
              </w:rPr>
              <w:t xml:space="preserve">Payer</w:t>
            </w:r>
          </w:p>
        </w:tc>
        <w:tc>
          <w:tcPr>
            <w:tcW w:type="dxa" w:w="3100"/>
            <w:shd w:fill="F2F5FA" w:val="clear"/>
            <w:tcMar>
              <w:top w:type="dxa" w:w="100"/>
              <w:left w:type="dxa" w:w="120"/>
              <w:bottom w:type="dxa" w:w="100"/>
              <w:right w:type="dxa" w:w="120"/>
            </w:tcMar>
            <w:vAlign w:val="center"/>
          </w:tcPr>
          <w:p>
            <w:r>
              <w:rPr>
                <w:b w:val="false"/>
                <w:bCs w:val="false"/>
                <w:sz w:val="19"/>
                <w:szCs w:val="19"/>
              </w:rPr>
              <w:t xml:space="preserve">Demande une référence bancaire obligatoire (« Référence bancaire obligatoire : ») puis solde le compte ESR.</w:t>
            </w:r>
          </w:p>
        </w:tc>
      </w:tr>
    </w:tbl>
    <w:p>
      <w:pPr>
        <w:spacing w:after="160"/>
      </w:pPr>
    </w:p>
    <w:p>
      <w:pPr>
        <w:spacing w:after="120"/>
      </w:pPr>
      <w:r>
        <w:t xml:space="preserve">L’icône de téléchargement sur chaque ligne produit la « Liquidation PDF » (rachat-{id}.pdf).</w:t>
      </w:r>
    </w:p>
    <w:tbl>
      <w:tblPr>
        <w:tblW w:type="dxa" w:w="9350"/>
        <w:tblBorders>
          <w:top w:val="single" w:color="F59E0B" w:sz="4"/>
          <w:left w:val="single" w:color="F59E0B" w:sz="4"/>
          <w:bottom w:val="single" w:color="F59E0B" w:sz="4"/>
          <w:right w:val="single" w:color="F59E0B" w:sz="4"/>
          <w:insideH w:val="single" w:color="auto" w:sz="4"/>
          <w:insideV w:val="single" w:color="auto" w:sz="4"/>
        </w:tblBorders>
      </w:tblPr>
      <w:tblGrid>
        <w:gridCol w:w="9350"/>
      </w:tblGrid>
      <w:tr>
        <w:tc>
          <w:tcPr>
            <w:tcW w:type="dxa" w:w="9350"/>
            <w:shd w:fill="FEF3C7" w:val="clear"/>
            <w:tcMar>
              <w:top w:type="dxa" w:w="160"/>
              <w:left w:type="dxa" w:w="200"/>
              <w:bottom w:type="dxa" w:w="160"/>
              <w:right w:type="dxa" w:w="200"/>
            </w:tcMar>
          </w:tcPr>
          <w:p>
            <w:r>
              <w:rPr>
                <w:color w:val="B45309"/>
              </w:rPr>
              <w:t xml:space="preserve">⚠ La séparation entre créateur, contrôleur, valideur et payeur du dossier est appliquée côté serveur : un même utilisateur ne peut pas nécessairement enchaîner toutes les étapes seul.</w:t>
            </w:r>
          </w:p>
        </w:tc>
      </w:tr>
    </w:tbl>
    <w:p>
      <w:r>
        <w:br w:type="page"/>
      </w:r>
    </w:p>
    <w:p>
      <w:pPr>
        <w:pStyle w:val="Heading1"/>
        <w:spacing w:after="160" w:before="360"/>
      </w:pPr>
      <w:r>
        <w:t xml:space="preserve">13. Comptes individuels ESR</w:t>
      </w:r>
    </w:p>
    <w:tbl>
      <w:tblPr>
        <w:tblW w:type="dxa" w:w="4000"/>
        <w:tblBorders>
          <w:top w:val="single" w:color="CBD5E1" w:sz="4"/>
          <w:left w:val="single" w:color="CBD5E1" w:sz="4"/>
          <w:bottom w:val="single" w:color="CBD5E1" w:sz="4"/>
          <w:right w:val="single" w:color="CBD5E1" w:sz="4"/>
          <w:insideH w:val="single" w:color="auto" w:sz="4"/>
          <w:insideV w:val="single" w:color="auto" w:sz="4"/>
        </w:tblBorders>
      </w:tblPr>
      <w:tblGrid>
        <w:gridCol w:w="4000"/>
      </w:tblGrid>
      <w:tr>
        <w:tc>
          <w:tcPr>
            <w:tcW w:type="dxa" w:w="4000"/>
            <w:shd w:fill="EFF4FB" w:val="clear"/>
            <w:tcMar>
              <w:top w:type="dxa" w:w="80"/>
              <w:left w:type="dxa" w:w="160"/>
              <w:bottom w:type="dxa" w:w="80"/>
              <w:right w:type="dxa" w:w="160"/>
            </w:tcMar>
          </w:tcPr>
          <w:p>
            <w:r>
              <w:rPr>
                <w:b/>
                <w:bCs/>
                <w:color w:val="1F3B73"/>
                <w:sz w:val="19"/>
                <w:szCs w:val="19"/>
              </w:rPr>
              <w:t xml:space="preserve">Accès : Gestionnaire, Administrateur</w:t>
            </w:r>
          </w:p>
        </w:tc>
      </w:tr>
    </w:tbl>
    <w:p>
      <w:pPr>
        <w:spacing w:after="160"/>
      </w:pPr>
    </w:p>
    <w:p>
      <w:pPr>
        <w:spacing w:after="120"/>
      </w:pPr>
      <w:r>
        <w:t xml:space="preserve">Cet écran est un registre consolidé, en lecture seule, de la position financière de chaque adhérent.</w:t>
      </w:r>
    </w:p>
    <w:p>
      <w:pPr>
        <w:spacing w:after="90"/>
        <w:ind w:left="200"/>
      </w:pPr>
      <w:r>
        <w:rPr>
          <w:b/>
          <w:bCs/>
          <w:color w:val="2B529F"/>
        </w:rPr>
        <w:t xml:space="preserve">1. </w:t>
      </w:r>
      <w:r>
        <w:t xml:space="preserve">Rechercher un adhérent par matricule, nom ou prénoms (Entrée pour lancer la recherche).</w:t>
      </w:r>
    </w:p>
    <w:p>
      <w:pPr>
        <w:spacing w:after="90"/>
        <w:ind w:left="200"/>
      </w:pPr>
      <w:r>
        <w:rPr>
          <w:b/>
          <w:bCs/>
          <w:color w:val="2B529F"/>
        </w:rPr>
        <w:t xml:space="preserve">2. </w:t>
      </w:r>
      <w:r>
        <w:t xml:space="preserve">Consulter les colonnes : Matricule, Nom &amp; Prénoms, Primes payées, Capital acquis, Provision math., Valeur de rachat, Date calcul.</w:t>
      </w:r>
    </w:p>
    <w:p>
      <w:pPr>
        <w:spacing w:after="90"/>
        <w:ind w:left="200"/>
      </w:pPr>
      <w:r>
        <w:rPr>
          <w:b/>
          <w:bCs/>
          <w:color w:val="2B529F"/>
        </w:rPr>
        <w:t xml:space="preserve">3. </w:t>
      </w:r>
      <w:r>
        <w:t xml:space="preserve">Cliquer sur l’icône « Voir » pour ouvrir la fiche complète de l’adhérent dans un nouvel onglet du navigateur.</w:t>
      </w:r>
    </w:p>
    <w:tbl>
      <w:tblPr>
        <w:tblW w:type="dxa" w:w="9350"/>
        <w:tblBorders>
          <w:top w:val="single" w:color="F59E0B" w:sz="4"/>
          <w:left w:val="single" w:color="F59E0B" w:sz="4"/>
          <w:bottom w:val="single" w:color="F59E0B" w:sz="4"/>
          <w:right w:val="single" w:color="F59E0B" w:sz="4"/>
          <w:insideH w:val="single" w:color="auto" w:sz="4"/>
          <w:insideV w:val="single" w:color="auto" w:sz="4"/>
        </w:tblBorders>
      </w:tblPr>
      <w:tblGrid>
        <w:gridCol w:w="9350"/>
      </w:tblGrid>
      <w:tr>
        <w:tc>
          <w:tcPr>
            <w:tcW w:type="dxa" w:w="9350"/>
            <w:shd w:fill="FEF3C7" w:val="clear"/>
            <w:tcMar>
              <w:top w:type="dxa" w:w="160"/>
              <w:left w:type="dxa" w:w="200"/>
              <w:bottom w:type="dxa" w:w="160"/>
              <w:right w:type="dxa" w:w="200"/>
            </w:tcMar>
          </w:tcPr>
          <w:p>
            <w:r>
              <w:rPr>
                <w:color w:val="B45309"/>
              </w:rPr>
              <w:t xml:space="preserve">⚠ Cet écran ne comporte ni bouton de recalcul, ni bouton de téléchargement direct du relevé annuel : le recalcul se fait automatiquement lors de la consultation de la fiche adhérent, et le téléchargement du relevé se fait depuis l'espace adhérent (chapitre 3.5) ou la fiche ouverte via « Voir ».</w:t>
            </w:r>
          </w:p>
        </w:tc>
      </w:tr>
    </w:tbl>
    <w:p>
      <w:r>
        <w:br w:type="page"/>
      </w:r>
    </w:p>
    <w:p>
      <w:pPr>
        <w:pStyle w:val="Heading1"/>
        <w:spacing w:after="160" w:before="360"/>
      </w:pPr>
      <w:r>
        <w:t xml:space="preserve">14. Reporting</w:t>
      </w:r>
    </w:p>
    <w:tbl>
      <w:tblPr>
        <w:tblW w:type="dxa" w:w="4000"/>
        <w:tblBorders>
          <w:top w:val="single" w:color="CBD5E1" w:sz="4"/>
          <w:left w:val="single" w:color="CBD5E1" w:sz="4"/>
          <w:bottom w:val="single" w:color="CBD5E1" w:sz="4"/>
          <w:right w:val="single" w:color="CBD5E1" w:sz="4"/>
          <w:insideH w:val="single" w:color="auto" w:sz="4"/>
          <w:insideV w:val="single" w:color="auto" w:sz="4"/>
        </w:tblBorders>
      </w:tblPr>
      <w:tblGrid>
        <w:gridCol w:w="4000"/>
      </w:tblGrid>
      <w:tr>
        <w:tc>
          <w:tcPr>
            <w:tcW w:type="dxa" w:w="4000"/>
            <w:shd w:fill="EFF4FB" w:val="clear"/>
            <w:tcMar>
              <w:top w:type="dxa" w:w="80"/>
              <w:left w:type="dxa" w:w="160"/>
              <w:bottom w:type="dxa" w:w="80"/>
              <w:right w:type="dxa" w:w="160"/>
            </w:tcMar>
          </w:tcPr>
          <w:p>
            <w:r>
              <w:rPr>
                <w:b/>
                <w:bCs/>
                <w:color w:val="1F3B73"/>
                <w:sz w:val="19"/>
                <w:szCs w:val="19"/>
              </w:rPr>
              <w:t xml:space="preserve">Accès : Gestionnaire, Administrateur, Superadministrateur</w:t>
            </w:r>
          </w:p>
        </w:tc>
      </w:tr>
    </w:tbl>
    <w:p>
      <w:pPr>
        <w:spacing w:after="160"/>
      </w:pPr>
    </w:p>
    <w:p>
      <w:pPr>
        <w:spacing w:after="120"/>
      </w:pPr>
      <w:r>
        <w:t xml:space="preserve">Le reporting regroupe une quinzaine d’états réglementaires et statistiques, organisés par catégorie dans un menu repliable.</w:t>
      </w:r>
    </w:p>
    <w:p>
      <w:pPr>
        <w:pStyle w:val="Heading2"/>
        <w:spacing w:after="120" w:before="280"/>
      </w:pPr>
      <w:r>
        <w:t xml:space="preserve">14.1 Naviguer dans les catégories</w:t>
      </w:r>
    </w:p>
    <w:p>
      <w:pPr>
        <w:spacing w:after="90"/>
        <w:ind w:left="200"/>
      </w:pPr>
      <w:r>
        <w:rPr>
          <w:b/>
          <w:bCs/>
          <w:color w:val="2B529F"/>
        </w:rPr>
        <w:t xml:space="preserve">1. </w:t>
      </w:r>
      <w:r>
        <w:t xml:space="preserve">Cliquer sur une catégorie (Listes, Montants, Autres) pour la déplier ou la replier.</w:t>
      </w:r>
    </w:p>
    <w:p>
      <w:pPr>
        <w:spacing w:after="90"/>
        <w:ind w:left="200"/>
      </w:pPr>
      <w:r>
        <w:rPr>
          <w:b/>
          <w:bCs/>
          <w:color w:val="2B529F"/>
        </w:rPr>
        <w:t xml:space="preserve">2. </w:t>
      </w:r>
      <w:r>
        <w:t xml:space="preserve">Choisir un état dans la liste affichée.</w:t>
      </w:r>
    </w:p>
    <w:p>
      <w:pPr>
        <w:spacing w:after="90"/>
        <w:ind w:left="200"/>
      </w:pPr>
      <w:r>
        <w:rPr>
          <w:b/>
          <w:bCs/>
          <w:color w:val="2B529F"/>
        </w:rPr>
        <w:t xml:space="preserve">3. </w:t>
      </w:r>
      <w:r>
        <w:t xml:space="preserve">Renseigner les paramètres demandés (année, période...) si l’état l’exige.</w:t>
      </w:r>
    </w:p>
    <w:p>
      <w:pPr>
        <w:spacing w:after="90"/>
        <w:ind w:left="200"/>
      </w:pPr>
      <w:r>
        <w:rPr>
          <w:b/>
          <w:bCs/>
          <w:color w:val="2B529F"/>
        </w:rPr>
        <w:t xml:space="preserve">4. </w:t>
      </w:r>
      <w:r>
        <w:t xml:space="preserve">Exporter le résultat au format Excel si besoin.</w:t>
      </w:r>
    </w:p>
    <w:p>
      <w:pPr>
        <w:pStyle w:val="Heading2"/>
        <w:spacing w:after="120" w:before="280"/>
      </w:pPr>
      <w:r>
        <w:t xml:space="preserve">14.2 Catégorie « Listes »</w:t>
      </w:r>
    </w:p>
    <w:p>
      <w:pPr>
        <w:pStyle w:val="ListParagraph"/>
        <w:numPr>
          <w:ilvl w:val="0"/>
          <w:numId w:val="1"/>
        </w:numPr>
        <w:spacing w:after="80"/>
      </w:pPr>
      <w:r>
        <w:t xml:space="preserve">Liste globale des adhérents</w:t>
      </w:r>
    </w:p>
    <w:p>
      <w:pPr>
        <w:pStyle w:val="ListParagraph"/>
        <w:numPr>
          <w:ilvl w:val="0"/>
          <w:numId w:val="1"/>
        </w:numPr>
        <w:spacing w:after="80"/>
      </w:pPr>
      <w:r>
        <w:t xml:space="preserve">Adhérents en activité</w:t>
      </w:r>
    </w:p>
    <w:p>
      <w:pPr>
        <w:pStyle w:val="ListParagraph"/>
        <w:numPr>
          <w:ilvl w:val="0"/>
          <w:numId w:val="1"/>
        </w:numPr>
        <w:spacing w:after="80"/>
      </w:pPr>
      <w:r>
        <w:t xml:space="preserve">Adhérents retraités</w:t>
      </w:r>
    </w:p>
    <w:p>
      <w:pPr>
        <w:pStyle w:val="ListParagraph"/>
        <w:numPr>
          <w:ilvl w:val="0"/>
          <w:numId w:val="1"/>
        </w:numPr>
        <w:spacing w:after="80"/>
      </w:pPr>
      <w:r>
        <w:t xml:space="preserve">Liste globale des ayants-droit</w:t>
      </w:r>
    </w:p>
    <w:p>
      <w:pPr>
        <w:pStyle w:val="ListParagraph"/>
        <w:numPr>
          <w:ilvl w:val="0"/>
          <w:numId w:val="1"/>
        </w:numPr>
        <w:spacing w:after="80"/>
      </w:pPr>
      <w:r>
        <w:t xml:space="preserve">Liste des retraits (rachats et résiliations)</w:t>
      </w:r>
    </w:p>
    <w:p>
      <w:pPr>
        <w:pStyle w:val="ListParagraph"/>
        <w:numPr>
          <w:ilvl w:val="0"/>
          <w:numId w:val="1"/>
        </w:numPr>
        <w:spacing w:after="80"/>
      </w:pPr>
      <w:r>
        <w:t xml:space="preserve">Retraités à jour / Retraités non à jour</w:t>
      </w:r>
    </w:p>
    <w:p>
      <w:pPr>
        <w:pStyle w:val="ListParagraph"/>
        <w:numPr>
          <w:ilvl w:val="0"/>
          <w:numId w:val="1"/>
        </w:numPr>
        <w:spacing w:after="80"/>
      </w:pPr>
      <w:r>
        <w:t xml:space="preserve">Adhérents en activité à jour / pas à jour</w:t>
      </w:r>
    </w:p>
    <w:p>
      <w:pPr>
        <w:pStyle w:val="ListParagraph"/>
        <w:numPr>
          <w:ilvl w:val="0"/>
          <w:numId w:val="1"/>
        </w:numPr>
        <w:spacing w:after="80"/>
      </w:pPr>
      <w:r>
        <w:t xml:space="preserve">Liste des rachats seuls / Liste des résiliations seules</w:t>
      </w:r>
    </w:p>
    <w:p>
      <w:pPr>
        <w:pStyle w:val="ListParagraph"/>
        <w:numPr>
          <w:ilvl w:val="0"/>
          <w:numId w:val="1"/>
        </w:numPr>
        <w:spacing w:after="80"/>
      </w:pPr>
      <w:r>
        <w:t xml:space="preserve">Liste des décédés</w:t>
      </w:r>
    </w:p>
    <w:p>
      <w:pPr>
        <w:pStyle w:val="ListParagraph"/>
        <w:numPr>
          <w:ilvl w:val="0"/>
          <w:numId w:val="1"/>
        </w:numPr>
        <w:spacing w:after="80"/>
      </w:pPr>
      <w:r>
        <w:t xml:space="preserve">Adhérents retraités par statut (vue combinée)</w:t>
      </w:r>
    </w:p>
    <w:p>
      <w:pPr>
        <w:pStyle w:val="ListParagraph"/>
        <w:numPr>
          <w:ilvl w:val="0"/>
          <w:numId w:val="1"/>
        </w:numPr>
        <w:spacing w:after="80"/>
      </w:pPr>
      <w:r>
        <w:t xml:space="preserve">Décès — capital versé aux ayants droit</w:t>
      </w:r>
    </w:p>
    <w:p>
      <w:pPr>
        <w:pStyle w:val="Heading2"/>
        <w:spacing w:after="120" w:before="280"/>
      </w:pPr>
      <w:r>
        <w:t xml:space="preserve">14.3 Catégorie « Montants »</w:t>
      </w:r>
    </w:p>
    <w:p>
      <w:pPr>
        <w:pStyle w:val="ListParagraph"/>
        <w:numPr>
          <w:ilvl w:val="0"/>
          <w:numId w:val="1"/>
        </w:numPr>
        <w:spacing w:after="80"/>
      </w:pPr>
      <w:r>
        <w:t xml:space="preserve">État CIMA C-20</w:t>
      </w:r>
    </w:p>
    <w:p>
      <w:pPr>
        <w:pStyle w:val="ListParagraph"/>
        <w:numPr>
          <w:ilvl w:val="0"/>
          <w:numId w:val="1"/>
        </w:numPr>
        <w:spacing w:after="80"/>
      </w:pPr>
      <w:r>
        <w:t xml:space="preserve">Cotisations encaissées sur une période</w:t>
      </w:r>
    </w:p>
    <w:p>
      <w:pPr>
        <w:pStyle w:val="ListParagraph"/>
        <w:numPr>
          <w:ilvl w:val="0"/>
          <w:numId w:val="1"/>
        </w:numPr>
        <w:spacing w:after="80"/>
      </w:pPr>
      <w:r>
        <w:t xml:space="preserve">Capital constitutif de rente par adhérent</w:t>
      </w:r>
    </w:p>
    <w:p>
      <w:pPr>
        <w:pStyle w:val="ListParagraph"/>
        <w:numPr>
          <w:ilvl w:val="0"/>
          <w:numId w:val="1"/>
        </w:numPr>
        <w:spacing w:after="80"/>
      </w:pPr>
      <w:r>
        <w:t xml:space="preserve">Capital restant dû par retraité (à date)</w:t>
      </w:r>
    </w:p>
    <w:p>
      <w:pPr>
        <w:pStyle w:val="ListParagraph"/>
        <w:numPr>
          <w:ilvl w:val="0"/>
          <w:numId w:val="1"/>
        </w:numPr>
        <w:spacing w:after="80"/>
      </w:pPr>
      <w:r>
        <w:t xml:space="preserve">Reversement du capital restant dû sur une période</w:t>
      </w:r>
    </w:p>
    <w:p>
      <w:pPr>
        <w:pStyle w:val="ListParagraph"/>
        <w:numPr>
          <w:ilvl w:val="0"/>
          <w:numId w:val="1"/>
        </w:numPr>
        <w:spacing w:after="80"/>
      </w:pPr>
      <w:r>
        <w:t xml:space="preserve">Capital décès/invalidité par adhérent</w:t>
      </w:r>
    </w:p>
    <w:p>
      <w:pPr>
        <w:pStyle w:val="ListParagraph"/>
        <w:numPr>
          <w:ilvl w:val="0"/>
          <w:numId w:val="1"/>
        </w:numPr>
        <w:spacing w:after="80"/>
      </w:pPr>
      <w:r>
        <w:t xml:space="preserve">Reversements décès/invalidité avant la retraite</w:t>
      </w:r>
    </w:p>
    <w:p>
      <w:pPr>
        <w:pStyle w:val="ListParagraph"/>
        <w:numPr>
          <w:ilvl w:val="0"/>
          <w:numId w:val="1"/>
        </w:numPr>
        <w:spacing w:after="80"/>
      </w:pPr>
      <w:r>
        <w:t xml:space="preserve">Provisions globales &amp; flux de rentes</w:t>
      </w:r>
    </w:p>
    <w:p>
      <w:pPr>
        <w:pStyle w:val="ListParagraph"/>
        <w:numPr>
          <w:ilvl w:val="0"/>
          <w:numId w:val="1"/>
        </w:numPr>
        <w:spacing w:after="80"/>
      </w:pPr>
      <w:r>
        <w:t xml:space="preserve">Mouvements de flux (entrants/sortants)</w:t>
      </w:r>
    </w:p>
    <w:p>
      <w:pPr>
        <w:pStyle w:val="Heading2"/>
        <w:spacing w:after="120" w:before="280"/>
      </w:pPr>
      <w:r>
        <w:t xml:space="preserve">14.4 Catégorie « Autres »</w:t>
      </w:r>
    </w:p>
    <w:p>
      <w:pPr>
        <w:pStyle w:val="ListParagraph"/>
        <w:numPr>
          <w:ilvl w:val="0"/>
          <w:numId w:val="1"/>
        </w:numPr>
        <w:spacing w:after="80"/>
      </w:pPr>
      <w:r>
        <w:t xml:space="preserve">Avis annuel adhérents</w:t>
      </w:r>
    </w:p>
    <w:p>
      <w:r>
        <w:br w:type="page"/>
      </w:r>
    </w:p>
    <w:p>
      <w:pPr>
        <w:pStyle w:val="Heading1"/>
        <w:spacing w:after="160" w:before="360"/>
      </w:pPr>
      <w:r>
        <w:t xml:space="preserve">15. Paramètres</w:t>
      </w:r>
    </w:p>
    <w:tbl>
      <w:tblPr>
        <w:tblW w:type="dxa" w:w="4000"/>
        <w:tblBorders>
          <w:top w:val="single" w:color="CBD5E1" w:sz="4"/>
          <w:left w:val="single" w:color="CBD5E1" w:sz="4"/>
          <w:bottom w:val="single" w:color="CBD5E1" w:sz="4"/>
          <w:right w:val="single" w:color="CBD5E1" w:sz="4"/>
          <w:insideH w:val="single" w:color="auto" w:sz="4"/>
          <w:insideV w:val="single" w:color="auto" w:sz="4"/>
        </w:tblBorders>
      </w:tblPr>
      <w:tblGrid>
        <w:gridCol w:w="4000"/>
      </w:tblGrid>
      <w:tr>
        <w:tc>
          <w:tcPr>
            <w:tcW w:type="dxa" w:w="4000"/>
            <w:shd w:fill="EFF4FB" w:val="clear"/>
            <w:tcMar>
              <w:top w:type="dxa" w:w="80"/>
              <w:left w:type="dxa" w:w="160"/>
              <w:bottom w:type="dxa" w:w="80"/>
              <w:right w:type="dxa" w:w="160"/>
            </w:tcMar>
          </w:tcPr>
          <w:p>
            <w:r>
              <w:rPr>
                <w:b/>
                <w:bCs/>
                <w:color w:val="1F3B73"/>
                <w:sz w:val="19"/>
                <w:szCs w:val="19"/>
              </w:rPr>
              <w:t xml:space="preserve">Accès : Administrateur, Superadministrateur</w:t>
            </w:r>
          </w:p>
        </w:tc>
      </w:tr>
    </w:tbl>
    <w:p>
      <w:pPr>
        <w:spacing w:after="160"/>
      </w:pPr>
    </w:p>
    <w:p>
      <w:pPr>
        <w:spacing w:after="120"/>
      </w:pPr>
      <w:r>
        <w:t xml:space="preserve">L’écran Paramètres regroupe sept sous-onglets qui configurent le comportement métier de l’application, sans jamais modifier le code.</w:t>
      </w:r>
    </w:p>
    <w:p>
      <w:pPr>
        <w:pStyle w:val="Heading2"/>
        <w:spacing w:after="120" w:before="280"/>
      </w:pPr>
      <w:r>
        <w:t xml:space="preserve">15.1 Paramètres généraux ESR</w:t>
      </w:r>
    </w:p>
    <w:p>
      <w:pPr>
        <w:spacing w:after="120"/>
      </w:pPr>
      <w:r>
        <w:t xml:space="preserve">Table de paramètres actuariels clé/valeur (taux garanti, frais de rente, âge maximal, taux de rachat, taux décès, taux invalidité, taux de couverture retraite, taux de remboursement des soins, taux décès pendant rente...). Seule la modification est autorisée depuis cette interface, jamais la création ni la suppression.</w:t>
      </w:r>
    </w:p>
    <w:p>
      <w:pPr>
        <w:spacing w:after="90"/>
        <w:ind w:left="200"/>
      </w:pPr>
      <w:r>
        <w:rPr>
          <w:b/>
          <w:bCs/>
          <w:color w:val="2B529F"/>
        </w:rPr>
        <w:t xml:space="preserve">1. </w:t>
      </w:r>
      <w:r>
        <w:t xml:space="preserve">Cliquer sur « Modifier » sur la ligne du paramètre concerné.</w:t>
      </w:r>
    </w:p>
    <w:p>
      <w:pPr>
        <w:spacing w:after="90"/>
        <w:ind w:left="200"/>
      </w:pPr>
      <w:r>
        <w:rPr>
          <w:b/>
          <w:bCs/>
          <w:color w:val="2B529F"/>
        </w:rPr>
        <w:t xml:space="preserve">2. </w:t>
      </w:r>
      <w:r>
        <w:t xml:space="preserve">Ajuster la « Valeur », vérifier la « Date début » et la « Date fin ».</w:t>
      </w:r>
    </w:p>
    <w:p>
      <w:pPr>
        <w:spacing w:after="90"/>
        <w:ind w:left="200"/>
      </w:pPr>
      <w:r>
        <w:rPr>
          <w:b/>
          <w:bCs/>
          <w:color w:val="2B529F"/>
        </w:rPr>
        <w:t xml:space="preserve">3. </w:t>
      </w:r>
      <w:r>
        <w:t xml:space="preserve">Cliquer sur « Enregistrer » (ou « Annuler »).</w:t>
      </w:r>
    </w:p>
    <w:tbl>
      <w:tblPr>
        <w:tblW w:type="dxa" w:w="9350"/>
        <w:tblBorders>
          <w:top w:val="single" w:color="F59E0B" w:sz="4"/>
          <w:left w:val="single" w:color="F59E0B" w:sz="4"/>
          <w:bottom w:val="single" w:color="F59E0B" w:sz="4"/>
          <w:right w:val="single" w:color="F59E0B" w:sz="4"/>
          <w:insideH w:val="single" w:color="auto" w:sz="4"/>
          <w:insideV w:val="single" w:color="auto" w:sz="4"/>
        </w:tblBorders>
      </w:tblPr>
      <w:tblGrid>
        <w:gridCol w:w="9350"/>
      </w:tblGrid>
      <w:tr>
        <w:tc>
          <w:tcPr>
            <w:tcW w:type="dxa" w:w="9350"/>
            <w:shd w:fill="FEF3C7" w:val="clear"/>
            <w:tcMar>
              <w:top w:type="dxa" w:w="160"/>
              <w:left w:type="dxa" w:w="200"/>
              <w:bottom w:type="dxa" w:w="160"/>
              <w:right w:type="dxa" w:w="200"/>
            </w:tcMar>
          </w:tcPr>
          <w:p>
            <w:r>
              <w:rPr>
                <w:color w:val="B45309"/>
              </w:rPr>
              <w:t xml:space="preserve">⚠ Les taux doivent être compris entre 0 et 100, sous peine du message « Le taux doit être compris entre 0 et 100. »</w:t>
            </w:r>
          </w:p>
        </w:tc>
      </w:tr>
    </w:tbl>
    <w:p>
      <w:pPr>
        <w:pStyle w:val="Heading2"/>
        <w:spacing w:after="120" w:before="280"/>
      </w:pPr>
      <w:r>
        <w:t xml:space="preserve">15.2 Périodes</w:t>
      </w:r>
    </w:p>
    <w:p>
      <w:pPr>
        <w:spacing w:after="90"/>
        <w:ind w:left="200"/>
      </w:pPr>
      <w:r>
        <w:rPr>
          <w:b/>
          <w:bCs/>
          <w:color w:val="2B529F"/>
        </w:rPr>
        <w:t xml:space="preserve">1. </w:t>
      </w:r>
      <w:r>
        <w:t xml:space="preserve">Choisir « Année » (2000–2100) et « Trimestre » (T1 à T4).</w:t>
      </w:r>
    </w:p>
    <w:p>
      <w:pPr>
        <w:spacing w:after="90"/>
        <w:ind w:left="200"/>
      </w:pPr>
      <w:r>
        <w:rPr>
          <w:b/>
          <w:bCs/>
          <w:color w:val="2B529F"/>
        </w:rPr>
        <w:t xml:space="preserve">2. </w:t>
      </w:r>
      <w:r>
        <w:t xml:space="preserve">Cliquer sur « Créer » (réservé aux administrateurs).</w:t>
      </w:r>
    </w:p>
    <w:p>
      <w:pPr>
        <w:spacing w:after="120"/>
      </w:pPr>
      <w:r>
        <w:t xml:space="preserve">La table « Périodes enregistrées » liste Période, Année, Trimestre, Statut (OUVERTE ou autre), Date de clôture.</w:t>
      </w:r>
    </w:p>
    <w:p>
      <w:pPr>
        <w:pStyle w:val="Heading2"/>
        <w:spacing w:after="120" w:before="280"/>
      </w:pPr>
      <w:r>
        <w:t xml:space="preserve">15.3 Gestion des Grades &amp; Échelons</w:t>
      </w:r>
    </w:p>
    <w:p>
      <w:pPr>
        <w:spacing w:after="90"/>
        <w:ind w:left="200"/>
      </w:pPr>
      <w:r>
        <w:rPr>
          <w:b/>
          <w:bCs/>
          <w:color w:val="2B529F"/>
        </w:rPr>
        <w:t xml:space="preserve">1. </w:t>
      </w:r>
      <w:r>
        <w:t xml:space="preserve">Cliquer sur « Nouveau Grade ».</w:t>
      </w:r>
    </w:p>
    <w:p>
      <w:pPr>
        <w:spacing w:after="90"/>
        <w:ind w:left="200"/>
      </w:pPr>
      <w:r>
        <w:rPr>
          <w:b/>
          <w:bCs/>
          <w:color w:val="2B529F"/>
        </w:rPr>
        <w:t xml:space="preserve">2. </w:t>
      </w:r>
      <w:r>
        <w:t xml:space="preserve">Renseigner Libellé Grade, Âge de retraite par défaut, Cotisation Annuelle (FCFA).</w:t>
      </w:r>
    </w:p>
    <w:p>
      <w:pPr>
        <w:spacing w:after="90"/>
        <w:ind w:left="200"/>
      </w:pPr>
      <w:r>
        <w:rPr>
          <w:b/>
          <w:bCs/>
          <w:color w:val="2B529F"/>
        </w:rPr>
        <w:t xml:space="preserve">3. </w:t>
      </w:r>
      <w:r>
        <w:t xml:space="preserve">Cliquer sur « Publier l’échelon ».</w:t>
      </w:r>
    </w:p>
    <w:p>
      <w:pPr>
        <w:spacing w:after="120"/>
      </w:pPr>
      <w:r>
        <w:t xml:space="preserve">Un grade existant se modifie via « Modifier » puis « Enregistrer » sur sa ligne.</w:t>
      </w:r>
    </w:p>
    <w:p>
      <w:pPr>
        <w:pStyle w:val="Heading2"/>
        <w:spacing w:after="120" w:before="280"/>
      </w:pPr>
      <w:r>
        <w:t xml:space="preserve">15.4 Paramètres réglementaires versionnés</w:t>
      </w:r>
    </w:p>
    <w:p>
      <w:pPr>
        <w:spacing w:after="120"/>
      </w:pPr>
      <w:r>
        <w:t xml:space="preserve">Historique en lecture seule des versions successives de chaque paramètre : Code Paramètre, Intitulé, Valeur Appliquée, Date de début d'application, Date de fin d'effet, État d'activité (ACTIF/INACTIF). C'est ici que se vérifie qu'un changement de taux a bien pris effet à la bonne date, sans affecter les calculs antérieurs.</w:t>
      </w:r>
    </w:p>
    <w:p>
      <w:pPr>
        <w:pStyle w:val="Heading2"/>
        <w:spacing w:after="120" w:before="280"/>
      </w:pPr>
      <w:r>
        <w:t xml:space="preserve">15.5 Clés de répartition (Santé / Retraite)</w:t>
      </w:r>
    </w:p>
    <w:p>
      <w:pPr>
        <w:spacing w:after="90"/>
        <w:ind w:left="200"/>
      </w:pPr>
      <w:r>
        <w:rPr>
          <w:b/>
          <w:bCs/>
          <w:color w:val="2B529F"/>
        </w:rPr>
        <w:t xml:space="preserve">1. </w:t>
      </w:r>
      <w:r>
        <w:t xml:space="preserve">Cliquer sur « Nouvelle répartition ».</w:t>
      </w:r>
    </w:p>
    <w:p>
      <w:pPr>
        <w:spacing w:after="90"/>
        <w:ind w:left="200"/>
      </w:pPr>
      <w:r>
        <w:rPr>
          <w:b/>
          <w:bCs/>
          <w:color w:val="2B529F"/>
        </w:rPr>
        <w:t xml:space="preserve">2. </w:t>
      </w:r>
      <w:r>
        <w:t xml:space="preserve">Renseigner Date d’effet, Taux Santé (%), Taux Retraite (%), et cocher Actif si applicable.</w:t>
      </w:r>
    </w:p>
    <w:p>
      <w:pPr>
        <w:spacing w:after="90"/>
        <w:ind w:left="200"/>
      </w:pPr>
      <w:r>
        <w:rPr>
          <w:b/>
          <w:bCs/>
          <w:color w:val="2B529F"/>
        </w:rPr>
        <w:t xml:space="preserve">3. </w:t>
      </w:r>
      <w:r>
        <w:t xml:space="preserve">Enregistrer.</w:t>
      </w:r>
    </w:p>
    <w:tbl>
      <w:tblPr>
        <w:tblW w:type="dxa" w:w="9350"/>
        <w:tblBorders>
          <w:top w:val="single" w:color="F59E0B" w:sz="4"/>
          <w:left w:val="single" w:color="F59E0B" w:sz="4"/>
          <w:bottom w:val="single" w:color="F59E0B" w:sz="4"/>
          <w:right w:val="single" w:color="F59E0B" w:sz="4"/>
          <w:insideH w:val="single" w:color="auto" w:sz="4"/>
          <w:insideV w:val="single" w:color="auto" w:sz="4"/>
        </w:tblBorders>
      </w:tblPr>
      <w:tblGrid>
        <w:gridCol w:w="9350"/>
      </w:tblGrid>
      <w:tr>
        <w:tc>
          <w:tcPr>
            <w:tcW w:type="dxa" w:w="9350"/>
            <w:shd w:fill="FEF3C7" w:val="clear"/>
            <w:tcMar>
              <w:top w:type="dxa" w:w="160"/>
              <w:left w:type="dxa" w:w="200"/>
              <w:bottom w:type="dxa" w:w="160"/>
              <w:right w:type="dxa" w:w="200"/>
            </w:tcMar>
          </w:tcPr>
          <w:p>
            <w:r>
              <w:rPr>
                <w:color w:val="B45309"/>
              </w:rPr>
              <w:t xml:space="preserve">⚠ Règle impérative : Taux Santé + Taux Retraite doit être égal exactement à 100. Le tableau met en évidence en rouge toute ligne dont le total s'écarte de 100 %.</w:t>
            </w:r>
          </w:p>
        </w:tc>
      </w:tr>
    </w:tbl>
    <w:p>
      <w:pPr>
        <w:pStyle w:val="Heading2"/>
        <w:spacing w:after="120" w:before="280"/>
      </w:pPr>
      <w:r>
        <w:t xml:space="preserve">15.6 Lois de survie (mortalité)</w:t>
      </w:r>
    </w:p>
    <w:p>
      <w:pPr>
        <w:spacing w:after="120"/>
      </w:pPr>
      <w:r>
        <w:t xml:space="preserve">Table de référence, en lecture seule, avec recherche par âge. « lx » représente le nombre de survivants théoriques à chaque âge, « dx » le nombre de décès sur l'année, « qx » la probabilité actuarielle annuelle de décès — ces valeurs alimentent les calculs de liquidation des rentes.</w:t>
      </w:r>
    </w:p>
    <w:p>
      <w:pPr>
        <w:pStyle w:val="Heading2"/>
        <w:spacing w:after="120" w:before="280"/>
      </w:pPr>
      <w:r>
        <w:t xml:space="preserve">15.7 Référentiels administratifs</w:t>
      </w:r>
    </w:p>
    <w:p>
      <w:pPr>
        <w:spacing w:after="120"/>
      </w:pPr>
      <w:r>
        <w:t xml:space="preserve">Ces référentiels alimentent les listes déroulantes du formulaire adhérent et des bénéficiaires. Cinq listes sont gérables de façon identique : Civilités, Situations matrimoniales, Emplois, Liens bénéficiaires, Fonctions.</w:t>
      </w:r>
    </w:p>
    <w:p>
      <w:pPr>
        <w:spacing w:after="90"/>
        <w:ind w:left="200"/>
      </w:pPr>
      <w:r>
        <w:rPr>
          <w:b/>
          <w:bCs/>
          <w:color w:val="2B529F"/>
        </w:rPr>
        <w:t xml:space="preserve">1. </w:t>
      </w:r>
      <w:r>
        <w:t xml:space="preserve">Cliquer sur « Ajouter » pour une nouvelle entrée (libellé + case Actif).</w:t>
      </w:r>
    </w:p>
    <w:p>
      <w:pPr>
        <w:spacing w:after="90"/>
        <w:ind w:left="200"/>
      </w:pPr>
      <w:r>
        <w:rPr>
          <w:b/>
          <w:bCs/>
          <w:color w:val="2B529F"/>
        </w:rPr>
        <w:t xml:space="preserve">2. </w:t>
      </w:r>
      <w:r>
        <w:t xml:space="preserve">Cliquer sur « Créer ».</w:t>
      </w:r>
    </w:p>
    <w:p>
      <w:pPr>
        <w:spacing w:after="120"/>
      </w:pPr>
      <w:r>
        <w:t xml:space="preserve">Pour une entrée existante : « Modifier » puis « Enregistrer » ou « Annuler ».</w:t>
      </w:r>
    </w:p>
    <w:tbl>
      <w:tblPr>
        <w:tblW w:type="dxa" w:w="9350"/>
        <w:tblBorders>
          <w:top w:val="single" w:color="F59E0B" w:sz="4"/>
          <w:left w:val="single" w:color="F59E0B" w:sz="4"/>
          <w:bottom w:val="single" w:color="F59E0B" w:sz="4"/>
          <w:right w:val="single" w:color="F59E0B" w:sz="4"/>
          <w:insideH w:val="single" w:color="auto" w:sz="4"/>
          <w:insideV w:val="single" w:color="auto" w:sz="4"/>
        </w:tblBorders>
      </w:tblPr>
      <w:tblGrid>
        <w:gridCol w:w="9350"/>
      </w:tblGrid>
      <w:tr>
        <w:tc>
          <w:tcPr>
            <w:tcW w:type="dxa" w:w="9350"/>
            <w:shd w:fill="FEF3C7" w:val="clear"/>
            <w:tcMar>
              <w:top w:type="dxa" w:w="160"/>
              <w:left w:type="dxa" w:w="200"/>
              <w:bottom w:type="dxa" w:w="160"/>
              <w:right w:type="dxa" w:w="200"/>
            </w:tcMar>
          </w:tcPr>
          <w:p>
            <w:r>
              <w:rPr>
                <w:color w:val="B45309"/>
              </w:rPr>
              <w:t xml:space="preserve">⚠ Vérifier que ces référentiels sont bien renseignés avant de saisir des adhérents : un référentiel vide empêche l'enregistrement d'une fiche (chapitre 5.2).</w:t>
            </w:r>
          </w:p>
        </w:tc>
      </w:tr>
    </w:tbl>
    <w:p>
      <w:r>
        <w:br w:type="page"/>
      </w:r>
    </w:p>
    <w:p>
      <w:pPr>
        <w:pStyle w:val="Heading1"/>
        <w:spacing w:after="160" w:before="360"/>
      </w:pPr>
      <w:r>
        <w:t xml:space="preserve">16. Utilisateurs et accès</w:t>
      </w:r>
    </w:p>
    <w:tbl>
      <w:tblPr>
        <w:tblW w:type="dxa" w:w="4000"/>
        <w:tblBorders>
          <w:top w:val="single" w:color="CBD5E1" w:sz="4"/>
          <w:left w:val="single" w:color="CBD5E1" w:sz="4"/>
          <w:bottom w:val="single" w:color="CBD5E1" w:sz="4"/>
          <w:right w:val="single" w:color="CBD5E1" w:sz="4"/>
          <w:insideH w:val="single" w:color="auto" w:sz="4"/>
          <w:insideV w:val="single" w:color="auto" w:sz="4"/>
        </w:tblBorders>
      </w:tblPr>
      <w:tblGrid>
        <w:gridCol w:w="4000"/>
      </w:tblGrid>
      <w:tr>
        <w:tc>
          <w:tcPr>
            <w:tcW w:type="dxa" w:w="4000"/>
            <w:shd w:fill="EFF4FB" w:val="clear"/>
            <w:tcMar>
              <w:top w:type="dxa" w:w="80"/>
              <w:left w:type="dxa" w:w="160"/>
              <w:bottom w:type="dxa" w:w="80"/>
              <w:right w:type="dxa" w:w="160"/>
            </w:tcMar>
          </w:tcPr>
          <w:p>
            <w:r>
              <w:rPr>
                <w:b/>
                <w:bCs/>
                <w:color w:val="1F3B73"/>
                <w:sz w:val="19"/>
                <w:szCs w:val="19"/>
              </w:rPr>
              <w:t xml:space="preserve">Accès : Administrateur, Superadministrateur</w:t>
            </w:r>
          </w:p>
        </w:tc>
      </w:tr>
    </w:tbl>
    <w:p>
      <w:pPr>
        <w:spacing w:after="160"/>
      </w:pPr>
    </w:p>
    <w:p>
      <w:pPr>
        <w:spacing w:after="120"/>
      </w:pPr>
      <w:r>
        <w:t xml:space="preserve">Cet écran gère les comptes de connexion à l’application (distincts des dossiers adhérents) et leurs rôles.</w:t>
      </w:r>
    </w:p>
    <w:p>
      <w:pPr>
        <w:pStyle w:val="Heading2"/>
        <w:spacing w:after="120" w:before="280"/>
      </w:pPr>
      <w:r>
        <w:t xml:space="preserve">16.1 Vue d’ensemble</w:t>
      </w:r>
    </w:p>
    <w:p>
      <w:pPr>
        <w:spacing w:after="120"/>
      </w:pPr>
      <w:r>
        <w:t xml:space="preserve">Trois compteurs en haut de page : Utilisateurs (total), Comptes actifs, Superadmins. Filtres : Recherche (matricule/email/téléphone), Profil (Tous les profils, Adherent, Gestionnaire, Superadmin), Statut (Tous, Actifs, Desactives).</w:t>
      </w:r>
    </w:p>
    <w:p>
      <w:pPr>
        <w:pStyle w:val="Heading2"/>
        <w:spacing w:after="120" w:before="280"/>
      </w:pPr>
      <w:r>
        <w:t xml:space="preserve">16.2 Créer un accès</w:t>
      </w:r>
    </w:p>
    <w:p>
      <w:pPr>
        <w:spacing w:after="90"/>
        <w:ind w:left="200"/>
      </w:pPr>
      <w:r>
        <w:rPr>
          <w:b/>
          <w:bCs/>
          <w:color w:val="2B529F"/>
        </w:rPr>
        <w:t xml:space="preserve">1. </w:t>
      </w:r>
      <w:r>
        <w:t xml:space="preserve">Cliquer sur « Nouvel acces ».</w:t>
      </w:r>
    </w:p>
    <w:p>
      <w:pPr>
        <w:spacing w:after="90"/>
        <w:ind w:left="200"/>
      </w:pPr>
      <w:r>
        <w:rPr>
          <w:b/>
          <w:bCs/>
          <w:color w:val="2B529F"/>
        </w:rPr>
        <w:t xml:space="preserve">2. </w:t>
      </w:r>
      <w:r>
        <w:t xml:space="preserve">Renseigner Matricule, Email, Mot de passe, Profil (Adherent, Gestionnaire, Superadmin), Telephone.</w:t>
      </w:r>
    </w:p>
    <w:p>
      <w:pPr>
        <w:spacing w:after="90"/>
        <w:ind w:left="200"/>
      </w:pPr>
      <w:r>
        <w:rPr>
          <w:b/>
          <w:bCs/>
          <w:color w:val="2B529F"/>
        </w:rPr>
        <w:t xml:space="preserve">3. </w:t>
      </w:r>
      <w:r>
        <w:t xml:space="preserve">Si le profil choisi est « Adherent », renseigner éventuellement « ID adherent lie » (sinon rattachement automatique).</w:t>
      </w:r>
    </w:p>
    <w:p>
      <w:pPr>
        <w:spacing w:after="90"/>
        <w:ind w:left="200"/>
      </w:pPr>
      <w:r>
        <w:rPr>
          <w:b/>
          <w:bCs/>
          <w:color w:val="2B529F"/>
        </w:rPr>
        <w:t xml:space="preserve">4. </w:t>
      </w:r>
      <w:r>
        <w:t xml:space="preserve">Cocher « Compte actif » si le compte doit être utilisable immédiatement.</w:t>
      </w:r>
    </w:p>
    <w:p>
      <w:pPr>
        <w:spacing w:after="90"/>
        <w:ind w:left="200"/>
      </w:pPr>
      <w:r>
        <w:rPr>
          <w:b/>
          <w:bCs/>
          <w:color w:val="2B529F"/>
        </w:rPr>
        <w:t xml:space="preserve">5. </w:t>
      </w:r>
      <w:r>
        <w:t xml:space="preserve">Cliquer sur « Enregistrer ».</w:t>
      </w:r>
    </w:p>
    <w:tbl>
      <w:tblPr>
        <w:tblW w:type="dxa" w:w="9350"/>
        <w:tblBorders>
          <w:top w:val="single" w:color="F59E0B" w:sz="4"/>
          <w:left w:val="single" w:color="F59E0B" w:sz="4"/>
          <w:bottom w:val="single" w:color="F59E0B" w:sz="4"/>
          <w:right w:val="single" w:color="F59E0B" w:sz="4"/>
          <w:insideH w:val="single" w:color="auto" w:sz="4"/>
          <w:insideV w:val="single" w:color="auto" w:sz="4"/>
        </w:tblBorders>
      </w:tblPr>
      <w:tblGrid>
        <w:gridCol w:w="9350"/>
      </w:tblGrid>
      <w:tr>
        <w:tc>
          <w:tcPr>
            <w:tcW w:type="dxa" w:w="9350"/>
            <w:shd w:fill="FEF3C7" w:val="clear"/>
            <w:tcMar>
              <w:top w:type="dxa" w:w="160"/>
              <w:left w:type="dxa" w:w="200"/>
              <w:bottom w:type="dxa" w:w="160"/>
              <w:right w:type="dxa" w:w="200"/>
            </w:tcMar>
          </w:tcPr>
          <w:p>
            <w:r>
              <w:rPr>
                <w:color w:val="B45309"/>
              </w:rPr>
              <w:t xml:space="preserve">⚠ Le mot de passe est obligatoire à la création et doit respecter la politique de sécurité (8 caractères minimum, règles affichées à l'écran).</w:t>
            </w:r>
          </w:p>
        </w:tc>
      </w:tr>
    </w:tbl>
    <w:p>
      <w:pPr>
        <w:pStyle w:val="Heading2"/>
        <w:spacing w:after="120" w:before="280"/>
      </w:pPr>
      <w:r>
        <w:t xml:space="preserve">16.3 Modifier ou désactiver un accès</w:t>
      </w:r>
    </w:p>
    <w:p>
      <w:pPr>
        <w:spacing w:after="90"/>
        <w:ind w:left="200"/>
      </w:pPr>
      <w:r>
        <w:rPr>
          <w:b/>
          <w:bCs/>
          <w:color w:val="2B529F"/>
        </w:rPr>
        <w:t xml:space="preserve">1. </w:t>
      </w:r>
      <w:r>
        <w:t xml:space="preserve">Cliquer sur « Modifier » sur la ligne du compte concerné.</w:t>
      </w:r>
    </w:p>
    <w:p>
      <w:pPr>
        <w:spacing w:after="90"/>
        <w:ind w:left="200"/>
      </w:pPr>
      <w:r>
        <w:rPr>
          <w:b/>
          <w:bCs/>
          <w:color w:val="2B529F"/>
        </w:rPr>
        <w:t xml:space="preserve">2. </w:t>
      </w:r>
      <w:r>
        <w:t xml:space="preserve">Le champ Matricule n'est plus modifiable une fois le compte créé.</w:t>
      </w:r>
    </w:p>
    <w:p>
      <w:pPr>
        <w:spacing w:after="90"/>
        <w:ind w:left="200"/>
      </w:pPr>
      <w:r>
        <w:rPr>
          <w:b/>
          <w:bCs/>
          <w:color w:val="2B529F"/>
        </w:rPr>
        <w:t xml:space="preserve">3. </w:t>
      </w:r>
      <w:r>
        <w:t xml:space="preserve">Laisser le champ « Nouveau mot de passe » vide pour conserver l'ancien, ou saisir un nouveau mot de passe conforme à la politique de sécurité.</w:t>
      </w:r>
    </w:p>
    <w:p>
      <w:pPr>
        <w:spacing w:after="90"/>
        <w:ind w:left="200"/>
      </w:pPr>
      <w:r>
        <w:rPr>
          <w:b/>
          <w:bCs/>
          <w:color w:val="2B529F"/>
        </w:rPr>
        <w:t xml:space="preserve">4. </w:t>
      </w:r>
      <w:r>
        <w:t xml:space="preserve">Pour désactiver le compte, décocher « Compte actif » puis « Enregistrer ».</w:t>
      </w:r>
    </w:p>
    <w:tbl>
      <w:tblPr>
        <w:tblW w:type="dxa" w:w="9350"/>
        <w:tblBorders>
          <w:top w:val="single" w:color="F59E0B" w:sz="4"/>
          <w:left w:val="single" w:color="F59E0B" w:sz="4"/>
          <w:bottom w:val="single" w:color="F59E0B" w:sz="4"/>
          <w:right w:val="single" w:color="F59E0B" w:sz="4"/>
          <w:insideH w:val="single" w:color="auto" w:sz="4"/>
          <w:insideV w:val="single" w:color="auto" w:sz="4"/>
        </w:tblBorders>
      </w:tblPr>
      <w:tblGrid>
        <w:gridCol w:w="9350"/>
      </w:tblGrid>
      <w:tr>
        <w:tc>
          <w:tcPr>
            <w:tcW w:type="dxa" w:w="9350"/>
            <w:shd w:fill="FEF3C7" w:val="clear"/>
            <w:tcMar>
              <w:top w:type="dxa" w:w="160"/>
              <w:left w:type="dxa" w:w="200"/>
              <w:bottom w:type="dxa" w:w="160"/>
              <w:right w:type="dxa" w:w="200"/>
            </w:tcMar>
          </w:tcPr>
          <w:p>
            <w:r>
              <w:rPr>
                <w:color w:val="B45309"/>
              </w:rPr>
              <w:t xml:space="preserve">⚠ Il n'existe pas de bouton « Désactiver » direct dans la liste : la désactivation se fait uniquement via « Modifier ». Un administrateur ne peut pas modifier son propre profil ni désactiver son propre compte depuis cet écran.</w:t>
            </w:r>
          </w:p>
        </w:tc>
      </w:tr>
    </w:tbl>
    <w:p>
      <w:pPr>
        <w:pStyle w:val="Heading2"/>
        <w:spacing w:after="120" w:before="280"/>
      </w:pPr>
      <w:r>
        <w:t xml:space="preserve">16.4 Colonnes de la liste</w:t>
      </w:r>
    </w:p>
    <w:p>
      <w:pPr>
        <w:spacing w:after="120"/>
      </w:pPr>
      <w:r>
        <w:t xml:space="preserve">Matricule, Profil, Statut (Actif / Desactive), Connexion (Pret / A verifier), Derniere connexion, Rattachement (adhérent lié le cas échéant), Actions.</w:t>
      </w:r>
    </w:p>
    <w:p>
      <w:r>
        <w:br w:type="page"/>
      </w:r>
    </w:p>
    <w:p>
      <w:pPr>
        <w:pStyle w:val="Heading1"/>
        <w:spacing w:after="160" w:before="360"/>
      </w:pPr>
      <w:r>
        <w:t xml:space="preserve">17. Aide et supports intégrée</w:t>
      </w:r>
    </w:p>
    <w:tbl>
      <w:tblPr>
        <w:tblW w:type="dxa" w:w="4000"/>
        <w:tblBorders>
          <w:top w:val="single" w:color="CBD5E1" w:sz="4"/>
          <w:left w:val="single" w:color="CBD5E1" w:sz="4"/>
          <w:bottom w:val="single" w:color="CBD5E1" w:sz="4"/>
          <w:right w:val="single" w:color="CBD5E1" w:sz="4"/>
          <w:insideH w:val="single" w:color="auto" w:sz="4"/>
          <w:insideV w:val="single" w:color="auto" w:sz="4"/>
        </w:tblBorders>
      </w:tblPr>
      <w:tblGrid>
        <w:gridCol w:w="4000"/>
      </w:tblGrid>
      <w:tr>
        <w:tc>
          <w:tcPr>
            <w:tcW w:type="dxa" w:w="4000"/>
            <w:shd w:fill="EFF4FB" w:val="clear"/>
            <w:tcMar>
              <w:top w:type="dxa" w:w="80"/>
              <w:left w:type="dxa" w:w="160"/>
              <w:bottom w:type="dxa" w:w="80"/>
              <w:right w:type="dxa" w:w="160"/>
            </w:tcMar>
          </w:tcPr>
          <w:p>
            <w:r>
              <w:rPr>
                <w:b/>
                <w:bCs/>
                <w:color w:val="1F3B73"/>
                <w:sz w:val="19"/>
                <w:szCs w:val="19"/>
              </w:rPr>
              <w:t xml:space="preserve">Accès : Gestionnaire, Administrateur, Superadministrateur</w:t>
            </w:r>
          </w:p>
        </w:tc>
      </w:tr>
    </w:tbl>
    <w:p>
      <w:pPr>
        <w:spacing w:after="160"/>
      </w:pPr>
    </w:p>
    <w:p>
      <w:pPr>
        <w:spacing w:after="120"/>
      </w:pPr>
      <w:r>
        <w:t xml:space="preserve">Le menu « Aide &amp; Supports » de l’application donne un accès direct à une foire aux questions organisée par rôle (Gestionnaire ESR, Administrateur, Clôture mensuelle, Superadministrateur), un rappel des contrôles communs, et les coordonnées du support technique.</w:t>
      </w:r>
    </w:p>
    <w:tbl>
      <w:tblPr>
        <w:tblW w:type="dxa" w:w="9350"/>
        <w:tblBorders>
          <w:top w:val="single" w:color="22C55E" w:sz="4"/>
          <w:left w:val="single" w:color="22C55E" w:sz="4"/>
          <w:bottom w:val="single" w:color="22C55E" w:sz="4"/>
          <w:right w:val="single" w:color="22C55E" w:sz="4"/>
          <w:insideH w:val="single" w:color="auto" w:sz="4"/>
          <w:insideV w:val="single" w:color="auto" w:sz="4"/>
        </w:tblBorders>
      </w:tblPr>
      <w:tblGrid>
        <w:gridCol w:w="9350"/>
      </w:tblGrid>
      <w:tr>
        <w:tc>
          <w:tcPr>
            <w:tcW w:type="dxa" w:w="9350"/>
            <w:shd w:fill="DCFCE7" w:val="clear"/>
            <w:tcMar>
              <w:top w:type="dxa" w:w="160"/>
              <w:left w:type="dxa" w:w="200"/>
              <w:bottom w:type="dxa" w:w="160"/>
              <w:right w:type="dxa" w:w="200"/>
            </w:tcMar>
          </w:tcPr>
          <w:p>
            <w:r>
              <w:rPr>
                <w:color w:val="15803D"/>
              </w:rPr>
              <w:t xml:space="preserve">✅ La section correspondant au rôle de l'utilisateur connecté s'ouvre automatiquement à l'arrivée sur l'écran.</w:t>
            </w:r>
          </w:p>
        </w:tc>
      </w:tr>
    </w:tbl>
    <w:p>
      <w:r>
        <w:br w:type="page"/>
      </w:r>
    </w:p>
    <w:p>
      <w:pPr>
        <w:pStyle w:val="Heading1"/>
        <w:spacing w:after="160" w:before="360"/>
      </w:pPr>
      <w:r>
        <w:t xml:space="preserve">Annexe A — Récapitulatif des statuts et cycles de vie</w:t>
      </w:r>
    </w:p>
    <w:p>
      <w:pPr>
        <w:pStyle w:val="Heading2"/>
        <w:spacing w:after="120" w:before="280"/>
      </w:pPr>
      <w:r>
        <w:t xml:space="preserve">Adhésion en ligne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2B529F" w:val="clear"/>
            <w:tcMar>
              <w:top w:type="dxa" w:w="100"/>
              <w:left w:type="dxa" w:w="120"/>
              <w:bottom w:type="dxa" w:w="100"/>
              <w:right w:type="dxa" w:w="120"/>
            </w:tcMar>
            <w:vAlign w:val="center"/>
          </w:tcPr>
          <w:p>
            <w:r>
              <w:rPr>
                <w:b/>
                <w:bCs/>
                <w:color w:val="FFFFFF"/>
                <w:sz w:val="19"/>
                <w:szCs w:val="19"/>
              </w:rPr>
              <w:t xml:space="preserve">Statut</w:t>
            </w:r>
          </w:p>
        </w:tc>
        <w:tc>
          <w:tcPr>
            <w:tcW w:type="dxa" w:w="6300"/>
            <w:shd w:fill="2B529F" w:val="clear"/>
            <w:tcMar>
              <w:top w:type="dxa" w:w="100"/>
              <w:left w:type="dxa" w:w="120"/>
              <w:bottom w:type="dxa" w:w="100"/>
              <w:right w:type="dxa" w:w="120"/>
            </w:tcMar>
            <w:vAlign w:val="center"/>
          </w:tcPr>
          <w:p>
            <w:r>
              <w:rPr>
                <w:b/>
                <w:bCs/>
                <w:color w:val="FFFFFF"/>
                <w:sz w:val="19"/>
                <w:szCs w:val="19"/>
              </w:rPr>
              <w:t xml:space="preserve">Signification</w:t>
            </w:r>
          </w:p>
        </w:tc>
      </w:tr>
      <w:tr>
        <w:tc>
          <w:tcPr>
            <w:tcW w:type="dxa" w:w="3000"/>
            <w:tcMar>
              <w:top w:type="dxa" w:w="100"/>
              <w:left w:type="dxa" w:w="120"/>
              <w:bottom w:type="dxa" w:w="100"/>
              <w:right w:type="dxa" w:w="120"/>
            </w:tcMar>
            <w:vAlign w:val="center"/>
          </w:tcPr>
          <w:p>
            <w:r>
              <w:rPr>
                <w:b w:val="false"/>
                <w:bCs w:val="false"/>
                <w:sz w:val="19"/>
                <w:szCs w:val="19"/>
              </w:rPr>
              <w:t xml:space="preserve">EN_ATTENTE</w:t>
            </w:r>
          </w:p>
        </w:tc>
        <w:tc>
          <w:tcPr>
            <w:tcW w:type="dxa" w:w="6300"/>
            <w:tcMar>
              <w:top w:type="dxa" w:w="100"/>
              <w:left w:type="dxa" w:w="120"/>
              <w:bottom w:type="dxa" w:w="100"/>
              <w:right w:type="dxa" w:w="120"/>
            </w:tcMar>
            <w:vAlign w:val="center"/>
          </w:tcPr>
          <w:p>
            <w:r>
              <w:rPr>
                <w:b w:val="false"/>
                <w:bCs w:val="false"/>
                <w:sz w:val="19"/>
                <w:szCs w:val="19"/>
              </w:rPr>
              <w:t xml:space="preserve">Demande déposée, non encore traitée.</w:t>
            </w:r>
          </w:p>
        </w:tc>
      </w:tr>
      <w:tr>
        <w:tc>
          <w:tcPr>
            <w:tcW w:type="dxa" w:w="3000"/>
            <w:shd w:fill="F2F5FA" w:val="clear"/>
            <w:tcMar>
              <w:top w:type="dxa" w:w="100"/>
              <w:left w:type="dxa" w:w="120"/>
              <w:bottom w:type="dxa" w:w="100"/>
              <w:right w:type="dxa" w:w="120"/>
            </w:tcMar>
            <w:vAlign w:val="center"/>
          </w:tcPr>
          <w:p>
            <w:r>
              <w:rPr>
                <w:b w:val="false"/>
                <w:bCs w:val="false"/>
                <w:sz w:val="19"/>
                <w:szCs w:val="19"/>
              </w:rPr>
              <w:t xml:space="preserve">VALIDE</w:t>
            </w:r>
          </w:p>
        </w:tc>
        <w:tc>
          <w:tcPr>
            <w:tcW w:type="dxa" w:w="6300"/>
            <w:shd w:fill="F2F5FA" w:val="clear"/>
            <w:tcMar>
              <w:top w:type="dxa" w:w="100"/>
              <w:left w:type="dxa" w:w="120"/>
              <w:bottom w:type="dxa" w:w="100"/>
              <w:right w:type="dxa" w:w="120"/>
            </w:tcMar>
            <w:vAlign w:val="center"/>
          </w:tcPr>
          <w:p>
            <w:r>
              <w:rPr>
                <w:b w:val="false"/>
                <w:bCs w:val="false"/>
                <w:sz w:val="19"/>
                <w:szCs w:val="19"/>
              </w:rPr>
              <w:t xml:space="preserve">Demande acceptée, adhérent créé.</w:t>
            </w:r>
          </w:p>
        </w:tc>
      </w:tr>
      <w:tr>
        <w:tc>
          <w:tcPr>
            <w:tcW w:type="dxa" w:w="3000"/>
            <w:tcMar>
              <w:top w:type="dxa" w:w="100"/>
              <w:left w:type="dxa" w:w="120"/>
              <w:bottom w:type="dxa" w:w="100"/>
              <w:right w:type="dxa" w:w="120"/>
            </w:tcMar>
            <w:vAlign w:val="center"/>
          </w:tcPr>
          <w:p>
            <w:r>
              <w:rPr>
                <w:b w:val="false"/>
                <w:bCs w:val="false"/>
                <w:sz w:val="19"/>
                <w:szCs w:val="19"/>
              </w:rPr>
              <w:t xml:space="preserve">REJETE</w:t>
            </w:r>
          </w:p>
        </w:tc>
        <w:tc>
          <w:tcPr>
            <w:tcW w:type="dxa" w:w="6300"/>
            <w:tcMar>
              <w:top w:type="dxa" w:w="100"/>
              <w:left w:type="dxa" w:w="120"/>
              <w:bottom w:type="dxa" w:w="100"/>
              <w:right w:type="dxa" w:w="120"/>
            </w:tcMar>
            <w:vAlign w:val="center"/>
          </w:tcPr>
          <w:p>
            <w:r>
              <w:rPr>
                <w:b w:val="false"/>
                <w:bCs w:val="false"/>
                <w:sz w:val="19"/>
                <w:szCs w:val="19"/>
              </w:rPr>
              <w:t xml:space="preserve">Demande refusée avec motif.</w:t>
            </w:r>
          </w:p>
        </w:tc>
      </w:tr>
    </w:tbl>
    <w:p>
      <w:pPr>
        <w:spacing w:after="160"/>
      </w:pPr>
    </w:p>
    <w:p>
      <w:pPr>
        <w:pStyle w:val="Heading2"/>
        <w:spacing w:after="120" w:before="280"/>
      </w:pPr>
      <w:r>
        <w:t xml:space="preserve">Précompte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2B529F" w:val="clear"/>
            <w:tcMar>
              <w:top w:type="dxa" w:w="100"/>
              <w:left w:type="dxa" w:w="120"/>
              <w:bottom w:type="dxa" w:w="100"/>
              <w:right w:type="dxa" w:w="120"/>
            </w:tcMar>
            <w:vAlign w:val="center"/>
          </w:tcPr>
          <w:p>
            <w:r>
              <w:rPr>
                <w:b/>
                <w:bCs/>
                <w:color w:val="FFFFFF"/>
                <w:sz w:val="19"/>
                <w:szCs w:val="19"/>
              </w:rPr>
              <w:t xml:space="preserve">Statut</w:t>
            </w:r>
          </w:p>
        </w:tc>
        <w:tc>
          <w:tcPr>
            <w:tcW w:type="dxa" w:w="6300"/>
            <w:shd w:fill="2B529F" w:val="clear"/>
            <w:tcMar>
              <w:top w:type="dxa" w:w="100"/>
              <w:left w:type="dxa" w:w="120"/>
              <w:bottom w:type="dxa" w:w="100"/>
              <w:right w:type="dxa" w:w="120"/>
            </w:tcMar>
            <w:vAlign w:val="center"/>
          </w:tcPr>
          <w:p>
            <w:r>
              <w:rPr>
                <w:b/>
                <w:bCs/>
                <w:color w:val="FFFFFF"/>
                <w:sz w:val="19"/>
                <w:szCs w:val="19"/>
              </w:rPr>
              <w:t xml:space="preserve">Signification</w:t>
            </w:r>
          </w:p>
        </w:tc>
      </w:tr>
      <w:tr>
        <w:tc>
          <w:tcPr>
            <w:tcW w:type="dxa" w:w="3000"/>
            <w:tcMar>
              <w:top w:type="dxa" w:w="100"/>
              <w:left w:type="dxa" w:w="120"/>
              <w:bottom w:type="dxa" w:w="100"/>
              <w:right w:type="dxa" w:w="120"/>
            </w:tcMar>
            <w:vAlign w:val="center"/>
          </w:tcPr>
          <w:p>
            <w:r>
              <w:rPr>
                <w:b w:val="false"/>
                <w:bCs w:val="false"/>
                <w:sz w:val="19"/>
                <w:szCs w:val="19"/>
              </w:rPr>
              <w:t xml:space="preserve">GENERE</w:t>
            </w:r>
          </w:p>
        </w:tc>
        <w:tc>
          <w:tcPr>
            <w:tcW w:type="dxa" w:w="6300"/>
            <w:tcMar>
              <w:top w:type="dxa" w:w="100"/>
              <w:left w:type="dxa" w:w="120"/>
              <w:bottom w:type="dxa" w:w="100"/>
              <w:right w:type="dxa" w:w="120"/>
            </w:tcMar>
            <w:vAlign w:val="center"/>
          </w:tcPr>
          <w:p>
            <w:r>
              <w:rPr>
                <w:b w:val="false"/>
                <w:bCs w:val="false"/>
                <w:sz w:val="19"/>
                <w:szCs w:val="19"/>
              </w:rPr>
              <w:t xml:space="preserve">En attente du retour DGI.</w:t>
            </w:r>
          </w:p>
        </w:tc>
      </w:tr>
      <w:tr>
        <w:tc>
          <w:tcPr>
            <w:tcW w:type="dxa" w:w="3000"/>
            <w:shd w:fill="F2F5FA" w:val="clear"/>
            <w:tcMar>
              <w:top w:type="dxa" w:w="100"/>
              <w:left w:type="dxa" w:w="120"/>
              <w:bottom w:type="dxa" w:w="100"/>
              <w:right w:type="dxa" w:w="120"/>
            </w:tcMar>
            <w:vAlign w:val="center"/>
          </w:tcPr>
          <w:p>
            <w:r>
              <w:rPr>
                <w:b w:val="false"/>
                <w:bCs w:val="false"/>
                <w:sz w:val="19"/>
                <w:szCs w:val="19"/>
              </w:rPr>
              <w:t xml:space="preserve">INITIE</w:t>
            </w:r>
          </w:p>
        </w:tc>
        <w:tc>
          <w:tcPr>
            <w:tcW w:type="dxa" w:w="6300"/>
            <w:shd w:fill="F2F5FA" w:val="clear"/>
            <w:tcMar>
              <w:top w:type="dxa" w:w="100"/>
              <w:left w:type="dxa" w:w="120"/>
              <w:bottom w:type="dxa" w:w="100"/>
              <w:right w:type="dxa" w:w="120"/>
            </w:tcMar>
            <w:vAlign w:val="center"/>
          </w:tcPr>
          <w:p>
            <w:r>
              <w:rPr>
                <w:b w:val="false"/>
                <w:bCs w:val="false"/>
                <w:sz w:val="19"/>
                <w:szCs w:val="19"/>
              </w:rPr>
              <w:t xml:space="preserve">Ligne initiée.</w:t>
            </w:r>
          </w:p>
        </w:tc>
      </w:tr>
      <w:tr>
        <w:tc>
          <w:tcPr>
            <w:tcW w:type="dxa" w:w="3000"/>
            <w:tcMar>
              <w:top w:type="dxa" w:w="100"/>
              <w:left w:type="dxa" w:w="120"/>
              <w:bottom w:type="dxa" w:w="100"/>
              <w:right w:type="dxa" w:w="120"/>
            </w:tcMar>
            <w:vAlign w:val="center"/>
          </w:tcPr>
          <w:p>
            <w:r>
              <w:rPr>
                <w:b w:val="false"/>
                <w:bCs w:val="false"/>
                <w:sz w:val="19"/>
                <w:szCs w:val="19"/>
              </w:rPr>
              <w:t xml:space="preserve">ENCAISSE</w:t>
            </w:r>
          </w:p>
        </w:tc>
        <w:tc>
          <w:tcPr>
            <w:tcW w:type="dxa" w:w="6300"/>
            <w:tcMar>
              <w:top w:type="dxa" w:w="100"/>
              <w:left w:type="dxa" w:w="120"/>
              <w:bottom w:type="dxa" w:w="100"/>
              <w:right w:type="dxa" w:w="120"/>
            </w:tcMar>
            <w:vAlign w:val="center"/>
          </w:tcPr>
          <w:p>
            <w:r>
              <w:rPr>
                <w:b w:val="false"/>
                <w:bCs w:val="false"/>
                <w:sz w:val="19"/>
                <w:szCs w:val="19"/>
              </w:rPr>
              <w:t xml:space="preserve">Montant conforme rapproché.</w:t>
            </w:r>
          </w:p>
        </w:tc>
      </w:tr>
      <w:tr>
        <w:tc>
          <w:tcPr>
            <w:tcW w:type="dxa" w:w="3000"/>
            <w:shd w:fill="F2F5FA" w:val="clear"/>
            <w:tcMar>
              <w:top w:type="dxa" w:w="100"/>
              <w:left w:type="dxa" w:w="120"/>
              <w:bottom w:type="dxa" w:w="100"/>
              <w:right w:type="dxa" w:w="120"/>
            </w:tcMar>
            <w:vAlign w:val="center"/>
          </w:tcPr>
          <w:p>
            <w:r>
              <w:rPr>
                <w:b w:val="false"/>
                <w:bCs w:val="false"/>
                <w:sz w:val="19"/>
                <w:szCs w:val="19"/>
              </w:rPr>
              <w:t xml:space="preserve">PARTIEL</w:t>
            </w:r>
          </w:p>
        </w:tc>
        <w:tc>
          <w:tcPr>
            <w:tcW w:type="dxa" w:w="6300"/>
            <w:shd w:fill="F2F5FA" w:val="clear"/>
            <w:tcMar>
              <w:top w:type="dxa" w:w="100"/>
              <w:left w:type="dxa" w:w="120"/>
              <w:bottom w:type="dxa" w:w="100"/>
              <w:right w:type="dxa" w:w="120"/>
            </w:tcMar>
            <w:vAlign w:val="center"/>
          </w:tcPr>
          <w:p>
            <w:r>
              <w:rPr>
                <w:b w:val="false"/>
                <w:bCs w:val="false"/>
                <w:sz w:val="19"/>
                <w:szCs w:val="19"/>
              </w:rPr>
              <w:t xml:space="preserve">Montant reçu partiel.</w:t>
            </w:r>
          </w:p>
        </w:tc>
      </w:tr>
      <w:tr>
        <w:tc>
          <w:tcPr>
            <w:tcW w:type="dxa" w:w="3000"/>
            <w:tcMar>
              <w:top w:type="dxa" w:w="100"/>
              <w:left w:type="dxa" w:w="120"/>
              <w:bottom w:type="dxa" w:w="100"/>
              <w:right w:type="dxa" w:w="120"/>
            </w:tcMar>
            <w:vAlign w:val="center"/>
          </w:tcPr>
          <w:p>
            <w:r>
              <w:rPr>
                <w:b w:val="false"/>
                <w:bCs w:val="false"/>
                <w:sz w:val="19"/>
                <w:szCs w:val="19"/>
              </w:rPr>
              <w:t xml:space="preserve">REJETE</w:t>
            </w:r>
          </w:p>
        </w:tc>
        <w:tc>
          <w:tcPr>
            <w:tcW w:type="dxa" w:w="6300"/>
            <w:tcMar>
              <w:top w:type="dxa" w:w="100"/>
              <w:left w:type="dxa" w:w="120"/>
              <w:bottom w:type="dxa" w:w="100"/>
              <w:right w:type="dxa" w:w="120"/>
            </w:tcMar>
            <w:vAlign w:val="center"/>
          </w:tcPr>
          <w:p>
            <w:r>
              <w:rPr>
                <w:b w:val="false"/>
                <w:bCs w:val="false"/>
                <w:sz w:val="19"/>
                <w:szCs w:val="19"/>
              </w:rPr>
              <w:t xml:space="preserve">Rejeté par la DGI.</w:t>
            </w:r>
          </w:p>
        </w:tc>
      </w:tr>
      <w:tr>
        <w:tc>
          <w:tcPr>
            <w:tcW w:type="dxa" w:w="3000"/>
            <w:shd w:fill="F2F5FA" w:val="clear"/>
            <w:tcMar>
              <w:top w:type="dxa" w:w="100"/>
              <w:left w:type="dxa" w:w="120"/>
              <w:bottom w:type="dxa" w:w="100"/>
              <w:right w:type="dxa" w:w="120"/>
            </w:tcMar>
            <w:vAlign w:val="center"/>
          </w:tcPr>
          <w:p>
            <w:r>
              <w:rPr>
                <w:b w:val="false"/>
                <w:bCs w:val="false"/>
                <w:sz w:val="19"/>
                <w:szCs w:val="19"/>
              </w:rPr>
              <w:t xml:space="preserve">ECART</w:t>
            </w:r>
          </w:p>
        </w:tc>
        <w:tc>
          <w:tcPr>
            <w:tcW w:type="dxa" w:w="6300"/>
            <w:shd w:fill="F2F5FA" w:val="clear"/>
            <w:tcMar>
              <w:top w:type="dxa" w:w="100"/>
              <w:left w:type="dxa" w:w="120"/>
              <w:bottom w:type="dxa" w:w="100"/>
              <w:right w:type="dxa" w:w="120"/>
            </w:tcMar>
            <w:vAlign w:val="center"/>
          </w:tcPr>
          <w:p>
            <w:r>
              <w:rPr>
                <w:b w:val="false"/>
                <w:bCs w:val="false"/>
                <w:sz w:val="19"/>
                <w:szCs w:val="19"/>
              </w:rPr>
              <w:t xml:space="preserve">Montant différent du prévu.</w:t>
            </w:r>
          </w:p>
        </w:tc>
      </w:tr>
      <w:tr>
        <w:tc>
          <w:tcPr>
            <w:tcW w:type="dxa" w:w="3000"/>
            <w:tcMar>
              <w:top w:type="dxa" w:w="100"/>
              <w:left w:type="dxa" w:w="120"/>
              <w:bottom w:type="dxa" w:w="100"/>
              <w:right w:type="dxa" w:w="120"/>
            </w:tcMar>
            <w:vAlign w:val="center"/>
          </w:tcPr>
          <w:p>
            <w:r>
              <w:rPr>
                <w:b w:val="false"/>
                <w:bCs w:val="false"/>
                <w:sz w:val="19"/>
                <w:szCs w:val="19"/>
              </w:rPr>
              <w:t xml:space="preserve">NON_PRECOMPTE</w:t>
            </w:r>
          </w:p>
        </w:tc>
        <w:tc>
          <w:tcPr>
            <w:tcW w:type="dxa" w:w="6300"/>
            <w:tcMar>
              <w:top w:type="dxa" w:w="100"/>
              <w:left w:type="dxa" w:w="120"/>
              <w:bottom w:type="dxa" w:w="100"/>
              <w:right w:type="dxa" w:w="120"/>
            </w:tcMar>
            <w:vAlign w:val="center"/>
          </w:tcPr>
          <w:p>
            <w:r>
              <w:rPr>
                <w:b w:val="false"/>
                <w:bCs w:val="false"/>
                <w:sz w:val="19"/>
                <w:szCs w:val="19"/>
              </w:rPr>
              <w:t xml:space="preserve">Aucun précompte effectué.</w:t>
            </w:r>
          </w:p>
        </w:tc>
      </w:tr>
      <w:tr>
        <w:tc>
          <w:tcPr>
            <w:tcW w:type="dxa" w:w="3000"/>
            <w:shd w:fill="F2F5FA" w:val="clear"/>
            <w:tcMar>
              <w:top w:type="dxa" w:w="100"/>
              <w:left w:type="dxa" w:w="120"/>
              <w:bottom w:type="dxa" w:w="100"/>
              <w:right w:type="dxa" w:w="120"/>
            </w:tcMar>
            <w:vAlign w:val="center"/>
          </w:tcPr>
          <w:p>
            <w:r>
              <w:rPr>
                <w:b w:val="false"/>
                <w:bCs w:val="false"/>
                <w:sz w:val="19"/>
                <w:szCs w:val="19"/>
              </w:rPr>
              <w:t xml:space="preserve">REPORTE</w:t>
            </w:r>
          </w:p>
        </w:tc>
        <w:tc>
          <w:tcPr>
            <w:tcW w:type="dxa" w:w="6300"/>
            <w:shd w:fill="F2F5FA" w:val="clear"/>
            <w:tcMar>
              <w:top w:type="dxa" w:w="100"/>
              <w:left w:type="dxa" w:w="120"/>
              <w:bottom w:type="dxa" w:w="100"/>
              <w:right w:type="dxa" w:w="120"/>
            </w:tcMar>
            <w:vAlign w:val="center"/>
          </w:tcPr>
          <w:p>
            <w:r>
              <w:rPr>
                <w:b w:val="false"/>
                <w:bCs w:val="false"/>
                <w:sz w:val="19"/>
                <w:szCs w:val="19"/>
              </w:rPr>
              <w:t xml:space="preserve">Régularisation reportée.</w:t>
            </w:r>
          </w:p>
        </w:tc>
      </w:tr>
      <w:tr>
        <w:tc>
          <w:tcPr>
            <w:tcW w:type="dxa" w:w="3000"/>
            <w:tcMar>
              <w:top w:type="dxa" w:w="100"/>
              <w:left w:type="dxa" w:w="120"/>
              <w:bottom w:type="dxa" w:w="100"/>
              <w:right w:type="dxa" w:w="120"/>
            </w:tcMar>
            <w:vAlign w:val="center"/>
          </w:tcPr>
          <w:p>
            <w:r>
              <w:rPr>
                <w:b w:val="false"/>
                <w:bCs w:val="false"/>
                <w:sz w:val="19"/>
                <w:szCs w:val="19"/>
              </w:rPr>
              <w:t xml:space="preserve">REGULARISE</w:t>
            </w:r>
          </w:p>
        </w:tc>
        <w:tc>
          <w:tcPr>
            <w:tcW w:type="dxa" w:w="6300"/>
            <w:tcMar>
              <w:top w:type="dxa" w:w="100"/>
              <w:left w:type="dxa" w:w="120"/>
              <w:bottom w:type="dxa" w:w="100"/>
              <w:right w:type="dxa" w:w="120"/>
            </w:tcMar>
            <w:vAlign w:val="center"/>
          </w:tcPr>
          <w:p>
            <w:r>
              <w:rPr>
                <w:b w:val="false"/>
                <w:bCs w:val="false"/>
                <w:sz w:val="19"/>
                <w:szCs w:val="19"/>
              </w:rPr>
              <w:t xml:space="preserve">Traité par cotisation spontanée.</w:t>
            </w:r>
          </w:p>
        </w:tc>
      </w:tr>
    </w:tbl>
    <w:p>
      <w:pPr>
        <w:spacing w:after="160"/>
      </w:pPr>
    </w:p>
    <w:p>
      <w:pPr>
        <w:pStyle w:val="Heading2"/>
        <w:spacing w:after="120" w:before="280"/>
      </w:pPr>
      <w:r>
        <w:t xml:space="preserve">Prestation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2B529F" w:val="clear"/>
            <w:tcMar>
              <w:top w:type="dxa" w:w="100"/>
              <w:left w:type="dxa" w:w="120"/>
              <w:bottom w:type="dxa" w:w="100"/>
              <w:right w:type="dxa" w:w="120"/>
            </w:tcMar>
            <w:vAlign w:val="center"/>
          </w:tcPr>
          <w:p>
            <w:r>
              <w:rPr>
                <w:b/>
                <w:bCs/>
                <w:color w:val="FFFFFF"/>
                <w:sz w:val="19"/>
                <w:szCs w:val="19"/>
              </w:rPr>
              <w:t xml:space="preserve">Statut</w:t>
            </w:r>
          </w:p>
        </w:tc>
        <w:tc>
          <w:tcPr>
            <w:tcW w:type="dxa" w:w="6300"/>
            <w:shd w:fill="2B529F" w:val="clear"/>
            <w:tcMar>
              <w:top w:type="dxa" w:w="100"/>
              <w:left w:type="dxa" w:w="120"/>
              <w:bottom w:type="dxa" w:w="100"/>
              <w:right w:type="dxa" w:w="120"/>
            </w:tcMar>
            <w:vAlign w:val="center"/>
          </w:tcPr>
          <w:p>
            <w:r>
              <w:rPr>
                <w:b/>
                <w:bCs/>
                <w:color w:val="FFFFFF"/>
                <w:sz w:val="19"/>
                <w:szCs w:val="19"/>
              </w:rPr>
              <w:t xml:space="preserve">Signification</w:t>
            </w:r>
          </w:p>
        </w:tc>
      </w:tr>
      <w:tr>
        <w:tc>
          <w:tcPr>
            <w:tcW w:type="dxa" w:w="3000"/>
            <w:tcMar>
              <w:top w:type="dxa" w:w="100"/>
              <w:left w:type="dxa" w:w="120"/>
              <w:bottom w:type="dxa" w:w="100"/>
              <w:right w:type="dxa" w:w="120"/>
            </w:tcMar>
            <w:vAlign w:val="center"/>
          </w:tcPr>
          <w:p>
            <w:r>
              <w:rPr>
                <w:b w:val="false"/>
                <w:bCs w:val="false"/>
                <w:sz w:val="19"/>
                <w:szCs w:val="19"/>
              </w:rPr>
              <w:t xml:space="preserve">DOSSIER_OUVERT</w:t>
            </w:r>
          </w:p>
        </w:tc>
        <w:tc>
          <w:tcPr>
            <w:tcW w:type="dxa" w:w="6300"/>
            <w:tcMar>
              <w:top w:type="dxa" w:w="100"/>
              <w:left w:type="dxa" w:w="120"/>
              <w:bottom w:type="dxa" w:w="100"/>
              <w:right w:type="dxa" w:w="120"/>
            </w:tcMar>
            <w:vAlign w:val="center"/>
          </w:tcPr>
          <w:p>
            <w:r>
              <w:rPr>
                <w:b w:val="false"/>
                <w:bCs w:val="false"/>
                <w:sz w:val="19"/>
                <w:szCs w:val="19"/>
              </w:rPr>
              <w:t xml:space="preserve">Dossier créé.</w:t>
            </w:r>
          </w:p>
        </w:tc>
      </w:tr>
      <w:tr>
        <w:tc>
          <w:tcPr>
            <w:tcW w:type="dxa" w:w="3000"/>
            <w:shd w:fill="F2F5FA" w:val="clear"/>
            <w:tcMar>
              <w:top w:type="dxa" w:w="100"/>
              <w:left w:type="dxa" w:w="120"/>
              <w:bottom w:type="dxa" w:w="100"/>
              <w:right w:type="dxa" w:w="120"/>
            </w:tcMar>
            <w:vAlign w:val="center"/>
          </w:tcPr>
          <w:p>
            <w:r>
              <w:rPr>
                <w:b w:val="false"/>
                <w:bCs w:val="false"/>
                <w:sz w:val="19"/>
                <w:szCs w:val="19"/>
              </w:rPr>
              <w:t xml:space="preserve">EN_CONTROLE</w:t>
            </w:r>
          </w:p>
        </w:tc>
        <w:tc>
          <w:tcPr>
            <w:tcW w:type="dxa" w:w="6300"/>
            <w:shd w:fill="F2F5FA" w:val="clear"/>
            <w:tcMar>
              <w:top w:type="dxa" w:w="100"/>
              <w:left w:type="dxa" w:w="120"/>
              <w:bottom w:type="dxa" w:w="100"/>
              <w:right w:type="dxa" w:w="120"/>
            </w:tcMar>
            <w:vAlign w:val="center"/>
          </w:tcPr>
          <w:p>
            <w:r>
              <w:rPr>
                <w:b w:val="false"/>
                <w:bCs w:val="false"/>
                <w:sz w:val="19"/>
                <w:szCs w:val="19"/>
              </w:rPr>
              <w:t xml:space="preserve">En cours de contrôle.</w:t>
            </w:r>
          </w:p>
        </w:tc>
      </w:tr>
      <w:tr>
        <w:tc>
          <w:tcPr>
            <w:tcW w:type="dxa" w:w="3000"/>
            <w:tcMar>
              <w:top w:type="dxa" w:w="100"/>
              <w:left w:type="dxa" w:w="120"/>
              <w:bottom w:type="dxa" w:w="100"/>
              <w:right w:type="dxa" w:w="120"/>
            </w:tcMar>
            <w:vAlign w:val="center"/>
          </w:tcPr>
          <w:p>
            <w:r>
              <w:rPr>
                <w:b w:val="false"/>
                <w:bCs w:val="false"/>
                <w:sz w:val="19"/>
                <w:szCs w:val="19"/>
              </w:rPr>
              <w:t xml:space="preserve">VALIDE</w:t>
            </w:r>
          </w:p>
        </w:tc>
        <w:tc>
          <w:tcPr>
            <w:tcW w:type="dxa" w:w="6300"/>
            <w:tcMar>
              <w:top w:type="dxa" w:w="100"/>
              <w:left w:type="dxa" w:w="120"/>
              <w:bottom w:type="dxa" w:w="100"/>
              <w:right w:type="dxa" w:w="120"/>
            </w:tcMar>
            <w:vAlign w:val="center"/>
          </w:tcPr>
          <w:p>
            <w:r>
              <w:rPr>
                <w:b w:val="false"/>
                <w:bCs w:val="false"/>
                <w:sz w:val="19"/>
                <w:szCs w:val="19"/>
              </w:rPr>
              <w:t xml:space="preserve">Contrôle terminé, validé.</w:t>
            </w:r>
          </w:p>
        </w:tc>
      </w:tr>
      <w:tr>
        <w:tc>
          <w:tcPr>
            <w:tcW w:type="dxa" w:w="3000"/>
            <w:shd w:fill="F2F5FA" w:val="clear"/>
            <w:tcMar>
              <w:top w:type="dxa" w:w="100"/>
              <w:left w:type="dxa" w:w="120"/>
              <w:bottom w:type="dxa" w:w="100"/>
              <w:right w:type="dxa" w:w="120"/>
            </w:tcMar>
            <w:vAlign w:val="center"/>
          </w:tcPr>
          <w:p>
            <w:r>
              <w:rPr>
                <w:b w:val="false"/>
                <w:bCs w:val="false"/>
                <w:sz w:val="19"/>
                <w:szCs w:val="19"/>
              </w:rPr>
              <w:t xml:space="preserve">PAYE</w:t>
            </w:r>
          </w:p>
        </w:tc>
        <w:tc>
          <w:tcPr>
            <w:tcW w:type="dxa" w:w="6300"/>
            <w:shd w:fill="F2F5FA" w:val="clear"/>
            <w:tcMar>
              <w:top w:type="dxa" w:w="100"/>
              <w:left w:type="dxa" w:w="120"/>
              <w:bottom w:type="dxa" w:w="100"/>
              <w:right w:type="dxa" w:w="120"/>
            </w:tcMar>
            <w:vAlign w:val="center"/>
          </w:tcPr>
          <w:p>
            <w:r>
              <w:rPr>
                <w:b w:val="false"/>
                <w:bCs w:val="false"/>
                <w:sz w:val="19"/>
                <w:szCs w:val="19"/>
              </w:rPr>
              <w:t xml:space="preserve">Prestation payée.</w:t>
            </w:r>
          </w:p>
        </w:tc>
      </w:tr>
      <w:tr>
        <w:tc>
          <w:tcPr>
            <w:tcW w:type="dxa" w:w="3000"/>
            <w:tcMar>
              <w:top w:type="dxa" w:w="100"/>
              <w:left w:type="dxa" w:w="120"/>
              <w:bottom w:type="dxa" w:w="100"/>
              <w:right w:type="dxa" w:w="120"/>
            </w:tcMar>
            <w:vAlign w:val="center"/>
          </w:tcPr>
          <w:p>
            <w:r>
              <w:rPr>
                <w:b w:val="false"/>
                <w:bCs w:val="false"/>
                <w:sz w:val="19"/>
                <w:szCs w:val="19"/>
              </w:rPr>
              <w:t xml:space="preserve">ANNULE</w:t>
            </w:r>
          </w:p>
        </w:tc>
        <w:tc>
          <w:tcPr>
            <w:tcW w:type="dxa" w:w="6300"/>
            <w:tcMar>
              <w:top w:type="dxa" w:w="100"/>
              <w:left w:type="dxa" w:w="120"/>
              <w:bottom w:type="dxa" w:w="100"/>
              <w:right w:type="dxa" w:w="120"/>
            </w:tcMar>
            <w:vAlign w:val="center"/>
          </w:tcPr>
          <w:p>
            <w:r>
              <w:rPr>
                <w:b w:val="false"/>
                <w:bCs w:val="false"/>
                <w:sz w:val="19"/>
                <w:szCs w:val="19"/>
              </w:rPr>
              <w:t xml:space="preserve">Dossier annulé.</w:t>
            </w:r>
          </w:p>
        </w:tc>
      </w:tr>
    </w:tbl>
    <w:p>
      <w:pPr>
        <w:spacing w:after="160"/>
      </w:pPr>
    </w:p>
    <w:p>
      <w:pPr>
        <w:pStyle w:val="Heading2"/>
        <w:spacing w:after="120" w:before="280"/>
      </w:pPr>
      <w:r>
        <w:t xml:space="preserve">Rachat / Résiliation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2B529F" w:val="clear"/>
            <w:tcMar>
              <w:top w:type="dxa" w:w="100"/>
              <w:left w:type="dxa" w:w="120"/>
              <w:bottom w:type="dxa" w:w="100"/>
              <w:right w:type="dxa" w:w="120"/>
            </w:tcMar>
            <w:vAlign w:val="center"/>
          </w:tcPr>
          <w:p>
            <w:r>
              <w:rPr>
                <w:b/>
                <w:bCs/>
                <w:color w:val="FFFFFF"/>
                <w:sz w:val="19"/>
                <w:szCs w:val="19"/>
              </w:rPr>
              <w:t xml:space="preserve">Statut</w:t>
            </w:r>
          </w:p>
        </w:tc>
        <w:tc>
          <w:tcPr>
            <w:tcW w:type="dxa" w:w="6300"/>
            <w:shd w:fill="2B529F" w:val="clear"/>
            <w:tcMar>
              <w:top w:type="dxa" w:w="100"/>
              <w:left w:type="dxa" w:w="120"/>
              <w:bottom w:type="dxa" w:w="100"/>
              <w:right w:type="dxa" w:w="120"/>
            </w:tcMar>
            <w:vAlign w:val="center"/>
          </w:tcPr>
          <w:p>
            <w:r>
              <w:rPr>
                <w:b/>
                <w:bCs/>
                <w:color w:val="FFFFFF"/>
                <w:sz w:val="19"/>
                <w:szCs w:val="19"/>
              </w:rPr>
              <w:t xml:space="preserve">Signification</w:t>
            </w:r>
          </w:p>
        </w:tc>
      </w:tr>
      <w:tr>
        <w:tc>
          <w:tcPr>
            <w:tcW w:type="dxa" w:w="3000"/>
            <w:tcMar>
              <w:top w:type="dxa" w:w="100"/>
              <w:left w:type="dxa" w:w="120"/>
              <w:bottom w:type="dxa" w:w="100"/>
              <w:right w:type="dxa" w:w="120"/>
            </w:tcMar>
            <w:vAlign w:val="center"/>
          </w:tcPr>
          <w:p>
            <w:r>
              <w:rPr>
                <w:b w:val="false"/>
                <w:bCs w:val="false"/>
                <w:sz w:val="19"/>
                <w:szCs w:val="19"/>
              </w:rPr>
              <w:t xml:space="preserve">DOSSIER_OUVERT</w:t>
            </w:r>
          </w:p>
        </w:tc>
        <w:tc>
          <w:tcPr>
            <w:tcW w:type="dxa" w:w="6300"/>
            <w:tcMar>
              <w:top w:type="dxa" w:w="100"/>
              <w:left w:type="dxa" w:w="120"/>
              <w:bottom w:type="dxa" w:w="100"/>
              <w:right w:type="dxa" w:w="120"/>
            </w:tcMar>
            <w:vAlign w:val="center"/>
          </w:tcPr>
          <w:p>
            <w:r>
              <w:rPr>
                <w:b w:val="false"/>
                <w:bCs w:val="false"/>
                <w:sz w:val="19"/>
                <w:szCs w:val="19"/>
              </w:rPr>
              <w:t xml:space="preserve">Demande créée et calculée.</w:t>
            </w:r>
          </w:p>
        </w:tc>
      </w:tr>
      <w:tr>
        <w:tc>
          <w:tcPr>
            <w:tcW w:type="dxa" w:w="3000"/>
            <w:shd w:fill="F2F5FA" w:val="clear"/>
            <w:tcMar>
              <w:top w:type="dxa" w:w="100"/>
              <w:left w:type="dxa" w:w="120"/>
              <w:bottom w:type="dxa" w:w="100"/>
              <w:right w:type="dxa" w:w="120"/>
            </w:tcMar>
            <w:vAlign w:val="center"/>
          </w:tcPr>
          <w:p>
            <w:r>
              <w:rPr>
                <w:b w:val="false"/>
                <w:bCs w:val="false"/>
                <w:sz w:val="19"/>
                <w:szCs w:val="19"/>
              </w:rPr>
              <w:t xml:space="preserve">EN_CONTROLE</w:t>
            </w:r>
          </w:p>
        </w:tc>
        <w:tc>
          <w:tcPr>
            <w:tcW w:type="dxa" w:w="6300"/>
            <w:shd w:fill="F2F5FA" w:val="clear"/>
            <w:tcMar>
              <w:top w:type="dxa" w:w="100"/>
              <w:left w:type="dxa" w:w="120"/>
              <w:bottom w:type="dxa" w:w="100"/>
              <w:right w:type="dxa" w:w="120"/>
            </w:tcMar>
            <w:vAlign w:val="center"/>
          </w:tcPr>
          <w:p>
            <w:r>
              <w:rPr>
                <w:b w:val="false"/>
                <w:bCs w:val="false"/>
                <w:sz w:val="19"/>
                <w:szCs w:val="19"/>
              </w:rPr>
              <w:t xml:space="preserve">En cours de contrôle.</w:t>
            </w:r>
          </w:p>
        </w:tc>
      </w:tr>
      <w:tr>
        <w:tc>
          <w:tcPr>
            <w:tcW w:type="dxa" w:w="3000"/>
            <w:tcMar>
              <w:top w:type="dxa" w:w="100"/>
              <w:left w:type="dxa" w:w="120"/>
              <w:bottom w:type="dxa" w:w="100"/>
              <w:right w:type="dxa" w:w="120"/>
            </w:tcMar>
            <w:vAlign w:val="center"/>
          </w:tcPr>
          <w:p>
            <w:r>
              <w:rPr>
                <w:b w:val="false"/>
                <w:bCs w:val="false"/>
                <w:sz w:val="19"/>
                <w:szCs w:val="19"/>
              </w:rPr>
              <w:t xml:space="preserve">VALIDE</w:t>
            </w:r>
          </w:p>
        </w:tc>
        <w:tc>
          <w:tcPr>
            <w:tcW w:type="dxa" w:w="6300"/>
            <w:tcMar>
              <w:top w:type="dxa" w:w="100"/>
              <w:left w:type="dxa" w:w="120"/>
              <w:bottom w:type="dxa" w:w="100"/>
              <w:right w:type="dxa" w:w="120"/>
            </w:tcMar>
            <w:vAlign w:val="center"/>
          </w:tcPr>
          <w:p>
            <w:r>
              <w:rPr>
                <w:b w:val="false"/>
                <w:bCs w:val="false"/>
                <w:sz w:val="19"/>
                <w:szCs w:val="19"/>
              </w:rPr>
              <w:t xml:space="preserve">Validé, prêt à payer.</w:t>
            </w:r>
          </w:p>
        </w:tc>
      </w:tr>
      <w:tr>
        <w:tc>
          <w:tcPr>
            <w:tcW w:type="dxa" w:w="3000"/>
            <w:shd w:fill="F2F5FA" w:val="clear"/>
            <w:tcMar>
              <w:top w:type="dxa" w:w="100"/>
              <w:left w:type="dxa" w:w="120"/>
              <w:bottom w:type="dxa" w:w="100"/>
              <w:right w:type="dxa" w:w="120"/>
            </w:tcMar>
            <w:vAlign w:val="center"/>
          </w:tcPr>
          <w:p>
            <w:r>
              <w:rPr>
                <w:b w:val="false"/>
                <w:bCs w:val="false"/>
                <w:sz w:val="19"/>
                <w:szCs w:val="19"/>
              </w:rPr>
              <w:t xml:space="preserve">PAYE</w:t>
            </w:r>
          </w:p>
        </w:tc>
        <w:tc>
          <w:tcPr>
            <w:tcW w:type="dxa" w:w="6300"/>
            <w:shd w:fill="F2F5FA" w:val="clear"/>
            <w:tcMar>
              <w:top w:type="dxa" w:w="100"/>
              <w:left w:type="dxa" w:w="120"/>
              <w:bottom w:type="dxa" w:w="100"/>
              <w:right w:type="dxa" w:w="120"/>
            </w:tcMar>
            <w:vAlign w:val="center"/>
          </w:tcPr>
          <w:p>
            <w:r>
              <w:rPr>
                <w:b w:val="false"/>
                <w:bCs w:val="false"/>
                <w:sz w:val="19"/>
                <w:szCs w:val="19"/>
              </w:rPr>
              <w:t xml:space="preserve">Rachat payé, compte soldé.</w:t>
            </w:r>
          </w:p>
        </w:tc>
      </w:tr>
      <w:tr>
        <w:tc>
          <w:tcPr>
            <w:tcW w:type="dxa" w:w="3000"/>
            <w:tcMar>
              <w:top w:type="dxa" w:w="100"/>
              <w:left w:type="dxa" w:w="120"/>
              <w:bottom w:type="dxa" w:w="100"/>
              <w:right w:type="dxa" w:w="120"/>
            </w:tcMar>
            <w:vAlign w:val="center"/>
          </w:tcPr>
          <w:p>
            <w:r>
              <w:rPr>
                <w:b w:val="false"/>
                <w:bCs w:val="false"/>
                <w:sz w:val="19"/>
                <w:szCs w:val="19"/>
              </w:rPr>
              <w:t xml:space="preserve">REJETE</w:t>
            </w:r>
          </w:p>
        </w:tc>
        <w:tc>
          <w:tcPr>
            <w:tcW w:type="dxa" w:w="6300"/>
            <w:tcMar>
              <w:top w:type="dxa" w:w="100"/>
              <w:left w:type="dxa" w:w="120"/>
              <w:bottom w:type="dxa" w:w="100"/>
              <w:right w:type="dxa" w:w="120"/>
            </w:tcMar>
            <w:vAlign w:val="center"/>
          </w:tcPr>
          <w:p>
            <w:r>
              <w:rPr>
                <w:b w:val="false"/>
                <w:bCs w:val="false"/>
                <w:sz w:val="19"/>
                <w:szCs w:val="19"/>
              </w:rPr>
              <w:t xml:space="preserve">Demande rejetée.</w:t>
            </w:r>
          </w:p>
        </w:tc>
      </w:tr>
      <w:tr>
        <w:tc>
          <w:tcPr>
            <w:tcW w:type="dxa" w:w="3000"/>
            <w:shd w:fill="F2F5FA" w:val="clear"/>
            <w:tcMar>
              <w:top w:type="dxa" w:w="100"/>
              <w:left w:type="dxa" w:w="120"/>
              <w:bottom w:type="dxa" w:w="100"/>
              <w:right w:type="dxa" w:w="120"/>
            </w:tcMar>
            <w:vAlign w:val="center"/>
          </w:tcPr>
          <w:p>
            <w:r>
              <w:rPr>
                <w:b w:val="false"/>
                <w:bCs w:val="false"/>
                <w:sz w:val="19"/>
                <w:szCs w:val="19"/>
              </w:rPr>
              <w:t xml:space="preserve">ANNULE</w:t>
            </w:r>
          </w:p>
        </w:tc>
        <w:tc>
          <w:tcPr>
            <w:tcW w:type="dxa" w:w="6300"/>
            <w:shd w:fill="F2F5FA" w:val="clear"/>
            <w:tcMar>
              <w:top w:type="dxa" w:w="100"/>
              <w:left w:type="dxa" w:w="120"/>
              <w:bottom w:type="dxa" w:w="100"/>
              <w:right w:type="dxa" w:w="120"/>
            </w:tcMar>
            <w:vAlign w:val="center"/>
          </w:tcPr>
          <w:p>
            <w:r>
              <w:rPr>
                <w:b w:val="false"/>
                <w:bCs w:val="false"/>
                <w:sz w:val="19"/>
                <w:szCs w:val="19"/>
              </w:rPr>
              <w:t xml:space="preserve">Dossier annulé.</w:t>
            </w:r>
          </w:p>
        </w:tc>
      </w:tr>
    </w:tbl>
    <w:p>
      <w:pPr>
        <w:spacing w:after="160"/>
      </w:pPr>
    </w:p>
    <w:p>
      <w:pPr>
        <w:pStyle w:val="Heading2"/>
        <w:spacing w:after="120" w:before="280"/>
      </w:pPr>
      <w:r>
        <w:t xml:space="preserve">Échéance APS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2B529F" w:val="clear"/>
            <w:tcMar>
              <w:top w:type="dxa" w:w="100"/>
              <w:left w:type="dxa" w:w="120"/>
              <w:bottom w:type="dxa" w:w="100"/>
              <w:right w:type="dxa" w:w="120"/>
            </w:tcMar>
            <w:vAlign w:val="center"/>
          </w:tcPr>
          <w:p>
            <w:r>
              <w:rPr>
                <w:b/>
                <w:bCs/>
                <w:color w:val="FFFFFF"/>
                <w:sz w:val="19"/>
                <w:szCs w:val="19"/>
              </w:rPr>
              <w:t xml:space="preserve">Statut</w:t>
            </w:r>
          </w:p>
        </w:tc>
        <w:tc>
          <w:tcPr>
            <w:tcW w:type="dxa" w:w="6300"/>
            <w:shd w:fill="2B529F" w:val="clear"/>
            <w:tcMar>
              <w:top w:type="dxa" w:w="100"/>
              <w:left w:type="dxa" w:w="120"/>
              <w:bottom w:type="dxa" w:w="100"/>
              <w:right w:type="dxa" w:w="120"/>
            </w:tcMar>
            <w:vAlign w:val="center"/>
          </w:tcPr>
          <w:p>
            <w:r>
              <w:rPr>
                <w:b/>
                <w:bCs/>
                <w:color w:val="FFFFFF"/>
                <w:sz w:val="19"/>
                <w:szCs w:val="19"/>
              </w:rPr>
              <w:t xml:space="preserve">Signification</w:t>
            </w:r>
          </w:p>
        </w:tc>
      </w:tr>
      <w:tr>
        <w:tc>
          <w:tcPr>
            <w:tcW w:type="dxa" w:w="3000"/>
            <w:tcMar>
              <w:top w:type="dxa" w:w="100"/>
              <w:left w:type="dxa" w:w="120"/>
              <w:bottom w:type="dxa" w:w="100"/>
              <w:right w:type="dxa" w:w="120"/>
            </w:tcMar>
            <w:vAlign w:val="center"/>
          </w:tcPr>
          <w:p>
            <w:r>
              <w:rPr>
                <w:b w:val="false"/>
                <w:bCs w:val="false"/>
                <w:sz w:val="19"/>
                <w:szCs w:val="19"/>
              </w:rPr>
              <w:t xml:space="preserve">GENEREE</w:t>
            </w:r>
          </w:p>
        </w:tc>
        <w:tc>
          <w:tcPr>
            <w:tcW w:type="dxa" w:w="6300"/>
            <w:tcMar>
              <w:top w:type="dxa" w:w="100"/>
              <w:left w:type="dxa" w:w="120"/>
              <w:bottom w:type="dxa" w:w="100"/>
              <w:right w:type="dxa" w:w="120"/>
            </w:tcMar>
            <w:vAlign w:val="center"/>
          </w:tcPr>
          <w:p>
            <w:r>
              <w:rPr>
                <w:b w:val="false"/>
                <w:bCs w:val="false"/>
                <w:sz w:val="19"/>
                <w:szCs w:val="19"/>
              </w:rPr>
              <w:t xml:space="preserve">Échéance générée.</w:t>
            </w:r>
          </w:p>
        </w:tc>
      </w:tr>
      <w:tr>
        <w:tc>
          <w:tcPr>
            <w:tcW w:type="dxa" w:w="3000"/>
            <w:shd w:fill="F2F5FA" w:val="clear"/>
            <w:tcMar>
              <w:top w:type="dxa" w:w="100"/>
              <w:left w:type="dxa" w:w="120"/>
              <w:bottom w:type="dxa" w:w="100"/>
              <w:right w:type="dxa" w:w="120"/>
            </w:tcMar>
            <w:vAlign w:val="center"/>
          </w:tcPr>
          <w:p>
            <w:r>
              <w:rPr>
                <w:b w:val="false"/>
                <w:bCs w:val="false"/>
                <w:sz w:val="19"/>
                <w:szCs w:val="19"/>
              </w:rPr>
              <w:t xml:space="preserve">EN_CONTROLE</w:t>
            </w:r>
          </w:p>
        </w:tc>
        <w:tc>
          <w:tcPr>
            <w:tcW w:type="dxa" w:w="6300"/>
            <w:shd w:fill="F2F5FA" w:val="clear"/>
            <w:tcMar>
              <w:top w:type="dxa" w:w="100"/>
              <w:left w:type="dxa" w:w="120"/>
              <w:bottom w:type="dxa" w:w="100"/>
              <w:right w:type="dxa" w:w="120"/>
            </w:tcMar>
            <w:vAlign w:val="center"/>
          </w:tcPr>
          <w:p>
            <w:r>
              <w:rPr>
                <w:b w:val="false"/>
                <w:bCs w:val="false"/>
                <w:sz w:val="19"/>
                <w:szCs w:val="19"/>
              </w:rPr>
              <w:t xml:space="preserve">En cours de contrôle.</w:t>
            </w:r>
          </w:p>
        </w:tc>
      </w:tr>
      <w:tr>
        <w:tc>
          <w:tcPr>
            <w:tcW w:type="dxa" w:w="3000"/>
            <w:tcMar>
              <w:top w:type="dxa" w:w="100"/>
              <w:left w:type="dxa" w:w="120"/>
              <w:bottom w:type="dxa" w:w="100"/>
              <w:right w:type="dxa" w:w="120"/>
            </w:tcMar>
            <w:vAlign w:val="center"/>
          </w:tcPr>
          <w:p>
            <w:r>
              <w:rPr>
                <w:b w:val="false"/>
                <w:bCs w:val="false"/>
                <w:sz w:val="19"/>
                <w:szCs w:val="19"/>
              </w:rPr>
              <w:t xml:space="preserve">VALIDEE</w:t>
            </w:r>
          </w:p>
        </w:tc>
        <w:tc>
          <w:tcPr>
            <w:tcW w:type="dxa" w:w="6300"/>
            <w:tcMar>
              <w:top w:type="dxa" w:w="100"/>
              <w:left w:type="dxa" w:w="120"/>
              <w:bottom w:type="dxa" w:w="100"/>
              <w:right w:type="dxa" w:w="120"/>
            </w:tcMar>
            <w:vAlign w:val="center"/>
          </w:tcPr>
          <w:p>
            <w:r>
              <w:rPr>
                <w:b w:val="false"/>
                <w:bCs w:val="false"/>
                <w:sz w:val="19"/>
                <w:szCs w:val="19"/>
              </w:rPr>
              <w:t xml:space="preserve">Validée, prête à payer.</w:t>
            </w:r>
          </w:p>
        </w:tc>
      </w:tr>
      <w:tr>
        <w:tc>
          <w:tcPr>
            <w:tcW w:type="dxa" w:w="3000"/>
            <w:shd w:fill="F2F5FA" w:val="clear"/>
            <w:tcMar>
              <w:top w:type="dxa" w:w="100"/>
              <w:left w:type="dxa" w:w="120"/>
              <w:bottom w:type="dxa" w:w="100"/>
              <w:right w:type="dxa" w:w="120"/>
            </w:tcMar>
            <w:vAlign w:val="center"/>
          </w:tcPr>
          <w:p>
            <w:r>
              <w:rPr>
                <w:b w:val="false"/>
                <w:bCs w:val="false"/>
                <w:sz w:val="19"/>
                <w:szCs w:val="19"/>
              </w:rPr>
              <w:t xml:space="preserve">(payée)</w:t>
            </w:r>
          </w:p>
        </w:tc>
        <w:tc>
          <w:tcPr>
            <w:tcW w:type="dxa" w:w="6300"/>
            <w:shd w:fill="F2F5FA" w:val="clear"/>
            <w:tcMar>
              <w:top w:type="dxa" w:w="100"/>
              <w:left w:type="dxa" w:w="120"/>
              <w:bottom w:type="dxa" w:w="100"/>
              <w:right w:type="dxa" w:w="120"/>
            </w:tcMar>
            <w:vAlign w:val="center"/>
          </w:tcPr>
          <w:p>
            <w:r>
              <w:rPr>
                <w:b w:val="false"/>
                <w:bCs w:val="false"/>
                <w:sz w:val="19"/>
                <w:szCs w:val="19"/>
              </w:rPr>
              <w:t xml:space="preserve">Marquée payée après saisie de la référence de paiement.</w:t>
            </w:r>
          </w:p>
        </w:tc>
      </w:tr>
    </w:tbl>
    <w:p>
      <w:r>
        <w:br w:type="page"/>
      </w:r>
    </w:p>
    <w:p>
      <w:pPr>
        <w:pStyle w:val="Heading1"/>
        <w:spacing w:after="160" w:before="360"/>
      </w:pPr>
      <w:r>
        <w:t xml:space="preserve">Annexe B — Glossaire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2B529F" w:val="clear"/>
            <w:tcMar>
              <w:top w:type="dxa" w:w="100"/>
              <w:left w:type="dxa" w:w="120"/>
              <w:bottom w:type="dxa" w:w="100"/>
              <w:right w:type="dxa" w:w="120"/>
            </w:tcMar>
            <w:vAlign w:val="center"/>
          </w:tcPr>
          <w:p>
            <w:r>
              <w:rPr>
                <w:b/>
                <w:bCs/>
                <w:color w:val="FFFFFF"/>
                <w:sz w:val="19"/>
                <w:szCs w:val="19"/>
              </w:rPr>
              <w:t xml:space="preserve">Terme</w:t>
            </w:r>
          </w:p>
        </w:tc>
        <w:tc>
          <w:tcPr>
            <w:tcW w:type="dxa" w:w="7150"/>
            <w:shd w:fill="2B529F" w:val="clear"/>
            <w:tcMar>
              <w:top w:type="dxa" w:w="100"/>
              <w:left w:type="dxa" w:w="120"/>
              <w:bottom w:type="dxa" w:w="100"/>
              <w:right w:type="dxa" w:w="120"/>
            </w:tcMar>
            <w:vAlign w:val="center"/>
          </w:tcPr>
          <w:p>
            <w:r>
              <w:rPr>
                <w:b/>
                <w:bCs/>
                <w:color w:val="FFFFFF"/>
                <w:sz w:val="19"/>
                <w:szCs w:val="19"/>
              </w:rPr>
              <w:t xml:space="preserve">Signification</w:t>
            </w:r>
          </w:p>
        </w:tc>
      </w:tr>
      <w:tr>
        <w:tc>
          <w:tcPr>
            <w:tcW w:type="dxa" w:w="2200"/>
            <w:tcMar>
              <w:top w:type="dxa" w:w="100"/>
              <w:left w:type="dxa" w:w="120"/>
              <w:bottom w:type="dxa" w:w="100"/>
              <w:right w:type="dxa" w:w="120"/>
            </w:tcMar>
            <w:vAlign w:val="center"/>
          </w:tcPr>
          <w:p>
            <w:r>
              <w:rPr>
                <w:b w:val="false"/>
                <w:bCs w:val="false"/>
                <w:sz w:val="19"/>
                <w:szCs w:val="19"/>
              </w:rPr>
              <w:t xml:space="preserve">ESR</w:t>
            </w:r>
          </w:p>
        </w:tc>
        <w:tc>
          <w:tcPr>
            <w:tcW w:type="dxa" w:w="7150"/>
            <w:tcMar>
              <w:top w:type="dxa" w:w="100"/>
              <w:left w:type="dxa" w:w="120"/>
              <w:bottom w:type="dxa" w:w="100"/>
              <w:right w:type="dxa" w:w="120"/>
            </w:tcMar>
            <w:vAlign w:val="center"/>
          </w:tcPr>
          <w:p>
            <w:r>
              <w:rPr>
                <w:b w:val="false"/>
                <w:bCs w:val="false"/>
                <w:sz w:val="19"/>
                <w:szCs w:val="19"/>
              </w:rPr>
              <w:t xml:space="preserve">Épargne Santé Retraite</w:t>
            </w:r>
          </w:p>
        </w:tc>
      </w:tr>
      <w:tr>
        <w:tc>
          <w:tcPr>
            <w:tcW w:type="dxa" w:w="2200"/>
            <w:shd w:fill="F2F5FA" w:val="clear"/>
            <w:tcMar>
              <w:top w:type="dxa" w:w="100"/>
              <w:left w:type="dxa" w:w="120"/>
              <w:bottom w:type="dxa" w:w="100"/>
              <w:right w:type="dxa" w:w="120"/>
            </w:tcMar>
            <w:vAlign w:val="center"/>
          </w:tcPr>
          <w:p>
            <w:r>
              <w:rPr>
                <w:b w:val="false"/>
                <w:bCs w:val="false"/>
                <w:sz w:val="19"/>
                <w:szCs w:val="19"/>
              </w:rPr>
              <w:t xml:space="preserve">PM</w:t>
            </w:r>
          </w:p>
        </w:tc>
        <w:tc>
          <w:tcPr>
            <w:tcW w:type="dxa" w:w="7150"/>
            <w:shd w:fill="F2F5FA" w:val="clear"/>
            <w:tcMar>
              <w:top w:type="dxa" w:w="100"/>
              <w:left w:type="dxa" w:w="120"/>
              <w:bottom w:type="dxa" w:w="100"/>
              <w:right w:type="dxa" w:w="120"/>
            </w:tcMar>
            <w:vAlign w:val="center"/>
          </w:tcPr>
          <w:p>
            <w:r>
              <w:rPr>
                <w:b w:val="false"/>
                <w:bCs w:val="false"/>
                <w:sz w:val="19"/>
                <w:szCs w:val="19"/>
              </w:rPr>
              <w:t xml:space="preserve">Provision Mathématique</w:t>
            </w:r>
          </w:p>
        </w:tc>
      </w:tr>
      <w:tr>
        <w:tc>
          <w:tcPr>
            <w:tcW w:type="dxa" w:w="2200"/>
            <w:tcMar>
              <w:top w:type="dxa" w:w="100"/>
              <w:left w:type="dxa" w:w="120"/>
              <w:bottom w:type="dxa" w:w="100"/>
              <w:right w:type="dxa" w:w="120"/>
            </w:tcMar>
            <w:vAlign w:val="center"/>
          </w:tcPr>
          <w:p>
            <w:r>
              <w:rPr>
                <w:b w:val="false"/>
                <w:bCs w:val="false"/>
                <w:sz w:val="19"/>
                <w:szCs w:val="19"/>
              </w:rPr>
              <w:t xml:space="preserve">CIMA C-20</w:t>
            </w:r>
          </w:p>
        </w:tc>
        <w:tc>
          <w:tcPr>
            <w:tcW w:type="dxa" w:w="7150"/>
            <w:tcMar>
              <w:top w:type="dxa" w:w="100"/>
              <w:left w:type="dxa" w:w="120"/>
              <w:bottom w:type="dxa" w:w="100"/>
              <w:right w:type="dxa" w:w="120"/>
            </w:tcMar>
            <w:vAlign w:val="center"/>
          </w:tcPr>
          <w:p>
            <w:r>
              <w:rPr>
                <w:b w:val="false"/>
                <w:bCs w:val="false"/>
                <w:sz w:val="19"/>
                <w:szCs w:val="19"/>
              </w:rPr>
              <w:t xml:space="preserve">État réglementaire de la Conférence Interafricaine des Marchés d'Assurances</w:t>
            </w:r>
          </w:p>
        </w:tc>
      </w:tr>
      <w:tr>
        <w:tc>
          <w:tcPr>
            <w:tcW w:type="dxa" w:w="2200"/>
            <w:shd w:fill="F2F5FA" w:val="clear"/>
            <w:tcMar>
              <w:top w:type="dxa" w:w="100"/>
              <w:left w:type="dxa" w:w="120"/>
              <w:bottom w:type="dxa" w:w="100"/>
              <w:right w:type="dxa" w:w="120"/>
            </w:tcMar>
            <w:vAlign w:val="center"/>
          </w:tcPr>
          <w:p>
            <w:r>
              <w:rPr>
                <w:b w:val="false"/>
                <w:bCs w:val="false"/>
                <w:sz w:val="19"/>
                <w:szCs w:val="19"/>
              </w:rPr>
              <w:t xml:space="preserve">DGI</w:t>
            </w:r>
          </w:p>
        </w:tc>
        <w:tc>
          <w:tcPr>
            <w:tcW w:type="dxa" w:w="7150"/>
            <w:shd w:fill="F2F5FA" w:val="clear"/>
            <w:tcMar>
              <w:top w:type="dxa" w:w="100"/>
              <w:left w:type="dxa" w:w="120"/>
              <w:bottom w:type="dxa" w:w="100"/>
              <w:right w:type="dxa" w:w="120"/>
            </w:tcMar>
            <w:vAlign w:val="center"/>
          </w:tcPr>
          <w:p>
            <w:r>
              <w:rPr>
                <w:b w:val="false"/>
                <w:bCs w:val="false"/>
                <w:sz w:val="19"/>
                <w:szCs w:val="19"/>
              </w:rPr>
              <w:t xml:space="preserve">Direction Générale des Impôts</w:t>
            </w:r>
          </w:p>
        </w:tc>
      </w:tr>
      <w:tr>
        <w:tc>
          <w:tcPr>
            <w:tcW w:type="dxa" w:w="2200"/>
            <w:tcMar>
              <w:top w:type="dxa" w:w="100"/>
              <w:left w:type="dxa" w:w="120"/>
              <w:bottom w:type="dxa" w:w="100"/>
              <w:right w:type="dxa" w:w="120"/>
            </w:tcMar>
            <w:vAlign w:val="center"/>
          </w:tcPr>
          <w:p>
            <w:r>
              <w:rPr>
                <w:b w:val="false"/>
                <w:bCs w:val="false"/>
                <w:sz w:val="19"/>
                <w:szCs w:val="19"/>
              </w:rPr>
              <w:t xml:space="preserve">OTP</w:t>
            </w:r>
          </w:p>
        </w:tc>
        <w:tc>
          <w:tcPr>
            <w:tcW w:type="dxa" w:w="7150"/>
            <w:tcMar>
              <w:top w:type="dxa" w:w="100"/>
              <w:left w:type="dxa" w:w="120"/>
              <w:bottom w:type="dxa" w:w="100"/>
              <w:right w:type="dxa" w:w="120"/>
            </w:tcMar>
            <w:vAlign w:val="center"/>
          </w:tcPr>
          <w:p>
            <w:r>
              <w:rPr>
                <w:b w:val="false"/>
                <w:bCs w:val="false"/>
                <w:sz w:val="19"/>
                <w:szCs w:val="19"/>
              </w:rPr>
              <w:t xml:space="preserve">Mot de passe à usage unique (One-Time Password)</w:t>
            </w:r>
          </w:p>
        </w:tc>
      </w:tr>
      <w:tr>
        <w:tc>
          <w:tcPr>
            <w:tcW w:type="dxa" w:w="2200"/>
            <w:shd w:fill="F2F5FA" w:val="clear"/>
            <w:tcMar>
              <w:top w:type="dxa" w:w="100"/>
              <w:left w:type="dxa" w:w="120"/>
              <w:bottom w:type="dxa" w:w="100"/>
              <w:right w:type="dxa" w:w="120"/>
            </w:tcMar>
            <w:vAlign w:val="center"/>
          </w:tcPr>
          <w:p>
            <w:r>
              <w:rPr>
                <w:b w:val="false"/>
                <w:bCs w:val="false"/>
                <w:sz w:val="19"/>
                <w:szCs w:val="19"/>
              </w:rPr>
              <w:t xml:space="preserve">APS</w:t>
            </w:r>
          </w:p>
        </w:tc>
        <w:tc>
          <w:tcPr>
            <w:tcW w:type="dxa" w:w="7150"/>
            <w:shd w:fill="F2F5FA" w:val="clear"/>
            <w:tcMar>
              <w:top w:type="dxa" w:w="100"/>
              <w:left w:type="dxa" w:w="120"/>
              <w:bottom w:type="dxa" w:w="100"/>
              <w:right w:type="dxa" w:w="120"/>
            </w:tcMar>
            <w:vAlign w:val="center"/>
          </w:tcPr>
          <w:p>
            <w:r>
              <w:rPr>
                <w:b w:val="false"/>
                <w:bCs w:val="false"/>
                <w:sz w:val="19"/>
                <w:szCs w:val="19"/>
              </w:rPr>
              <w:t xml:space="preserve">Système / organisme partenaire de versement des rentes</w:t>
            </w:r>
          </w:p>
        </w:tc>
      </w:tr>
      <w:tr>
        <w:tc>
          <w:tcPr>
            <w:tcW w:type="dxa" w:w="2200"/>
            <w:tcMar>
              <w:top w:type="dxa" w:w="100"/>
              <w:left w:type="dxa" w:w="120"/>
              <w:bottom w:type="dxa" w:w="100"/>
              <w:right w:type="dxa" w:w="120"/>
            </w:tcMar>
            <w:vAlign w:val="center"/>
          </w:tcPr>
          <w:p>
            <w:r>
              <w:rPr>
                <w:b w:val="false"/>
                <w:bCs w:val="false"/>
                <w:sz w:val="19"/>
                <w:szCs w:val="19"/>
              </w:rPr>
              <w:t xml:space="preserve">SIAPS</w:t>
            </w:r>
          </w:p>
        </w:tc>
        <w:tc>
          <w:tcPr>
            <w:tcW w:type="dxa" w:w="7150"/>
            <w:tcMar>
              <w:top w:type="dxa" w:w="100"/>
              <w:left w:type="dxa" w:w="120"/>
              <w:bottom w:type="dxa" w:w="100"/>
              <w:right w:type="dxa" w:w="120"/>
            </w:tcMar>
            <w:vAlign w:val="center"/>
          </w:tcPr>
          <w:p>
            <w:r>
              <w:rPr>
                <w:b w:val="false"/>
                <w:bCs w:val="false"/>
                <w:sz w:val="19"/>
                <w:szCs w:val="19"/>
              </w:rPr>
              <w:t xml:space="preserve">Registre externe d'informations administratives sur les agents</w:t>
            </w:r>
          </w:p>
        </w:tc>
      </w:tr>
      <w:tr>
        <w:tc>
          <w:tcPr>
            <w:tcW w:type="dxa" w:w="2200"/>
            <w:shd w:fill="F2F5FA" w:val="clear"/>
            <w:tcMar>
              <w:top w:type="dxa" w:w="100"/>
              <w:left w:type="dxa" w:w="120"/>
              <w:bottom w:type="dxa" w:w="100"/>
              <w:right w:type="dxa" w:w="120"/>
            </w:tcMar>
            <w:vAlign w:val="center"/>
          </w:tcPr>
          <w:p>
            <w:r>
              <w:rPr>
                <w:b w:val="false"/>
                <w:bCs w:val="false"/>
                <w:sz w:val="19"/>
                <w:szCs w:val="19"/>
              </w:rPr>
              <w:t xml:space="preserve">Précompte</w:t>
            </w:r>
          </w:p>
        </w:tc>
        <w:tc>
          <w:tcPr>
            <w:tcW w:type="dxa" w:w="7150"/>
            <w:shd w:fill="F2F5FA" w:val="clear"/>
            <w:tcMar>
              <w:top w:type="dxa" w:w="100"/>
              <w:left w:type="dxa" w:w="120"/>
              <w:bottom w:type="dxa" w:w="100"/>
              <w:right w:type="dxa" w:w="120"/>
            </w:tcMar>
            <w:vAlign w:val="center"/>
          </w:tcPr>
          <w:p>
            <w:r>
              <w:rPr>
                <w:b w:val="false"/>
                <w:bCs w:val="false"/>
                <w:sz w:val="19"/>
                <w:szCs w:val="19"/>
              </w:rPr>
              <w:t xml:space="preserve">Retenue de cotisation directement sur le salaire.</w:t>
            </w:r>
          </w:p>
        </w:tc>
      </w:tr>
      <w:tr>
        <w:tc>
          <w:tcPr>
            <w:tcW w:type="dxa" w:w="2200"/>
            <w:tcMar>
              <w:top w:type="dxa" w:w="100"/>
              <w:left w:type="dxa" w:w="120"/>
              <w:bottom w:type="dxa" w:w="100"/>
              <w:right w:type="dxa" w:w="120"/>
            </w:tcMar>
            <w:vAlign w:val="center"/>
          </w:tcPr>
          <w:p>
            <w:r>
              <w:rPr>
                <w:b w:val="false"/>
                <w:bCs w:val="false"/>
                <w:sz w:val="19"/>
                <w:szCs w:val="19"/>
              </w:rPr>
              <w:t xml:space="preserve">Cotisation spontanée</w:t>
            </w:r>
          </w:p>
        </w:tc>
        <w:tc>
          <w:tcPr>
            <w:tcW w:type="dxa" w:w="7150"/>
            <w:tcMar>
              <w:top w:type="dxa" w:w="100"/>
              <w:left w:type="dxa" w:w="120"/>
              <w:bottom w:type="dxa" w:w="100"/>
              <w:right w:type="dxa" w:w="120"/>
            </w:tcMar>
            <w:vAlign w:val="center"/>
          </w:tcPr>
          <w:p>
            <w:r>
              <w:rPr>
                <w:b w:val="false"/>
                <w:bCs w:val="false"/>
                <w:sz w:val="19"/>
                <w:szCs w:val="19"/>
              </w:rPr>
              <w:t xml:space="preserve">Versement direct hors précompte salarial (chèque, espèces, virement).</w:t>
            </w:r>
          </w:p>
        </w:tc>
      </w:tr>
      <w:tr>
        <w:tc>
          <w:tcPr>
            <w:tcW w:type="dxa" w:w="2200"/>
            <w:shd w:fill="F2F5FA" w:val="clear"/>
            <w:tcMar>
              <w:top w:type="dxa" w:w="100"/>
              <w:left w:type="dxa" w:w="120"/>
              <w:bottom w:type="dxa" w:w="100"/>
              <w:right w:type="dxa" w:w="120"/>
            </w:tcMar>
            <w:vAlign w:val="center"/>
          </w:tcPr>
          <w:p>
            <w:r>
              <w:rPr>
                <w:b w:val="false"/>
                <w:bCs w:val="false"/>
                <w:sz w:val="19"/>
                <w:szCs w:val="19"/>
              </w:rPr>
              <w:t xml:space="preserve">Rachat total</w:t>
            </w:r>
          </w:p>
        </w:tc>
        <w:tc>
          <w:tcPr>
            <w:tcW w:type="dxa" w:w="7150"/>
            <w:shd w:fill="F2F5FA" w:val="clear"/>
            <w:tcMar>
              <w:top w:type="dxa" w:w="100"/>
              <w:left w:type="dxa" w:w="120"/>
              <w:bottom w:type="dxa" w:w="100"/>
              <w:right w:type="dxa" w:w="120"/>
            </w:tcMar>
            <w:vAlign w:val="center"/>
          </w:tcPr>
          <w:p>
            <w:r>
              <w:rPr>
                <w:b w:val="false"/>
                <w:bCs w:val="false"/>
                <w:sz w:val="19"/>
                <w:szCs w:val="19"/>
              </w:rPr>
              <w:t xml:space="preserve">Sortie anticipée du contrat avec versement du capital, sous conditions d'éligibilité.</w:t>
            </w:r>
          </w:p>
        </w:tc>
      </w:tr>
      <w:tr>
        <w:tc>
          <w:tcPr>
            <w:tcW w:type="dxa" w:w="2200"/>
            <w:tcMar>
              <w:top w:type="dxa" w:w="100"/>
              <w:left w:type="dxa" w:w="120"/>
              <w:bottom w:type="dxa" w:w="100"/>
              <w:right w:type="dxa" w:w="120"/>
            </w:tcMar>
            <w:vAlign w:val="center"/>
          </w:tcPr>
          <w:p>
            <w:r>
              <w:rPr>
                <w:b w:val="false"/>
                <w:bCs w:val="false"/>
                <w:sz w:val="19"/>
                <w:szCs w:val="19"/>
              </w:rPr>
              <w:t xml:space="preserve">lx / dx / qx</w:t>
            </w:r>
          </w:p>
        </w:tc>
        <w:tc>
          <w:tcPr>
            <w:tcW w:type="dxa" w:w="7150"/>
            <w:tcMar>
              <w:top w:type="dxa" w:w="100"/>
              <w:left w:type="dxa" w:w="120"/>
              <w:bottom w:type="dxa" w:w="100"/>
              <w:right w:type="dxa" w:w="120"/>
            </w:tcMar>
            <w:vAlign w:val="center"/>
          </w:tcPr>
          <w:p>
            <w:r>
              <w:rPr>
                <w:b w:val="false"/>
                <w:bCs w:val="false"/>
                <w:sz w:val="19"/>
                <w:szCs w:val="19"/>
              </w:rPr>
              <w:t xml:space="preserve">Coefficients de la table de mortalité : survivants théoriques, décès annuels, probabilité de décès.</w:t>
            </w:r>
          </w:p>
        </w:tc>
      </w:tr>
    </w:tbl>
    <w:p>
      <w:r>
        <w:br w:type="page"/>
      </w:r>
    </w:p>
    <w:p>
      <w:pPr>
        <w:pStyle w:val="Heading1"/>
        <w:spacing w:after="160" w:before="360"/>
      </w:pPr>
      <w:r>
        <w:t xml:space="preserve">Annexe C — Contact support</w:t>
      </w:r>
    </w:p>
    <w:p>
      <w:pPr>
        <w:spacing w:after="120"/>
      </w:pPr>
      <w:r>
        <w:t xml:space="preserve">Support technique direct : support.mutuelle@dgi.gouv.ci — 225-20-30-40-50.</w:t>
      </w:r>
    </w:p>
    <w:p>
      <w:pPr>
        <w:spacing w:after="120"/>
      </w:pPr>
      <w:r>
        <w:t xml:space="preserve">Ce même contact est rappelé dans l’application, menu « Aide &amp; Supports » (chapitre 17).</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MADGI ESR — Guide utilisateur complet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B529F" w:sz="6" w:space="4"/>
      </w:pBdr>
      <w:spacing w:after="160" w:before="360"/>
    </w:pPr>
    <w:rPr>
      <w:rFonts w:ascii="Calibri" w:cs="Calibri" w:eastAsia="Calibri" w:hAnsi="Calibri"/>
      <w:b/>
      <w:bCs/>
      <w:color w:val="2B529F"/>
      <w:sz w:val="30"/>
      <w:szCs w:val="30"/>
    </w:rPr>
  </w:style>
  <w:style w:type="paragraph" w:styleId="Heading2">
    <w:name w:val="Heading 2"/>
    <w:basedOn w:val="Normal"/>
    <w:next w:val="Normal"/>
    <w:qFormat/>
    <w:pPr>
      <w:spacing w:after="120" w:before="260"/>
    </w:pPr>
    <w:rPr>
      <w:rFonts w:ascii="Calibri" w:cs="Calibri" w:eastAsia="Calibri" w:hAnsi="Calibri"/>
      <w:b/>
      <w:bCs/>
      <w:color w:val="1F3B73"/>
      <w:sz w:val="24"/>
      <w:szCs w:val="24"/>
    </w:rPr>
  </w:style>
  <w:style w:type="paragraph" w:styleId="Heading3">
    <w:name w:val="Heading 3"/>
    <w:basedOn w:val="Normal"/>
    <w:next w:val="Normal"/>
    <w:qFormat/>
    <w:pPr>
      <w:spacing w:after="100" w:before="200"/>
    </w:pPr>
    <w:rPr>
      <w:rFonts w:ascii="Calibri" w:cs="Calibri" w:eastAsia="Calibri" w:hAnsi="Calibri"/>
      <w:b/>
      <w:bCs/>
      <w:i/>
      <w:iCs/>
      <w:color w:val="1F3B7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utilisateur complet — Plateforme MADGI ESR</dc:title>
  <dc:creator>MADGI ESR</dc:creator>
  <cp:lastModifiedBy>Un-named</cp:lastModifiedBy>
  <cp:revision>1</cp:revision>
  <dcterms:created xsi:type="dcterms:W3CDTF">2026-08-10T20:33:27.283Z</dcterms:created>
  <dcterms:modified xsi:type="dcterms:W3CDTF">2026-08-10T20:33:27.284Z</dcterms:modified>
</cp:coreProperties>
</file>

<file path=docProps/custom.xml><?xml version="1.0" encoding="utf-8"?>
<Properties xmlns="http://schemas.openxmlformats.org/officeDocument/2006/custom-properties" xmlns:vt="http://schemas.openxmlformats.org/officeDocument/2006/docPropsVTypes"/>
</file>