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6D" w:rsidRPr="00DB01FA" w:rsidRDefault="007D6F6D" w:rsidP="00D81247">
      <w:pPr>
        <w:jc w:val="center"/>
        <w:rPr>
          <w:rFonts w:ascii="Arial" w:hAnsi="Arial" w:cs="Arial"/>
          <w:b/>
          <w:sz w:val="22"/>
          <w:szCs w:val="20"/>
        </w:rPr>
      </w:pPr>
    </w:p>
    <w:p w:rsidR="007D6F6D" w:rsidRPr="00D81247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 w:rsidRPr="00D81247">
        <w:rPr>
          <w:rFonts w:ascii="Arial" w:hAnsi="Arial" w:cs="Arial"/>
          <w:b/>
          <w:sz w:val="22"/>
          <w:szCs w:val="20"/>
          <w:lang w:val="uk-UA"/>
        </w:rPr>
        <w:t>про надання автопідприємством послуг</w:t>
      </w:r>
    </w:p>
    <w:p w:rsidR="000C7284" w:rsidRPr="00D81247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D81247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 xml:space="preserve">Україна, </w:t>
      </w:r>
      <w:r w:rsidR="009D2034" w:rsidRPr="00D81247">
        <w:rPr>
          <w:rFonts w:ascii="Arial" w:hAnsi="Arial" w:cs="Arial"/>
          <w:sz w:val="20"/>
          <w:szCs w:val="20"/>
          <w:lang w:val="uk-UA"/>
        </w:rPr>
        <w:t xml:space="preserve">м. </w:t>
      </w:r>
      <w:r w:rsidR="00D81247" w:rsidRPr="00D81247">
        <w:rPr>
          <w:rFonts w:ascii="Arial" w:hAnsi="Arial" w:cs="Arial"/>
          <w:sz w:val="20"/>
          <w:szCs w:val="20"/>
          <w:lang w:val="uk-UA"/>
        </w:rPr>
        <w:t xml:space="preserve">Тетіїв  </w:t>
      </w:r>
      <w:r w:rsidR="009D2034" w:rsidRPr="00D81247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    </w:t>
      </w:r>
      <w:r w:rsidR="009D2034" w:rsidRPr="00D81247">
        <w:rPr>
          <w:rFonts w:ascii="Arial" w:hAnsi="Arial" w:cs="Arial"/>
          <w:sz w:val="20"/>
          <w:szCs w:val="20"/>
          <w:lang w:val="uk-UA"/>
        </w:rPr>
        <w:t xml:space="preserve">                                </w:t>
      </w:r>
      <w:r w:rsidR="0001281E" w:rsidRPr="00D81247">
        <w:rPr>
          <w:rFonts w:ascii="Arial" w:hAnsi="Arial" w:cs="Arial"/>
          <w:sz w:val="20"/>
          <w:szCs w:val="20"/>
          <w:lang w:val="uk-UA"/>
        </w:rPr>
        <w:t xml:space="preserve">        </w:t>
      </w:r>
      <w:r w:rsidR="00BF1149" w:rsidRPr="00D81247">
        <w:rPr>
          <w:rFonts w:ascii="Arial" w:hAnsi="Arial" w:cs="Arial"/>
          <w:sz w:val="20"/>
          <w:szCs w:val="20"/>
          <w:lang w:val="uk-UA"/>
        </w:rPr>
        <w:t xml:space="preserve">                 </w:t>
      </w:r>
      <w:r w:rsidR="0001281E" w:rsidRPr="00D81247">
        <w:rPr>
          <w:rFonts w:ascii="Arial" w:hAnsi="Arial" w:cs="Arial"/>
          <w:sz w:val="20"/>
          <w:szCs w:val="20"/>
          <w:lang w:val="uk-UA"/>
        </w:rPr>
        <w:t xml:space="preserve">     </w:t>
      </w:r>
      <w:r w:rsidR="00D478EA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01281E" w:rsidRPr="00D81247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 </w:t>
      </w:r>
      <w:r w:rsidR="00FA6454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3507D9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D81247" w:rsidRPr="00D81247">
        <w:rPr>
          <w:rFonts w:ascii="Arial" w:hAnsi="Arial" w:cs="Arial"/>
          <w:sz w:val="20"/>
          <w:szCs w:val="20"/>
          <w:lang w:val="uk-UA"/>
        </w:rPr>
        <w:t xml:space="preserve">     </w:t>
      </w:r>
      <w:r w:rsidR="00D81247">
        <w:rPr>
          <w:rFonts w:ascii="Arial" w:hAnsi="Arial" w:cs="Arial"/>
          <w:sz w:val="20"/>
          <w:szCs w:val="20"/>
          <w:lang w:val="uk-UA"/>
        </w:rPr>
        <w:t xml:space="preserve">          </w:t>
      </w:r>
      <w:r w:rsidR="00264EC8">
        <w:rPr>
          <w:rFonts w:ascii="Arial" w:hAnsi="Arial" w:cs="Arial"/>
          <w:sz w:val="20"/>
          <w:szCs w:val="20"/>
          <w:lang w:val="uk-UA"/>
        </w:rPr>
        <w:t xml:space="preserve">   </w:t>
      </w:r>
      <w:r w:rsidRPr="00744275">
        <w:rPr>
          <w:rFonts w:ascii="Arial" w:hAnsi="Arial" w:cs="Arial"/>
          <w:sz w:val="20"/>
          <w:szCs w:val="20"/>
          <w:highlight w:val="yellow"/>
          <w:lang w:val="uk-UA"/>
        </w:rPr>
        <w:t>«</w:t>
      </w:r>
      <w:r w:rsidR="00331BE3">
        <w:rPr>
          <w:rFonts w:ascii="Arial" w:hAnsi="Arial" w:cs="Arial"/>
          <w:sz w:val="20"/>
          <w:szCs w:val="20"/>
          <w:highlight w:val="yellow"/>
          <w:lang w:val="en-US"/>
        </w:rPr>
        <w:t>dd</w:t>
      </w:r>
      <w:r w:rsidRPr="00744275">
        <w:rPr>
          <w:rFonts w:ascii="Arial" w:hAnsi="Arial" w:cs="Arial"/>
          <w:sz w:val="20"/>
          <w:szCs w:val="20"/>
          <w:highlight w:val="yellow"/>
          <w:lang w:val="uk-UA"/>
        </w:rPr>
        <w:t>»</w:t>
      </w:r>
      <w:r w:rsidR="00264EC8" w:rsidRPr="00744275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331BE3">
        <w:rPr>
          <w:rFonts w:ascii="Arial" w:hAnsi="Arial" w:cs="Arial"/>
          <w:sz w:val="20"/>
          <w:szCs w:val="20"/>
          <w:highlight w:val="yellow"/>
          <w:lang w:val="en-US"/>
        </w:rPr>
        <w:t>mm</w:t>
      </w:r>
      <w:r w:rsidR="00331BE3" w:rsidRPr="00DB565A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proofErr w:type="spellStart"/>
      <w:r w:rsidR="00331BE3">
        <w:rPr>
          <w:rFonts w:ascii="Arial" w:hAnsi="Arial" w:cs="Arial"/>
          <w:sz w:val="20"/>
          <w:szCs w:val="20"/>
          <w:highlight w:val="yellow"/>
          <w:lang w:val="en-US"/>
        </w:rPr>
        <w:t>yyyy</w:t>
      </w:r>
      <w:proofErr w:type="spellEnd"/>
      <w:r w:rsidR="009D2034" w:rsidRPr="00744275">
        <w:rPr>
          <w:rFonts w:ascii="Arial" w:hAnsi="Arial" w:cs="Arial"/>
          <w:sz w:val="20"/>
          <w:szCs w:val="20"/>
          <w:highlight w:val="yellow"/>
          <w:lang w:val="uk-UA"/>
        </w:rPr>
        <w:t xml:space="preserve"> року</w:t>
      </w:r>
      <w:r w:rsidR="009D2034" w:rsidRPr="00D81247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D2034" w:rsidRPr="00D81247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</w:p>
    <w:p w:rsidR="009B0303" w:rsidRDefault="009D2034" w:rsidP="00DB565A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D81247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D81247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D81247">
        <w:rPr>
          <w:rFonts w:ascii="Arial" w:hAnsi="Arial" w:cs="Arial"/>
          <w:b/>
          <w:sz w:val="20"/>
          <w:szCs w:val="20"/>
          <w:lang w:val="uk-UA"/>
        </w:rPr>
        <w:t>»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D81247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D81247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D81247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D81247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D81247">
        <w:rPr>
          <w:rFonts w:ascii="Arial" w:hAnsi="Arial" w:cs="Arial"/>
          <w:sz w:val="20"/>
          <w:szCs w:val="20"/>
          <w:lang w:val="uk-UA"/>
        </w:rPr>
        <w:t>–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DB565A" w:rsidRPr="00DB565A" w:rsidRDefault="00DB565A" w:rsidP="00DB565A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</w:p>
    <w:p w:rsidR="000A6EE3" w:rsidRPr="00D81247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D81247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D81247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D81247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D81247">
        <w:rPr>
          <w:rFonts w:ascii="Arial" w:hAnsi="Arial" w:cs="Arial"/>
          <w:b/>
          <w:sz w:val="20"/>
          <w:szCs w:val="20"/>
          <w:lang w:val="uk-UA"/>
        </w:rPr>
        <w:t>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D81247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D81247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D81247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D81247">
        <w:rPr>
          <w:rFonts w:ascii="Arial" w:hAnsi="Arial" w:cs="Arial"/>
          <w:sz w:val="20"/>
          <w:szCs w:val="20"/>
          <w:lang w:val="uk-UA"/>
        </w:rPr>
        <w:t>З</w:t>
      </w:r>
      <w:r w:rsidR="009D2034" w:rsidRPr="00D81247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D81247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D81247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D81247">
        <w:rPr>
          <w:rFonts w:ascii="Arial" w:hAnsi="Arial" w:cs="Arial"/>
          <w:sz w:val="20"/>
          <w:szCs w:val="20"/>
          <w:lang w:val="uk-UA"/>
        </w:rPr>
        <w:t>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D81247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D81247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>
        <w:rPr>
          <w:rFonts w:ascii="Arial" w:hAnsi="Arial" w:cs="Arial"/>
          <w:sz w:val="20"/>
          <w:szCs w:val="20"/>
          <w:lang w:val="uk-UA"/>
        </w:rPr>
        <w:t>та</w:t>
      </w:r>
      <w:r w:rsidR="004C0AC9" w:rsidRPr="00D81247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B15328" w:rsidRDefault="00C6527C" w:rsidP="00D81247">
      <w:pPr>
        <w:jc w:val="both"/>
        <w:rPr>
          <w:rFonts w:ascii="Arial" w:hAnsi="Arial" w:cs="Arial"/>
          <w:sz w:val="16"/>
          <w:szCs w:val="16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C6527C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2F25CE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F25CE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2F25CE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F25CE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2F25CE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F25CE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2F25CE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F25CE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2F25CE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F25CE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</w:tbl>
    <w:p w:rsidR="00C6527C" w:rsidRPr="00B15328" w:rsidRDefault="00C6527C" w:rsidP="00D81247">
      <w:pPr>
        <w:jc w:val="both"/>
        <w:rPr>
          <w:rFonts w:ascii="Arial" w:hAnsi="Arial" w:cs="Arial"/>
          <w:sz w:val="16"/>
          <w:szCs w:val="16"/>
          <w:lang w:val="uk-UA"/>
        </w:rPr>
      </w:pPr>
    </w:p>
    <w:p w:rsidR="000A6EE3" w:rsidRPr="00D81247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D81247">
        <w:rPr>
          <w:rFonts w:ascii="Arial" w:hAnsi="Arial" w:cs="Arial"/>
          <w:sz w:val="20"/>
          <w:szCs w:val="20"/>
          <w:lang w:val="uk-UA"/>
        </w:rPr>
        <w:t>–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B15328" w:rsidRDefault="000A6EE3" w:rsidP="00D81247">
      <w:pPr>
        <w:tabs>
          <w:tab w:val="center" w:pos="4677"/>
        </w:tabs>
        <w:rPr>
          <w:rFonts w:ascii="Arial" w:hAnsi="Arial" w:cs="Arial"/>
          <w:b/>
          <w:sz w:val="16"/>
          <w:szCs w:val="16"/>
          <w:lang w:val="uk-UA"/>
        </w:rPr>
      </w:pPr>
    </w:p>
    <w:p w:rsidR="000A6EE3" w:rsidRPr="00D81247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D81247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D81247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D81247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D81247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D81247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D81247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D81247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D81247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2.1.1.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D81247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D81247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D81247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D81247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D81247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D81247">
        <w:rPr>
          <w:rFonts w:ascii="Arial" w:hAnsi="Arial" w:cs="Arial"/>
          <w:sz w:val="20"/>
          <w:szCs w:val="20"/>
          <w:lang w:val="uk-UA"/>
        </w:rPr>
        <w:t>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D81247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D81247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D81247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2.1.3.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D81247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D81247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а також,якщо вони не зареєстровані у встановленому порядку,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D81247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2.1.4.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D81247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D81247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D81247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D81247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D81247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D81247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D81247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D81247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D81247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D81247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D81247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D81247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D81247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D81247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2.1.5.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D81247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D81247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D81247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D81247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2.1.6.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D81247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D81247">
        <w:rPr>
          <w:rFonts w:ascii="Arial" w:hAnsi="Arial" w:cs="Arial"/>
          <w:sz w:val="20"/>
          <w:szCs w:val="20"/>
          <w:lang w:val="uk-UA"/>
        </w:rPr>
        <w:t>п.</w:t>
      </w:r>
      <w:r w:rsidR="00F61BE6" w:rsidRPr="00D81247">
        <w:rPr>
          <w:rFonts w:ascii="Arial" w:hAnsi="Arial" w:cs="Arial"/>
          <w:sz w:val="20"/>
          <w:szCs w:val="20"/>
          <w:lang w:val="uk-UA"/>
        </w:rPr>
        <w:t>1</w:t>
      </w:r>
      <w:r w:rsidR="0021009D" w:rsidRPr="00D81247">
        <w:rPr>
          <w:rFonts w:ascii="Arial" w:hAnsi="Arial" w:cs="Arial"/>
          <w:sz w:val="20"/>
          <w:szCs w:val="20"/>
          <w:lang w:val="uk-UA"/>
        </w:rPr>
        <w:t>.1</w:t>
      </w:r>
      <w:r w:rsidR="00F61BE6" w:rsidRPr="00D81247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D81247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D81247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D81247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D81247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2.1.7.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D81247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D81247">
        <w:rPr>
          <w:rFonts w:ascii="Arial" w:hAnsi="Arial" w:cs="Arial"/>
          <w:sz w:val="20"/>
          <w:szCs w:val="20"/>
          <w:lang w:val="uk-UA"/>
        </w:rPr>
        <w:t>З</w:t>
      </w:r>
      <w:r w:rsidR="00F61BE6" w:rsidRPr="00D81247">
        <w:rPr>
          <w:rFonts w:ascii="Arial" w:hAnsi="Arial" w:cs="Arial"/>
          <w:sz w:val="20"/>
          <w:szCs w:val="20"/>
          <w:lang w:val="uk-UA"/>
        </w:rPr>
        <w:t>амовником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D81247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D81247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D81247">
        <w:rPr>
          <w:rFonts w:ascii="Arial" w:hAnsi="Arial" w:cs="Arial"/>
          <w:sz w:val="20"/>
          <w:szCs w:val="20"/>
          <w:lang w:val="uk-UA"/>
        </w:rPr>
        <w:t>.</w:t>
      </w:r>
    </w:p>
    <w:p w:rsidR="00744275" w:rsidRDefault="00C6527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5D6E88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5D6E88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5D6E88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5D6E88">
        <w:rPr>
          <w:rFonts w:ascii="Arial" w:hAnsi="Arial" w:cs="Arial"/>
          <w:sz w:val="20"/>
          <w:szCs w:val="20"/>
          <w:lang w:val="uk-UA"/>
        </w:rPr>
        <w:t xml:space="preserve"> </w:t>
      </w:r>
      <w:r w:rsidR="00744275" w:rsidRPr="00DA5CD2">
        <w:rPr>
          <w:rFonts w:ascii="Arial" w:hAnsi="Arial" w:cs="Arial"/>
          <w:b/>
          <w:sz w:val="20"/>
          <w:szCs w:val="20"/>
          <w:lang w:val="uk-UA"/>
        </w:rPr>
        <w:t>0980</w:t>
      </w:r>
      <w:r w:rsidR="00744275">
        <w:rPr>
          <w:rFonts w:ascii="Arial" w:hAnsi="Arial" w:cs="Arial"/>
          <w:b/>
          <w:sz w:val="20"/>
          <w:szCs w:val="20"/>
          <w:lang w:val="uk-UA"/>
        </w:rPr>
        <w:t>0</w:t>
      </w:r>
      <w:r w:rsidR="00744275" w:rsidRPr="00DA5CD2">
        <w:rPr>
          <w:rFonts w:ascii="Arial" w:hAnsi="Arial" w:cs="Arial"/>
          <w:b/>
          <w:sz w:val="20"/>
          <w:szCs w:val="20"/>
          <w:lang w:val="uk-UA"/>
        </w:rPr>
        <w:t>,</w:t>
      </w:r>
      <w:r w:rsidR="00744275" w:rsidRPr="00DA5CD2">
        <w:rPr>
          <w:rFonts w:ascii="Arial" w:hAnsi="Arial" w:cs="Arial"/>
          <w:sz w:val="20"/>
          <w:szCs w:val="20"/>
          <w:lang w:val="uk-UA"/>
        </w:rPr>
        <w:t xml:space="preserve"> </w:t>
      </w:r>
      <w:r w:rsidR="00744275" w:rsidRPr="00DA5CD2">
        <w:rPr>
          <w:rFonts w:ascii="Arial" w:hAnsi="Arial" w:cs="Arial"/>
          <w:b/>
          <w:sz w:val="20"/>
          <w:szCs w:val="20"/>
          <w:lang w:val="uk-UA"/>
        </w:rPr>
        <w:t xml:space="preserve">Київська область, м. Тетіїв, вул. </w:t>
      </w:r>
      <w:r w:rsidR="00744275">
        <w:rPr>
          <w:rFonts w:ascii="Arial" w:hAnsi="Arial" w:cs="Arial"/>
          <w:b/>
          <w:sz w:val="20"/>
          <w:szCs w:val="20"/>
          <w:lang w:val="uk-UA"/>
        </w:rPr>
        <w:t>Богдана Хмельницького</w:t>
      </w:r>
      <w:r w:rsidR="00744275" w:rsidRPr="00DA5CD2">
        <w:rPr>
          <w:rFonts w:ascii="Arial" w:hAnsi="Arial" w:cs="Arial"/>
          <w:b/>
          <w:sz w:val="20"/>
          <w:szCs w:val="20"/>
          <w:lang w:val="uk-UA"/>
        </w:rPr>
        <w:t xml:space="preserve">, </w:t>
      </w:r>
      <w:r w:rsidR="00744275">
        <w:rPr>
          <w:rFonts w:ascii="Arial" w:hAnsi="Arial" w:cs="Arial"/>
          <w:b/>
          <w:sz w:val="20"/>
          <w:szCs w:val="20"/>
          <w:lang w:val="uk-UA"/>
        </w:rPr>
        <w:t>3</w:t>
      </w:r>
      <w:r w:rsidR="00744275" w:rsidRPr="00DA5CD2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D81247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D81247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D81247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D81247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D81247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2.2.1.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D81247">
        <w:rPr>
          <w:rFonts w:ascii="Arial" w:hAnsi="Arial" w:cs="Arial"/>
          <w:sz w:val="20"/>
          <w:szCs w:val="20"/>
          <w:lang w:val="uk-UA"/>
        </w:rPr>
        <w:t>Виконавця</w:t>
      </w:r>
      <w:r w:rsidRPr="00D81247">
        <w:rPr>
          <w:rFonts w:ascii="Arial" w:hAnsi="Arial" w:cs="Arial"/>
          <w:sz w:val="20"/>
          <w:szCs w:val="20"/>
          <w:lang w:val="uk-UA"/>
        </w:rPr>
        <w:t>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D81247">
        <w:rPr>
          <w:rFonts w:ascii="Arial" w:hAnsi="Arial" w:cs="Arial"/>
          <w:sz w:val="20"/>
          <w:szCs w:val="20"/>
          <w:lang w:val="uk-UA"/>
        </w:rPr>
        <w:t>Виконавця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D81247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2.2.2.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2.2.3.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D81247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D81247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264EC8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D81247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074E8D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074E8D">
        <w:rPr>
          <w:rFonts w:ascii="Arial" w:hAnsi="Arial" w:cs="Arial"/>
          <w:b/>
          <w:sz w:val="20"/>
          <w:szCs w:val="20"/>
          <w:lang w:val="uk-UA"/>
        </w:rPr>
        <w:t>3.1.</w:t>
      </w:r>
      <w:r w:rsidRPr="00074E8D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074E8D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D81247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3.2.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Рахунки</w:t>
      </w:r>
      <w:r w:rsidR="00074E8D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D81247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3.4.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D81247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DB565A" w:rsidRDefault="00B82579" w:rsidP="00264EC8">
      <w:pPr>
        <w:rPr>
          <w:rFonts w:ascii="Arial" w:hAnsi="Arial" w:cs="Arial"/>
          <w:b/>
          <w:sz w:val="14"/>
          <w:szCs w:val="20"/>
        </w:rPr>
      </w:pPr>
    </w:p>
    <w:p w:rsidR="00B82579" w:rsidRPr="00D81247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DB565A" w:rsidRDefault="00DB565A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lang w:val="uk-UA"/>
        </w:rPr>
      </w:pPr>
    </w:p>
    <w:p w:rsidR="00B82579" w:rsidRPr="00D81247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D81247">
        <w:rPr>
          <w:rFonts w:ascii="Arial" w:hAnsi="Arial" w:cs="Arial"/>
          <w:b/>
          <w:sz w:val="20"/>
          <w:szCs w:val="20"/>
          <w:lang w:val="uk-UA"/>
        </w:rPr>
        <w:t>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D81247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D81247">
        <w:rPr>
          <w:rFonts w:ascii="Arial" w:hAnsi="Arial" w:cs="Arial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D81247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D81247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D81247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D81247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4.4.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4.4.1.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D81247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D81247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4.4.2.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D81247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D81247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4.4.3.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D81247">
        <w:rPr>
          <w:rFonts w:ascii="Arial" w:hAnsi="Arial" w:cs="Arial"/>
          <w:sz w:val="20"/>
          <w:szCs w:val="20"/>
          <w:lang w:val="uk-UA"/>
        </w:rPr>
        <w:t>ий п.4</w:t>
      </w:r>
      <w:r w:rsidRPr="00D81247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264EC8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D81247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D81247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D81247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D81247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D81247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D81247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D81247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D81247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264EC8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D81247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D81247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6.1.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D81247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D81247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6.3.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D81247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6.4.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D81247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6.5.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D81247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6.6.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D81247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t>6.7.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264EC8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D81247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D81247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D81247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D81247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D81247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D81247">
        <w:rPr>
          <w:rFonts w:ascii="Arial" w:hAnsi="Arial" w:cs="Arial"/>
          <w:sz w:val="20"/>
          <w:szCs w:val="20"/>
          <w:lang w:val="uk-UA"/>
        </w:rPr>
        <w:t>0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D81247">
        <w:rPr>
          <w:rFonts w:ascii="Arial" w:hAnsi="Arial" w:cs="Arial"/>
          <w:sz w:val="20"/>
          <w:szCs w:val="20"/>
          <w:lang w:val="uk-UA"/>
        </w:rPr>
        <w:t>дцять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D81247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D81247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D81247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D81247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264EC8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D81247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D81247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D81247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D81247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D81247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D81247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D81247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D81247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D81247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D81247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D81247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264EC8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D81247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D81247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D81247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D81247" w:rsidRDefault="00331BE3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>
        <w:rPr>
          <w:rFonts w:ascii="Arial" w:hAnsi="Arial" w:cs="Arial"/>
          <w:noProof/>
          <w:sz w:val="20"/>
          <w:szCs w:val="20"/>
          <w:lang w:val="uk-U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2270760</wp:posOffset>
            </wp:positionV>
            <wp:extent cx="1371600" cy="1371600"/>
            <wp:effectExtent l="0" t="0" r="0" b="0"/>
            <wp:wrapNone/>
            <wp:docPr id="2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2590165</wp:posOffset>
            </wp:positionV>
            <wp:extent cx="1457325" cy="584200"/>
            <wp:effectExtent l="0" t="0" r="0" b="0"/>
            <wp:wrapNone/>
            <wp:docPr id="3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78" w:rsidRPr="00D81247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D81247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="008C7578" w:rsidRPr="00D81247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C6527C" w:rsidTr="005D6B52">
        <w:trPr>
          <w:jc w:val="center"/>
        </w:trPr>
        <w:tc>
          <w:tcPr>
            <w:tcW w:w="4994" w:type="dxa"/>
          </w:tcPr>
          <w:p w:rsidR="00C6527C" w:rsidRPr="00C6527C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C6527C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C6527C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C6527C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C6527C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C6527C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C6527C" w:rsidTr="005D6B52">
        <w:trPr>
          <w:jc w:val="center"/>
        </w:trPr>
        <w:tc>
          <w:tcPr>
            <w:tcW w:w="4994" w:type="dxa"/>
          </w:tcPr>
          <w:p w:rsidR="00735075" w:rsidRPr="00C6527C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C6527C" w:rsidRDefault="00735075" w:rsidP="00735075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735075" w:rsidRPr="00C6527C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C6527C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C6527C" w:rsidRPr="00C6527C" w:rsidRDefault="00C6527C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C6527C" w:rsidTr="005D6B52">
        <w:trPr>
          <w:jc w:val="center"/>
        </w:trPr>
        <w:tc>
          <w:tcPr>
            <w:tcW w:w="4994" w:type="dxa"/>
          </w:tcPr>
          <w:p w:rsidR="005D6B52" w:rsidRPr="005D6B52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5D6B52">
              <w:rPr>
                <w:rFonts w:ascii="Arial" w:hAnsi="Arial" w:cs="Arial"/>
                <w:sz w:val="20"/>
                <w:szCs w:val="22"/>
              </w:rPr>
              <w:t>01030, м. Київ, вул. Леонтовича, 7</w:t>
            </w:r>
          </w:p>
          <w:p w:rsidR="005D6B52" w:rsidRPr="005D6B52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5D6B52">
              <w:rPr>
                <w:rFonts w:ascii="Arial" w:hAnsi="Arial" w:cs="Arial"/>
                <w:sz w:val="20"/>
                <w:szCs w:val="22"/>
              </w:rPr>
              <w:t>Код ЄДРПОУ 43512741</w:t>
            </w:r>
          </w:p>
          <w:p w:rsidR="005D6B52" w:rsidRPr="005D6B52" w:rsidRDefault="002A627B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  <w:lang w:val="uk-UA"/>
              </w:rPr>
              <w:t>П</w:t>
            </w:r>
            <w:r>
              <w:rPr>
                <w:rFonts w:ascii="Arial" w:hAnsi="Arial" w:cs="Arial"/>
                <w:sz w:val="20"/>
                <w:szCs w:val="22"/>
              </w:rPr>
              <w:t>/р UA 7738063400000</w:t>
            </w:r>
            <w:r w:rsidR="005D6B52" w:rsidRPr="005D6B52">
              <w:rPr>
                <w:rFonts w:ascii="Arial" w:hAnsi="Arial" w:cs="Arial"/>
                <w:sz w:val="20"/>
                <w:szCs w:val="22"/>
              </w:rPr>
              <w:t>26004177204001</w:t>
            </w:r>
          </w:p>
          <w:p w:rsidR="005D6B52" w:rsidRPr="005D6B52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proofErr w:type="gramStart"/>
            <w:r w:rsidRPr="005D6B52">
              <w:rPr>
                <w:rFonts w:ascii="Arial" w:hAnsi="Arial" w:cs="Arial"/>
                <w:sz w:val="20"/>
                <w:szCs w:val="22"/>
              </w:rPr>
              <w:t xml:space="preserve">в  </w:t>
            </w:r>
            <w:proofErr w:type="spellStart"/>
            <w:r w:rsidRPr="005D6B52">
              <w:rPr>
                <w:rFonts w:ascii="Arial" w:hAnsi="Arial" w:cs="Arial"/>
                <w:sz w:val="20"/>
                <w:szCs w:val="22"/>
              </w:rPr>
              <w:t>ПуАТ</w:t>
            </w:r>
            <w:proofErr w:type="spellEnd"/>
            <w:proofErr w:type="gramEnd"/>
            <w:r w:rsidRPr="005D6B52">
              <w:rPr>
                <w:rFonts w:ascii="Arial" w:hAnsi="Arial" w:cs="Arial"/>
                <w:sz w:val="20"/>
                <w:szCs w:val="22"/>
              </w:rPr>
              <w:t xml:space="preserve"> «КБ «АКОРДБАНК», МФО 380634</w:t>
            </w:r>
          </w:p>
          <w:p w:rsidR="005D6B52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  <w:lang w:val="uk-UA"/>
              </w:rPr>
            </w:pPr>
            <w:proofErr w:type="spellStart"/>
            <w:r w:rsidRPr="005D6B52">
              <w:rPr>
                <w:rFonts w:ascii="Arial" w:hAnsi="Arial" w:cs="Arial"/>
                <w:sz w:val="20"/>
                <w:szCs w:val="22"/>
              </w:rPr>
              <w:t>Засоби</w:t>
            </w:r>
            <w:proofErr w:type="spellEnd"/>
            <w:r w:rsidRPr="005D6B52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5D6B52">
              <w:rPr>
                <w:rFonts w:ascii="Arial" w:hAnsi="Arial" w:cs="Arial"/>
                <w:sz w:val="20"/>
                <w:szCs w:val="22"/>
              </w:rPr>
              <w:t>зв’язку</w:t>
            </w:r>
            <w:proofErr w:type="spellEnd"/>
            <w:r w:rsidRPr="005D6B52">
              <w:rPr>
                <w:rFonts w:ascii="Arial" w:hAnsi="Arial" w:cs="Arial"/>
                <w:sz w:val="20"/>
                <w:szCs w:val="22"/>
              </w:rPr>
              <w:t xml:space="preserve">: </w:t>
            </w:r>
          </w:p>
          <w:p w:rsidR="005D6B52" w:rsidRPr="005D6B52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  <w:lang w:val="uk-UA"/>
              </w:rPr>
              <w:t>Т</w:t>
            </w:r>
            <w:r w:rsidRPr="005D6B52">
              <w:rPr>
                <w:rFonts w:ascii="Arial" w:hAnsi="Arial" w:cs="Arial"/>
                <w:sz w:val="20"/>
                <w:szCs w:val="22"/>
              </w:rPr>
              <w:t>ел.+38 (098) 777-2-550</w:t>
            </w:r>
          </w:p>
          <w:p w:rsidR="005D6B52" w:rsidRPr="00DB565A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  <w:lang w:val="uk-UA"/>
              </w:rPr>
              <w:t>Е</w:t>
            </w:r>
            <w:r w:rsidRPr="00DB565A">
              <w:rPr>
                <w:rFonts w:ascii="Arial" w:hAnsi="Arial" w:cs="Arial"/>
                <w:sz w:val="20"/>
                <w:szCs w:val="22"/>
              </w:rPr>
              <w:t>-</w:t>
            </w:r>
            <w:r w:rsidRPr="005D6B52">
              <w:rPr>
                <w:rFonts w:ascii="Arial" w:hAnsi="Arial" w:cs="Arial"/>
                <w:sz w:val="20"/>
                <w:szCs w:val="22"/>
                <w:lang w:val="en-US"/>
              </w:rPr>
              <w:t>mail</w:t>
            </w:r>
            <w:r w:rsidRPr="00DB565A">
              <w:rPr>
                <w:rFonts w:ascii="Arial" w:hAnsi="Arial" w:cs="Arial"/>
                <w:sz w:val="20"/>
                <w:szCs w:val="22"/>
              </w:rPr>
              <w:t xml:space="preserve">: </w:t>
            </w:r>
            <w:hyperlink r:id="rId10" w:history="1">
              <w:r w:rsidRPr="005D6B52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roland</w:t>
              </w:r>
              <w:r w:rsidRPr="00DB565A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5D6B52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avtotrans</w:t>
              </w:r>
              <w:r w:rsidRPr="00DB565A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@</w:t>
              </w:r>
              <w:r w:rsidRPr="005D6B52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gmail</w:t>
              </w:r>
              <w:r w:rsidRPr="00DB565A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5D6B52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com</w:t>
              </w:r>
            </w:hyperlink>
          </w:p>
          <w:p w:rsidR="00735075" w:rsidRPr="005D6B52" w:rsidRDefault="005D6B52" w:rsidP="005D6B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735075" w:rsidRPr="005D6B52" w:rsidRDefault="00735075" w:rsidP="005D6B5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264EC8" w:rsidRDefault="00264EC8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  <w:p w:rsidR="00354DAE" w:rsidRPr="00331BE3" w:rsidRDefault="00354DAE" w:rsidP="00331BE3">
            <w:pPr>
              <w:pStyle w:val="ad"/>
              <w:spacing w:line="276" w:lineRule="auto"/>
              <w:ind w:right="-2"/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84163C" w:rsidRPr="00C6527C" w:rsidTr="005D6B52">
        <w:trPr>
          <w:jc w:val="center"/>
        </w:trPr>
        <w:tc>
          <w:tcPr>
            <w:tcW w:w="4994" w:type="dxa"/>
          </w:tcPr>
          <w:p w:rsidR="0084163C" w:rsidRPr="00C6527C" w:rsidRDefault="00735075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Директор</w:t>
            </w:r>
            <w:r w:rsidR="00A3719B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</w:p>
          <w:p w:rsidR="0084163C" w:rsidRPr="00C6527C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C6527C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C6527C" w:rsidRDefault="0084163C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</w:t>
            </w:r>
            <w:r w:rsidR="008C7578"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</w:t>
            </w:r>
            <w:r w:rsidR="009A40C3"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_</w:t>
            </w: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 </w:t>
            </w:r>
            <w:r w:rsidR="009E45B4"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>Руслан Стрілецький</w:t>
            </w:r>
          </w:p>
          <w:p w:rsidR="009A40C3" w:rsidRPr="00C6527C" w:rsidRDefault="009A40C3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84163C" w:rsidRPr="00C6527C" w:rsidRDefault="00D478EA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6527C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Директор </w:t>
            </w:r>
          </w:p>
          <w:p w:rsidR="0084163C" w:rsidRPr="00C6527C" w:rsidRDefault="0084163C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84163C" w:rsidRPr="00C6527C" w:rsidRDefault="0084163C" w:rsidP="00D8124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C6527C" w:rsidRDefault="0084163C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84163C" w:rsidRPr="00D81247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D81247" w:rsidRDefault="00D81247">
      <w:pPr>
        <w:rPr>
          <w:rFonts w:ascii="Arial" w:hAnsi="Arial" w:cs="Arial"/>
          <w:sz w:val="20"/>
          <w:szCs w:val="20"/>
          <w:lang w:val="uk-UA"/>
        </w:rPr>
      </w:pPr>
    </w:p>
    <w:sectPr w:rsidR="00D81247" w:rsidRPr="00D81247" w:rsidSect="002736AE">
      <w:headerReference w:type="default" r:id="rId11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167" w:rsidRDefault="00726167" w:rsidP="007C1B55">
      <w:r>
        <w:separator/>
      </w:r>
    </w:p>
  </w:endnote>
  <w:endnote w:type="continuationSeparator" w:id="0">
    <w:p w:rsidR="00726167" w:rsidRDefault="00726167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167" w:rsidRDefault="00726167" w:rsidP="007C1B55">
      <w:r>
        <w:separator/>
      </w:r>
    </w:p>
  </w:footnote>
  <w:footnote w:type="continuationSeparator" w:id="0">
    <w:p w:rsidR="00726167" w:rsidRDefault="00726167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D0551A">
      <w:rPr>
        <w:rFonts w:ascii="Arial" w:hAnsi="Arial" w:cs="Arial"/>
        <w:i/>
        <w:noProof/>
        <w:sz w:val="16"/>
      </w:rPr>
      <w:t>2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48150634">
    <w:abstractNumId w:val="5"/>
  </w:num>
  <w:num w:numId="2" w16cid:durableId="1596741937">
    <w:abstractNumId w:val="4"/>
  </w:num>
  <w:num w:numId="3" w16cid:durableId="1983343008">
    <w:abstractNumId w:val="1"/>
  </w:num>
  <w:num w:numId="4" w16cid:durableId="1537891820">
    <w:abstractNumId w:val="3"/>
  </w:num>
  <w:num w:numId="5" w16cid:durableId="1773167980">
    <w:abstractNumId w:val="6"/>
  </w:num>
  <w:num w:numId="6" w16cid:durableId="691103102">
    <w:abstractNumId w:val="0"/>
  </w:num>
  <w:num w:numId="7" w16cid:durableId="1799765101">
    <w:abstractNumId w:val="2"/>
  </w:num>
  <w:num w:numId="8" w16cid:durableId="1743722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491"/>
    <w:rsid w:val="00046B07"/>
    <w:rsid w:val="00047A7D"/>
    <w:rsid w:val="000577E7"/>
    <w:rsid w:val="00074E8D"/>
    <w:rsid w:val="00092FD8"/>
    <w:rsid w:val="00094E65"/>
    <w:rsid w:val="000A6EE3"/>
    <w:rsid w:val="000B2069"/>
    <w:rsid w:val="000C0BC8"/>
    <w:rsid w:val="000C7284"/>
    <w:rsid w:val="000E2E1C"/>
    <w:rsid w:val="0011486A"/>
    <w:rsid w:val="00136AF7"/>
    <w:rsid w:val="00152C2F"/>
    <w:rsid w:val="001669E9"/>
    <w:rsid w:val="0019571E"/>
    <w:rsid w:val="001B6AB5"/>
    <w:rsid w:val="001D67FD"/>
    <w:rsid w:val="001E1150"/>
    <w:rsid w:val="001E6FC0"/>
    <w:rsid w:val="001F2362"/>
    <w:rsid w:val="0021009D"/>
    <w:rsid w:val="0022707E"/>
    <w:rsid w:val="00237F3D"/>
    <w:rsid w:val="00245F48"/>
    <w:rsid w:val="00264EC8"/>
    <w:rsid w:val="002736AE"/>
    <w:rsid w:val="002A627B"/>
    <w:rsid w:val="002C275B"/>
    <w:rsid w:val="002F22C2"/>
    <w:rsid w:val="002F25CE"/>
    <w:rsid w:val="002F5183"/>
    <w:rsid w:val="0030665D"/>
    <w:rsid w:val="00331BE3"/>
    <w:rsid w:val="003373ED"/>
    <w:rsid w:val="003507D9"/>
    <w:rsid w:val="003543F4"/>
    <w:rsid w:val="00354DAE"/>
    <w:rsid w:val="003D0AF2"/>
    <w:rsid w:val="003D1BB3"/>
    <w:rsid w:val="003D5029"/>
    <w:rsid w:val="003E36D5"/>
    <w:rsid w:val="003F3059"/>
    <w:rsid w:val="00413926"/>
    <w:rsid w:val="004739AC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85C03"/>
    <w:rsid w:val="00597885"/>
    <w:rsid w:val="005A6157"/>
    <w:rsid w:val="005A65C0"/>
    <w:rsid w:val="005B325C"/>
    <w:rsid w:val="005B468E"/>
    <w:rsid w:val="005D49C6"/>
    <w:rsid w:val="005D6B52"/>
    <w:rsid w:val="005D6E88"/>
    <w:rsid w:val="005F0F04"/>
    <w:rsid w:val="00601A11"/>
    <w:rsid w:val="0061380C"/>
    <w:rsid w:val="00633197"/>
    <w:rsid w:val="00633468"/>
    <w:rsid w:val="00654835"/>
    <w:rsid w:val="0072581F"/>
    <w:rsid w:val="00726167"/>
    <w:rsid w:val="00735075"/>
    <w:rsid w:val="00737A0B"/>
    <w:rsid w:val="00744275"/>
    <w:rsid w:val="007455EB"/>
    <w:rsid w:val="007732EF"/>
    <w:rsid w:val="00793185"/>
    <w:rsid w:val="007946FB"/>
    <w:rsid w:val="007C1B55"/>
    <w:rsid w:val="007C2178"/>
    <w:rsid w:val="007D6F6D"/>
    <w:rsid w:val="007E76FF"/>
    <w:rsid w:val="007F63B5"/>
    <w:rsid w:val="008159F0"/>
    <w:rsid w:val="0084163C"/>
    <w:rsid w:val="00877BF3"/>
    <w:rsid w:val="008A36A0"/>
    <w:rsid w:val="008C7578"/>
    <w:rsid w:val="008D0659"/>
    <w:rsid w:val="008D2B55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64E3"/>
    <w:rsid w:val="00A3719B"/>
    <w:rsid w:val="00A443E2"/>
    <w:rsid w:val="00A4471F"/>
    <w:rsid w:val="00A555B6"/>
    <w:rsid w:val="00A55A0A"/>
    <w:rsid w:val="00A56E6B"/>
    <w:rsid w:val="00A640E6"/>
    <w:rsid w:val="00A77AD6"/>
    <w:rsid w:val="00A920E2"/>
    <w:rsid w:val="00AA58CF"/>
    <w:rsid w:val="00AE396B"/>
    <w:rsid w:val="00AF0C0B"/>
    <w:rsid w:val="00B0261C"/>
    <w:rsid w:val="00B030E9"/>
    <w:rsid w:val="00B15328"/>
    <w:rsid w:val="00B42604"/>
    <w:rsid w:val="00B82579"/>
    <w:rsid w:val="00BA05F5"/>
    <w:rsid w:val="00BA1294"/>
    <w:rsid w:val="00BA6928"/>
    <w:rsid w:val="00BE20BB"/>
    <w:rsid w:val="00BF1149"/>
    <w:rsid w:val="00C02319"/>
    <w:rsid w:val="00C06C3D"/>
    <w:rsid w:val="00C22276"/>
    <w:rsid w:val="00C26CE2"/>
    <w:rsid w:val="00C30732"/>
    <w:rsid w:val="00C6527C"/>
    <w:rsid w:val="00C66980"/>
    <w:rsid w:val="00C83721"/>
    <w:rsid w:val="00C92D8E"/>
    <w:rsid w:val="00CB5C4C"/>
    <w:rsid w:val="00CB6AE9"/>
    <w:rsid w:val="00CC4694"/>
    <w:rsid w:val="00CD553B"/>
    <w:rsid w:val="00D0551A"/>
    <w:rsid w:val="00D05C8F"/>
    <w:rsid w:val="00D400F3"/>
    <w:rsid w:val="00D478EA"/>
    <w:rsid w:val="00D548D9"/>
    <w:rsid w:val="00D712BB"/>
    <w:rsid w:val="00D746DF"/>
    <w:rsid w:val="00D81247"/>
    <w:rsid w:val="00DB01FA"/>
    <w:rsid w:val="00DB565A"/>
    <w:rsid w:val="00DC7C91"/>
    <w:rsid w:val="00DE538B"/>
    <w:rsid w:val="00E02162"/>
    <w:rsid w:val="00E27A6F"/>
    <w:rsid w:val="00E43F68"/>
    <w:rsid w:val="00E46E3B"/>
    <w:rsid w:val="00EA167D"/>
    <w:rsid w:val="00EB28FF"/>
    <w:rsid w:val="00EC1E25"/>
    <w:rsid w:val="00EC417D"/>
    <w:rsid w:val="00ED2FB7"/>
    <w:rsid w:val="00EE74E9"/>
    <w:rsid w:val="00F14C55"/>
    <w:rsid w:val="00F33EDD"/>
    <w:rsid w:val="00F61BE6"/>
    <w:rsid w:val="00F71315"/>
    <w:rsid w:val="00F7559D"/>
    <w:rsid w:val="00F76EA5"/>
    <w:rsid w:val="00FA6454"/>
    <w:rsid w:val="00FA67D1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8D6B7"/>
  <w15:chartTrackingRefBased/>
  <w15:docId w15:val="{05D33027-D094-E042-B885-995CD516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land.avtotran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047C-0FEF-4CE6-AF46-98F170F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1610</Words>
  <Characters>9182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10771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4</cp:revision>
  <cp:lastPrinted>2023-02-20T11:35:00Z</cp:lastPrinted>
  <dcterms:created xsi:type="dcterms:W3CDTF">2023-11-02T23:39:00Z</dcterms:created>
  <dcterms:modified xsi:type="dcterms:W3CDTF">2023-11-06T19:44:00Z</dcterms:modified>
</cp:coreProperties>
</file>