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05"/>
        <w:gridCol w:w="2844"/>
      </w:tblGrid>
      <w:tr>
        <w:trPr/>
        <w:tc>
          <w:tcPr>
            <w:tcW w:w="12405" w:type="dxa"/>
            <w:tcBorders/>
            <w:vAlign w:val="center"/>
          </w:tcPr>
          <w:p>
            <w:pPr>
              <w:pStyle w:val="Taularenedukia"/>
              <w:bidi w:val="0"/>
              <w:spacing w:before="0" w:after="283"/>
              <w:ind w:hanging="0" w:left="0" w:right="0"/>
              <w:jc w:val="left"/>
              <w:rPr>
                <w:color w:val="5C5882"/>
                <w:sz w:val="14"/>
              </w:rPr>
            </w:pPr>
            <w:r>
              <w:rPr>
                <w:color w:val="5C5882"/>
                <w:sz w:val="14"/>
              </w:rPr>
              <w:t>artifiziala.eus · PISA 2029 · MAIL · T12</w:t>
            </w:r>
          </w:p>
          <w:p>
            <w:pPr>
              <w:pStyle w:val="Heading1"/>
              <w:bidi w:val="0"/>
              <w:jc w:val="left"/>
              <w:rPr/>
            </w:pPr>
            <w:r>
              <w:rPr/>
              <w:t>Unitate didaktikoa: MAIL 10 saiotan</w:t>
            </w:r>
          </w:p>
          <w:p>
            <w:pPr>
              <w:pStyle w:val="Taularenedukia"/>
              <w:bidi w:val="0"/>
              <w:ind w:hanging="0" w:left="0" w:right="0"/>
              <w:jc w:val="left"/>
              <w:rPr>
                <w:color w:val="5C5882"/>
              </w:rPr>
            </w:pPr>
            <w:r>
              <w:rPr>
                <w:color w:val="5C5882"/>
              </w:rPr>
              <w:t>DBH 3–4rako proposamena (50 min/saio). Egokitu ikasgai eta taldearen arabera.</w:t>
            </w:r>
          </w:p>
        </w:tc>
        <w:tc>
          <w:tcPr>
            <w:tcW w:w="2844" w:type="dxa"/>
            <w:tcBorders/>
          </w:tcPr>
          <w:p>
            <w:pPr>
              <w:pStyle w:val="Taularenedukia"/>
              <w:bidi w:val="0"/>
              <w:jc w:val="right"/>
              <w:rPr>
                <w:color w:val="5C5882"/>
                <w:sz w:val="14"/>
              </w:rPr>
            </w:pPr>
            <w:r>
              <w:rPr>
                <w:color w:val="5C5882"/>
                <w:sz w:val="14"/>
              </w:rPr>
              <w:t>Irakasleentzat · Plangintza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608"/>
        <w:gridCol w:w="3050"/>
        <w:gridCol w:w="2135"/>
        <w:gridCol w:w="4576"/>
        <w:gridCol w:w="2745"/>
        <w:gridCol w:w="2135"/>
      </w:tblGrid>
      <w:tr>
        <w:trPr/>
        <w:tc>
          <w:tcPr>
            <w:tcW w:w="60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#</w:t>
            </w:r>
          </w:p>
        </w:tc>
        <w:tc>
          <w:tcPr>
            <w:tcW w:w="305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Saioa</w:t>
            </w:r>
          </w:p>
        </w:tc>
        <w:tc>
          <w:tcPr>
            <w:tcW w:w="213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Gaitasunak</w:t>
            </w:r>
          </w:p>
        </w:tc>
        <w:tc>
          <w:tcPr>
            <w:tcW w:w="457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Jarduera nagusia</w:t>
            </w:r>
          </w:p>
        </w:tc>
        <w:tc>
          <w:tcPr>
            <w:tcW w:w="274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Baliabideak (artifiziala.eus/pisa2029)</w:t>
            </w:r>
          </w:p>
        </w:tc>
        <w:tc>
          <w:tcPr>
            <w:tcW w:w="213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jc w:val="left"/>
              <w:rPr/>
            </w:pPr>
            <w:r>
              <w:rPr/>
              <w:t>Oharrak</w:t>
            </w:r>
          </w:p>
        </w:tc>
      </w:tr>
      <w:tr>
        <w:trPr/>
        <w:tc>
          <w:tcPr>
            <w:tcW w:w="6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0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Zer da MAIL? Nire dieta digitala</w:t>
            </w:r>
          </w:p>
        </w:tc>
        <w:tc>
          <w:tcPr>
            <w:tcW w:w="21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Etika · Eskuratu</w:t>
            </w:r>
          </w:p>
        </w:tc>
        <w:tc>
          <w:tcPr>
            <w:tcW w:w="45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Pantaila-denboraren eta aplikazioen auditoria; hiru kontzeptu gakoak.</w:t>
            </w:r>
          </w:p>
        </w:tc>
        <w:tc>
          <w:tcPr>
            <w:tcW w:w="27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markoa.html · T10</w:t>
            </w:r>
          </w:p>
        </w:tc>
        <w:tc>
          <w:tcPr>
            <w:tcW w:w="21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6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30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Nork aukeratzen du zer ikusten dudan?</w:t>
            </w:r>
          </w:p>
        </w:tc>
        <w:tc>
          <w:tcPr>
            <w:tcW w:w="21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Eskuratu · Etika</w:t>
            </w:r>
          </w:p>
        </w:tc>
        <w:tc>
          <w:tcPr>
            <w:tcW w:w="45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Jario-simulagailua; gomendio-sistemen eztabaida.</w:t>
            </w:r>
          </w:p>
        </w:tc>
        <w:tc>
          <w:tcPr>
            <w:tcW w:w="27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etika.html · jarioa</w:t>
            </w:r>
          </w:p>
        </w:tc>
        <w:tc>
          <w:tcPr>
            <w:tcW w:w="21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6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0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Bilatu hobeto, galdetu hobeto</w:t>
            </w:r>
          </w:p>
        </w:tc>
        <w:tc>
          <w:tcPr>
            <w:tcW w:w="21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Eskuratu</w:t>
            </w:r>
          </w:p>
        </w:tc>
        <w:tc>
          <w:tcPr>
            <w:tcW w:w="45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Bilaketa-lasterketa; prompt onaren 5 gakoak.</w:t>
            </w:r>
          </w:p>
        </w:tc>
        <w:tc>
          <w:tcPr>
            <w:tcW w:w="27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sarbidea.html</w:t>
            </w:r>
          </w:p>
        </w:tc>
        <w:tc>
          <w:tcPr>
            <w:tcW w:w="21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6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30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Pribatutasuna eta datuak</w:t>
            </w:r>
          </w:p>
        </w:tc>
        <w:tc>
          <w:tcPr>
            <w:tcW w:w="21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Eskuratu · Etika</w:t>
            </w:r>
          </w:p>
        </w:tc>
        <w:tc>
          <w:tcPr>
            <w:tcW w:w="45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Pribatutasun-panela; bakarkako auditoria.</w:t>
            </w:r>
          </w:p>
        </w:tc>
        <w:tc>
          <w:tcPr>
            <w:tcW w:w="27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sarbidea.html · T07</w:t>
            </w:r>
          </w:p>
        </w:tc>
        <w:tc>
          <w:tcPr>
            <w:tcW w:w="21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6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30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Manipulazioaren txertoa</w:t>
            </w:r>
          </w:p>
        </w:tc>
        <w:tc>
          <w:tcPr>
            <w:tcW w:w="21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Aztertu</w:t>
            </w:r>
          </w:p>
        </w:tc>
        <w:tc>
          <w:tcPr>
            <w:tcW w:w="45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Limurtze-teknikak; iragarki ezkutuak; ariketak AZ-01/02.</w:t>
            </w:r>
          </w:p>
        </w:tc>
        <w:tc>
          <w:tcPr>
            <w:tcW w:w="27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aztertu.html · T02</w:t>
            </w:r>
          </w:p>
        </w:tc>
        <w:tc>
          <w:tcPr>
            <w:tcW w:w="21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6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30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Irakurketa laterala</w:t>
            </w:r>
          </w:p>
        </w:tc>
        <w:tc>
          <w:tcPr>
            <w:tcW w:w="21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Aztertu</w:t>
            </w:r>
          </w:p>
        </w:tc>
        <w:tc>
          <w:tcPr>
            <w:tcW w:w="45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SIFT; egiaztatzaile-taldeak albiste biral batekin.</w:t>
            </w:r>
          </w:p>
        </w:tc>
        <w:tc>
          <w:tcPr>
            <w:tcW w:w="27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aztertu.html · T01</w:t>
            </w:r>
          </w:p>
        </w:tc>
        <w:tc>
          <w:tcPr>
            <w:tcW w:w="21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6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30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Ataza luzea: kazetari gaztea</w:t>
            </w:r>
          </w:p>
        </w:tc>
        <w:tc>
          <w:tcPr>
            <w:tcW w:w="21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Aztertu · Sortu</w:t>
            </w:r>
          </w:p>
        </w:tc>
        <w:tc>
          <w:tcPr>
            <w:tcW w:w="45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Simulagailu nagusia bikoteka; txostenak alderatu.</w:t>
            </w:r>
          </w:p>
        </w:tc>
        <w:tc>
          <w:tcPr>
            <w:tcW w:w="27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simulagailua.html</w:t>
            </w:r>
          </w:p>
        </w:tc>
        <w:tc>
          <w:tcPr>
            <w:tcW w:w="21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6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30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Elkarlana eta gatazkak</w:t>
            </w:r>
          </w:p>
        </w:tc>
        <w:tc>
          <w:tcPr>
            <w:tcW w:w="21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Parte hartu</w:t>
            </w:r>
          </w:p>
        </w:tc>
        <w:tc>
          <w:tcPr>
            <w:tcW w:w="45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Talde-txataren simulagailua; rol-jokoa.</w:t>
            </w:r>
          </w:p>
        </w:tc>
        <w:tc>
          <w:tcPr>
            <w:tcW w:w="27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parte-hartu.html · T06</w:t>
            </w:r>
          </w:p>
        </w:tc>
        <w:tc>
          <w:tcPr>
            <w:tcW w:w="21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6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30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Sortu arduraz</w:t>
            </w:r>
          </w:p>
        </w:tc>
        <w:tc>
          <w:tcPr>
            <w:tcW w:w="21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Sortu · Etika</w:t>
            </w:r>
          </w:p>
        </w:tc>
        <w:tc>
          <w:tcPr>
            <w:tcW w:w="45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Kontra-kanpaina; kanpaina-editorea; AAren adierazpena.</w:t>
            </w:r>
          </w:p>
        </w:tc>
        <w:tc>
          <w:tcPr>
            <w:tcW w:w="27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sortu.html · T05 · T03</w:t>
            </w:r>
          </w:p>
        </w:tc>
        <w:tc>
          <w:tcPr>
            <w:tcW w:w="21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60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305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Proba-saioa eta hausnarketa</w:t>
            </w:r>
          </w:p>
        </w:tc>
        <w:tc>
          <w:tcPr>
            <w:tcW w:w="213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Guztiak</w:t>
            </w:r>
          </w:p>
        </w:tc>
        <w:tc>
          <w:tcPr>
            <w:tcW w:w="457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Proba-saio ertaina; errubrika eta autoebaluazioa; gelako AA akordioa.</w:t>
            </w:r>
          </w:p>
        </w:tc>
        <w:tc>
          <w:tcPr>
            <w:tcW w:w="274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ariketak.html · T08 · T04</w:t>
            </w:r>
          </w:p>
        </w:tc>
        <w:tc>
          <w:tcPr>
            <w:tcW w:w="213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50"/>
      </w:tblGrid>
      <w:tr>
        <w:trPr/>
        <w:tc>
          <w:tcPr>
            <w:tcW w:w="15250" w:type="dxa"/>
            <w:tcBorders/>
            <w:shd w:fill="2F2B7A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Ebaluazio-plana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15250"/>
      </w:tblGrid>
      <w:tr>
        <w:trPr/>
        <w:tc>
          <w:tcPr>
            <w:tcW w:w="1525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52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525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p>
      <w:pPr>
        <w:pStyle w:val="BodyTextfoot"/>
        <w:bidi w:val="0"/>
        <w:spacing w:before="210" w:after="140"/>
        <w:jc w:val="left"/>
        <w:rPr/>
      </w:pPr>
      <w:r>
        <w:rPr/>
        <w:t>artifiziala.eus · CC BY-NC-SA 4.0 · ELGAren PISA 2029 MAIL markoan (lehen zirriborroa, 2026) oinarritutako material didaktiko independentea. Ez da ELGAren baliabide ofiziala.</w:t>
      </w:r>
    </w:p>
    <w:sectPr>
      <w:type w:val="nextPage"/>
      <w:pgSz w:orient="landscape" w:w="16838" w:h="11906"/>
      <w:pgMar w:left="794" w:right="794" w:gutter="0" w:header="0" w:top="794" w:footer="0" w:bottom="79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altName w:val="Arial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u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DejaVu Sans;Arial;sans-serif" w:hAnsi="DejaVu Sans;Arial;sans-serif" w:eastAsia="DejaVu Sans;Arial;sans-serif" w:cs="DejaVu Sans;Arial;sans-serif"/>
      <w:color w:val="26234F"/>
      <w:sz w:val="20"/>
      <w:szCs w:val="20"/>
      <w:lang w:val="eu-ES" w:eastAsia="zh-CN" w:bidi="hi-IN"/>
    </w:rPr>
  </w:style>
  <w:style w:type="paragraph" w:styleId="Heading1">
    <w:name w:val="Heading 1"/>
    <w:basedOn w:val="Izenburua"/>
    <w:next w:val="BodyText"/>
    <w:qFormat/>
    <w:pPr>
      <w:spacing w:before="30" w:after="30"/>
      <w:ind w:left="30" w:right="30"/>
      <w:outlineLvl w:val="0"/>
    </w:pPr>
    <w:rPr>
      <w:rFonts w:ascii="Liberation Serif" w:hAnsi="Liberation Serif" w:eastAsia="Noto Serif CJK SC" w:cs="Noto Sans Devanagari"/>
      <w:b/>
      <w:bCs/>
      <w:color w:val="26234F"/>
      <w:sz w:val="38"/>
      <w:szCs w:val="38"/>
    </w:rPr>
  </w:style>
  <w:style w:type="paragraph" w:styleId="Izenburua">
    <w:name w:val="Izenburua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zea">
    <w:name w:val="Indizea"/>
    <w:basedOn w:val="Normal"/>
    <w:qFormat/>
    <w:pPr>
      <w:suppressLineNumbers/>
    </w:pPr>
    <w:rPr>
      <w:rFonts w:cs="Noto Sans Devanagari"/>
    </w:rPr>
  </w:style>
  <w:style w:type="paragraph" w:styleId="Taularenedukia">
    <w:name w:val="Taularen edukia"/>
    <w:basedOn w:val="Normal"/>
    <w:qFormat/>
    <w:pPr>
      <w:widowControl w:val="false"/>
      <w:suppressLineNumbers/>
    </w:pPr>
    <w:rPr>
      <w:sz w:val="19"/>
      <w:szCs w:val="19"/>
    </w:rPr>
  </w:style>
  <w:style w:type="paragraph" w:styleId="Taularenizenburua">
    <w:name w:val="Taularen izenburua"/>
    <w:basedOn w:val="Taularenedukia"/>
    <w:qFormat/>
    <w:pPr>
      <w:suppressLineNumbers/>
      <w:jc w:val="center"/>
    </w:pPr>
    <w:rPr>
      <w:b/>
      <w:bCs/>
      <w:sz w:val="19"/>
      <w:szCs w:val="19"/>
    </w:rPr>
  </w:style>
  <w:style w:type="paragraph" w:styleId="BodyTextfoot">
    <w:name w:val="Body Text.foot"/>
    <w:basedOn w:val="BodyText"/>
    <w:qFormat/>
    <w:pPr>
      <w:spacing w:before="210" w:after="140"/>
    </w:pPr>
    <w:rPr>
      <w:color w:val="8A87A8"/>
      <w:sz w:val="15"/>
      <w:szCs w:val="1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eu-ES</dc:language>
  <cp:lastModifiedBy/>
  <cp:revision>0</cp:revision>
  <dc:subject/>
  <dc:title>Unitate didaktikoa: MAIL 10 saiotan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