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asset</w:t>
      </w:r>
      <w:r>
        <w:t xml:space="preserve"> </w:t>
      </w:r>
      <w:r>
        <w:t xml:space="preserve">correlation</w:t>
      </w:r>
      <w:r>
        <w:t xml:space="preserve"> </w:t>
      </w:r>
      <w:r>
        <w:t xml:space="preserve">in</w:t>
      </w:r>
      <w:r>
        <w:t xml:space="preserve"> </w:t>
      </w:r>
      <w:r>
        <w:t xml:space="preserve">the</w:t>
      </w:r>
      <w:r>
        <w:t xml:space="preserve"> </w:t>
      </w:r>
      <w:r>
        <w:t xml:space="preserve">single</w:t>
      </w:r>
      <w:r>
        <w:t xml:space="preserve"> </w:t>
      </w:r>
      <w:r>
        <w:t xml:space="preserve">risk</w:t>
      </w:r>
      <w:r>
        <w:t xml:space="preserve"> </w:t>
      </w:r>
      <w:r>
        <w:t xml:space="preserve">factor</w:t>
      </w:r>
      <w:r>
        <w:t xml:space="preserve"> </w:t>
      </w:r>
      <w:r>
        <w:t xml:space="preserve">model</w:t>
      </w:r>
      <w:r>
        <w:t xml:space="preserve"> </w:t>
      </w:r>
      <w:r>
        <w:t xml:space="preserve">on</w:t>
      </w:r>
      <w:r>
        <w:t xml:space="preserve"> </w:t>
      </w:r>
      <w:r>
        <w:t xml:space="preserve">Dutch</w:t>
      </w:r>
      <w:r>
        <w:t xml:space="preserve"> </w:t>
      </w:r>
      <w:r>
        <w:t xml:space="preserve">mortgage</w:t>
      </w:r>
      <w:r>
        <w:t xml:space="preserve"> </w:t>
      </w:r>
      <w:r>
        <w:t xml:space="preserve">data</w:t>
      </w:r>
    </w:p>
    <w:p>
      <w:pPr>
        <w:pStyle w:val="Authors"/>
      </w:pPr>
      <w:r>
        <w:t xml:space="preserve">P.</w:t>
      </w:r>
      <w:r>
        <w:t xml:space="preserve"> </w:t>
      </w:r>
      <w:r>
        <w:t xml:space="preserve">van</w:t>
      </w:r>
      <w:r>
        <w:t xml:space="preserve"> </w:t>
      </w:r>
      <w:r>
        <w:t xml:space="preserve">den</w:t>
      </w:r>
      <w:r>
        <w:t xml:space="preserve"> </w:t>
      </w:r>
      <w:r>
        <w:t xml:space="preserve">Berg,</w:t>
      </w:r>
      <w:r>
        <w:t xml:space="preserve"> </w:t>
      </w:r>
      <w:r>
        <w:t xml:space="preserve">A.</w:t>
      </w:r>
      <w:r>
        <w:t xml:space="preserve"> </w:t>
      </w:r>
      <w:r>
        <w:t xml:space="preserve">Colangelo</w:t>
      </w:r>
    </w:p>
    <w:p>
      <w:pPr>
        <w:pStyle w:val="Date"/>
      </w:pPr>
      <w:r>
        <w:t xml:space="preserve">6</w:t>
      </w:r>
      <w:r>
        <w:t xml:space="preserve"> </w:t>
      </w:r>
      <w:r>
        <w:t xml:space="preserve">August,</w:t>
      </w:r>
      <w:r>
        <w:t xml:space="preserve"> </w:t>
      </w:r>
      <w:r>
        <w:t xml:space="preserve">2014</w:t>
      </w:r>
    </w:p>
    <w:bookmarkStart w:id="21" w:name="introduction"/>
    <w:p>
      <w:pPr>
        <w:pStyle w:val="Heading2"/>
      </w:pPr>
      <w:r>
        <w:t xml:space="preserve">Introduction</w:t>
      </w:r>
    </w:p>
    <w:bookmarkEnd w:id="21"/>
    <w:p>
      <w:r>
        <w:t xml:space="preserve">Banks calculate the required capital for unexpected credit losses using a prescribed formula,</w:t>
      </w:r>
    </w:p>
    <w:p>
      <m:oMathPara>
        <m:oMathParaPr>
          <m:jc m:val="center"/>
        </m:oMathParaPr>
        <m:oMath>
          <m:r>
            <m:rPr>
              <m:sty m:val="p"/>
            </m:rPr>
            <m:t>RWA</m:t>
          </m:r>
          <m:r>
            <m:rPr/>
            <m:t>∝</m:t>
          </m:r>
          <m:d>
            <m:dPr>
              <m:begChr m:val="("/>
              <m:endChr m:val=")"/>
              <m:grow/>
            </m:dPr>
            <m:e>
              <m:sSub>
                <m:e>
                  <m:r>
                    <m:rPr>
                      <m:sty m:val="p"/>
                    </m:rPr>
                    <m:t>PD</m:t>
                  </m:r>
                </m:e>
                <m:sub>
                  <m:r>
                    <m:rPr>
                      <m:sty m:val="p"/>
                    </m:rPr>
                    <m:t>stressed</m:t>
                  </m:r>
                </m:sub>
              </m:sSub>
              <m:r>
                <m:rPr/>
                <m:t>−</m:t>
              </m:r>
              <m:sSub>
                <m:e>
                  <m:r>
                    <m:rPr>
                      <m:sty m:val="p"/>
                    </m:rPr>
                    <m:t>PD</m:t>
                  </m:r>
                </m:e>
                <m:sub>
                  <m:r>
                    <m:rPr>
                      <m:sty m:val="p"/>
                    </m:rPr>
                    <m:t>lta</m:t>
                  </m:r>
                </m:sub>
              </m:sSub>
            </m:e>
          </m:d>
        </m:oMath>
      </m:oMathPara>
    </w:p>
    <w:p>
      <w:r>
        <w:t xml:space="preserve">where</w:t>
      </w:r>
      <w:r>
        <w:t xml:space="preserve"> </w:t>
      </w:r>
      <m:oMath>
        <m:sSub>
          <m:e>
            <m:r>
              <m:rPr>
                <m:sty m:val="p"/>
              </m:rPr>
              <m:t>PD</m:t>
            </m:r>
          </m:e>
          <m:sub>
            <m:r>
              <m:rPr>
                <m:sty m:val="p"/>
              </m:rPr>
              <m:t>lta</m:t>
            </m:r>
          </m:sub>
        </m:sSub>
      </m:oMath>
      <w:r>
        <w:t xml:space="preserve"> </w:t>
      </w:r>
      <w:r>
        <w:t xml:space="preserve">is the bank’s estimate of the long term average yearly default probability of an exposure, typically conditioned on counterparty and loan-specific factors and</w:t>
      </w:r>
      <w:r>
        <w:t xml:space="preserve"> </w:t>
      </w:r>
      <m:oMath>
        <m:r>
          <m:rPr/>
          <m:t>P</m:t>
        </m:r>
        <m:sSub>
          <m:e>
            <m:r>
              <m:rPr/>
              <m:t>D</m:t>
            </m:r>
          </m:e>
          <m:sub>
            <m:r>
              <m:rPr>
                <m:sty m:val="p"/>
              </m:rPr>
              <m:t>stressed</m:t>
            </m:r>
          </m:sub>
        </m:sSub>
      </m:oMath>
      <w:r>
        <w:t xml:space="preserve"> </w:t>
      </w:r>
      <w:r>
        <w:t xml:space="preserve">is the</w:t>
      </w:r>
      <w:r>
        <w:t xml:space="preserve"> </w:t>
      </w:r>
      <w:r>
        <w:t xml:space="preserve">‘</w:t>
      </w:r>
      <w:r>
        <w:t xml:space="preserve">stressed</w:t>
      </w:r>
      <w:r>
        <w:t xml:space="preserve">’</w:t>
      </w:r>
      <w:r>
        <w:t xml:space="preserve"> </w:t>
      </w:r>
      <w:r>
        <w:t xml:space="preserve">PD, which corresponds to the 99.9</w:t>
      </w:r>
      <m:oMath>
        <m:sSup>
          <m:e>
            <m:r>
              <m:rPr/>
              <m:t/>
            </m:r>
          </m:e>
          <m:sup>
            <m:r>
              <m:rPr>
                <m:sty m:val="p"/>
              </m:rPr>
              <m:t>th</m:t>
            </m:r>
          </m:sup>
        </m:sSup>
      </m:oMath>
      <w:r>
        <w:t xml:space="preserve"> </w:t>
      </w:r>
      <w:r>
        <w:t xml:space="preserve">percentile of the distribution of an assumed single risk factor representing systemic risk, i.e., a risk factor which determines the amount of correlation between defaults and which is assumed to fluctuate year by year.</w:t>
      </w:r>
    </w:p>
    <w:bookmarkStart w:id="22" w:name="model-specification"/>
    <w:p>
      <w:pPr>
        <w:pStyle w:val="Heading2"/>
      </w:pPr>
      <w:r>
        <w:t xml:space="preserve">Model specification</w:t>
      </w:r>
    </w:p>
    <w:bookmarkEnd w:id="22"/>
    <w:p>
      <w:r>
        <w:t xml:space="preserve">Our data consists of</w:t>
      </w:r>
      <w:r>
        <w:t xml:space="preserve"> </w:t>
      </w:r>
      <m:oMath>
        <m:r>
          <m:rPr/>
          <m:t>N</m:t>
        </m:r>
        <m:r>
          <m:rPr/>
          <m:t>=</m:t>
        </m:r>
        <m:nary>
          <m:naryPr>
            <m:chr m:val="∑"/>
            <m:limLoc m:val="subSup"/>
            <m:supHide m:val="off"/>
            <m:supHide m:val="off"/>
          </m:naryPr>
          <m:e>
            <m:sSub>
              <m:e>
                <m:r>
                  <m:rPr/>
                  <m:t>N</m:t>
                </m:r>
              </m:e>
              <m:sub>
                <m:r>
                  <m:rPr/>
                  <m:t>b</m:t>
                </m:r>
                <m:r>
                  <m:rPr/>
                  <m:t>t</m:t>
                </m:r>
              </m:sub>
            </m:sSub>
          </m:e>
          <m:sub>
            <m:r>
              <m:rPr/>
              <m:t>b</m:t>
            </m:r>
            <m:r>
              <m:rPr/>
              <m:t>,</m:t>
            </m:r>
            <m:r>
              <m:rPr/>
              <m:t>t</m:t>
            </m:r>
          </m:sub>
          <m:sup/>
        </m:nary>
      </m:oMath>
      <w:r>
        <w:t xml:space="preserve"> </w:t>
      </w:r>
      <w:r>
        <w:t xml:space="preserve">observations of binary variable</w:t>
      </w:r>
    </w:p>
    <w:p>
      <m:oMathPara>
        <m:oMathParaPr>
          <m:jc m:val="center"/>
        </m:oMathParaPr>
        <m:oMath>
          <m:sSubSup>
            <m:e>
              <m:r>
                <m:rPr/>
                <m:t>D</m:t>
              </m:r>
            </m:e>
            <m:sub>
              <m:r>
                <m:rPr/>
                <m:t>i</m:t>
              </m:r>
            </m:sub>
            <m:sup>
              <m:r>
                <m:rPr/>
                <m:t>(</m:t>
              </m:r>
              <m:r>
                <m:rPr/>
                <m:t>b</m:t>
              </m:r>
              <m:r>
                <m:rPr/>
                <m:t>t</m:t>
              </m:r>
              <m:r>
                <m:rPr/>
                <m:t>)</m:t>
              </m:r>
            </m:sup>
          </m:sSubSup>
          <m:r>
            <m:rPr/>
            <m:t>,</m:t>
          </m:r>
          <m:r>
            <m:rPr/>
            <m:t>i</m:t>
          </m:r>
          <m:r>
            <m:rPr/>
            <m:t>=</m:t>
          </m:r>
          <m:r>
            <m:rPr/>
            <m:t>1</m:t>
          </m:r>
          <m:r>
            <m:rPr/>
            <m:t>…</m:t>
          </m:r>
          <m:sSub>
            <m:e>
              <m:r>
                <m:rPr/>
                <m:t>N</m:t>
              </m:r>
            </m:e>
            <m:sub>
              <m:r>
                <m:rPr/>
                <m:t>b</m:t>
              </m:r>
              <m:r>
                <m:rPr/>
                <m:t>t</m:t>
              </m:r>
            </m:sub>
          </m:sSub>
          <m:r>
            <m:rPr/>
            <m:t>,</m:t>
          </m:r>
          <m:r>
            <m:rPr/>
            <m:t>b</m:t>
          </m:r>
          <m:r>
            <m:rPr/>
            <m:t>=</m:t>
          </m:r>
          <m:r>
            <m:rPr/>
            <m:t>1</m:t>
          </m:r>
          <m:r>
            <m:rPr/>
            <m:t>…</m:t>
          </m:r>
          <m:r>
            <m:rPr/>
            <m:t>B</m:t>
          </m:r>
          <m:r>
            <m:rPr/>
            <m:t>,</m:t>
          </m:r>
          <m:r>
            <m:rPr/>
            <m:t>t</m:t>
          </m:r>
          <m:r>
            <m:rPr/>
            <m:t>=</m:t>
          </m:r>
          <m:r>
            <m:rPr/>
            <m:t>1</m:t>
          </m:r>
          <m:r>
            <m:rPr/>
            <m:t>…</m:t>
          </m:r>
          <m:r>
            <m:rPr/>
            <m:t>T</m:t>
          </m:r>
        </m:oMath>
      </m:oMathPara>
    </w:p>
    <w:p>
      <w:r>
        <w:t xml:space="preserve">The observations are segmented over</w:t>
      </w:r>
      <w:r>
        <w:t xml:space="preserve"> </w:t>
      </w:r>
      <m:oMath>
        <m:r>
          <m:rPr/>
          <m:t>B</m:t>
        </m:r>
      </m:oMath>
      <w:r>
        <w:t xml:space="preserve"> </w:t>
      </w:r>
      <w:r>
        <w:t xml:space="preserve">buckets which represent some ordering over the average default rate, i.e., a PD model. This segmentation we regard as given. The single risk factor model is specified as follows: the likelihood of finding</w:t>
      </w:r>
      <w:r>
        <w:t xml:space="preserve"> </w:t>
      </w:r>
      <m:oMath>
        <m:sSub>
          <m:e>
            <m:r>
              <m:rPr/>
              <m:t>k</m:t>
            </m:r>
          </m:e>
          <m:sub>
            <m:r>
              <m:rPr/>
              <m:t>b</m:t>
            </m:r>
            <m:r>
              <m:rPr/>
              <m:t>t</m:t>
            </m:r>
          </m:sub>
        </m:sSub>
      </m:oMath>
      <w:r>
        <w:t xml:space="preserve"> </w:t>
      </w:r>
      <w:r>
        <w:t xml:space="preserve">defaults out of</w:t>
      </w:r>
      <w:r>
        <w:t xml:space="preserve"> </w:t>
      </w:r>
      <m:oMath>
        <m:sSub>
          <m:e>
            <m:r>
              <m:rPr/>
              <m:t>N</m:t>
            </m:r>
          </m:e>
          <m:sub>
            <m:r>
              <m:rPr/>
              <m:t>b</m:t>
            </m:r>
            <m:r>
              <m:rPr/>
              <m:t>t</m:t>
            </m:r>
          </m:sub>
        </m:sSub>
      </m:oMath>
      <w:r>
        <w:t xml:space="preserve"> </w:t>
      </w:r>
      <w:r>
        <w:t xml:space="preserve">observations given the value of the systemic factors</w:t>
      </w:r>
      <w:r>
        <w:t xml:space="preserve"> </w:t>
      </w:r>
      <m:oMath>
        <m:sSub>
          <m:e>
            <m:r>
              <m:rPr/>
              <m:t>y</m:t>
            </m:r>
          </m:e>
          <m:sub>
            <m:r>
              <m:rPr/>
              <m:t>t</m:t>
            </m:r>
          </m:sub>
        </m:sSub>
      </m:oMath>
      <w:r>
        <w:t xml:space="preserve">, the long-term average default rates</w:t>
      </w:r>
      <w:r>
        <w:t xml:space="preserve"> </w:t>
      </w:r>
      <m:oMath>
        <m:sSub>
          <m:e>
            <m:r>
              <m:rPr/>
              <m:t>λ</m:t>
            </m:r>
          </m:e>
          <m:sub>
            <m:r>
              <m:rPr/>
              <m:t>b</m:t>
            </m:r>
          </m:sub>
        </m:sSub>
      </m:oMath>
      <w:r>
        <w:t xml:space="preserve"> </w:t>
      </w:r>
      <w:r>
        <w:t xml:space="preserve">and the asset correlation</w:t>
      </w:r>
      <w:r>
        <w:t xml:space="preserve"> </w:t>
      </w:r>
      <m:oMath>
        <m:r>
          <m:rPr/>
          <m:t>ρ</m:t>
        </m:r>
      </m:oMath>
      <w:r>
        <w:t xml:space="preserve">, is given by:</w:t>
      </w:r>
    </w:p>
    <w:p>
      <w:r>
        <w:t xml:space="preserve">$$
P(k_{bt}|\rho,\lambda_b,y_t,N_{bt})=\left(\begin{matrix} k_t \\ N_t\end{matrix}\right) 
G_{bt}^{k_{bt}} (1-G_{bt})^{N_{bt}-k_{bt}}
$$</w:t>
      </w:r>
    </w:p>
    <w:p>
      <w:r>
        <w:t xml:space="preserve">where the</w:t>
      </w:r>
      <w:r>
        <w:t xml:space="preserve"> </w:t>
      </w:r>
      <m:oMath>
        <m:sSub>
          <m:e>
            <m:r>
              <m:rPr/>
              <m:t>G</m:t>
            </m:r>
          </m:e>
          <m:sub>
            <m:r>
              <m:rPr/>
              <m:t>b</m:t>
            </m:r>
            <m:r>
              <m:rPr/>
              <m:t>t</m:t>
            </m:r>
          </m:sub>
        </m:sSub>
      </m:oMath>
      <w:r>
        <w:t xml:space="preserve"> </w:t>
      </w:r>
      <w:r>
        <w:t xml:space="preserve">are defined as</w:t>
      </w:r>
    </w:p>
    <w:p>
      <m:oMathPara>
        <m:oMathParaPr>
          <m:jc m:val="center"/>
        </m:oMathParaPr>
        <m:oMath>
          <m:sSub>
            <m:e>
              <m:r>
                <m:rPr/>
                <m:t>G</m:t>
              </m:r>
            </m:e>
            <m:sub>
              <m:r>
                <m:rPr/>
                <m:t>b</m:t>
              </m:r>
              <m:r>
                <m:rPr/>
                <m:t>t</m:t>
              </m:r>
            </m:sub>
          </m:sSub>
          <m:r>
            <m:rPr/>
            <m:t>(</m:t>
          </m:r>
          <m:sSub>
            <m:e>
              <m:r>
                <m:rPr/>
                <m:t>y</m:t>
              </m:r>
            </m:e>
            <m:sub>
              <m:r>
                <m:rPr/>
                <m:t>t</m:t>
              </m:r>
            </m:sub>
          </m:sSub>
          <m:r>
            <m:rPr/>
            <m:t>;</m:t>
          </m:r>
          <m:sSub>
            <m:e>
              <m:r>
                <m:rPr/>
                <m:t>λ</m:t>
              </m:r>
            </m:e>
            <m:sub>
              <m:r>
                <m:rPr/>
                <m:t>b</m:t>
              </m:r>
            </m:sub>
          </m:sSub>
          <m:r>
            <m:rPr/>
            <m:t>,</m:t>
          </m:r>
          <m:r>
            <m:rPr/>
            <m:t>ρ</m:t>
          </m:r>
          <m:r>
            <m:rPr/>
            <m:t>)</m:t>
          </m:r>
          <m:r>
            <m:rPr/>
            <m:t>=</m:t>
          </m:r>
          <m:r>
            <m:rPr/>
            <m:t>Φ</m:t>
          </m:r>
          <m:r>
            <m:rPr/>
            <m:t>(</m:t>
          </m:r>
          <m:f>
            <m:fPr>
              <m:type m:val="bar"/>
            </m:fPr>
            <m:num>
              <m:nary>
                <m:naryPr>
                  <m:chr m:val="Φ"/>
                  <m:limLoc m:val="subSup"/>
                  <m:supHide m:val="on"/>
                  <m:supHide m:val="on"/>
                </m:naryPr>
                <m:e>
                  <m:r>
                    <m:rPr/>
                    <m:t>(</m:t>
                  </m:r>
                </m:e>
                <m:sub/>
                <m:sup>
                  <m:r>
                    <m:rPr/>
                    <m:t>−</m:t>
                  </m:r>
                  <m:r>
                    <m:rPr/>
                    <m:t>1</m:t>
                  </m:r>
                </m:sup>
              </m:nary>
              <m:sSub>
                <m:e>
                  <m:r>
                    <m:rPr/>
                    <m:t>λ</m:t>
                  </m:r>
                </m:e>
                <m:sub>
                  <m:r>
                    <m:rPr/>
                    <m:t>b</m:t>
                  </m:r>
                </m:sub>
              </m:sSub>
              <m:r>
                <m:rPr/>
                <m:t>)</m:t>
              </m:r>
              <m:r>
                <m:rPr/>
                <m:t>−</m:t>
              </m:r>
              <m:rad>
                <m:radPr>
                  <m:degHide m:val="on"/>
                </m:radPr>
                <m:deg/>
                <m:e>
                  <m:r>
                    <m:rPr/>
                    <m:t>ρ</m:t>
                  </m:r>
                </m:e>
              </m:rad>
              <m:sSub>
                <m:e>
                  <m:r>
                    <m:rPr/>
                    <m:t>y</m:t>
                  </m:r>
                </m:e>
                <m:sub>
                  <m:r>
                    <m:rPr/>
                    <m:t>t</m:t>
                  </m:r>
                </m:sub>
              </m:sSub>
            </m:num>
            <m:den>
              <m:rad>
                <m:radPr>
                  <m:degHide m:val="on"/>
                </m:radPr>
                <m:deg/>
                <m:e>
                  <m:r>
                    <m:rPr/>
                    <m:t>1</m:t>
                  </m:r>
                  <m:r>
                    <m:rPr/>
                    <m:t>−</m:t>
                  </m:r>
                  <m:r>
                    <m:rPr/>
                    <m:t>ρ</m:t>
                  </m:r>
                </m:e>
              </m:rad>
            </m:den>
          </m:f>
          <m:r>
            <m:rPr/>
            <m:t>)</m:t>
          </m:r>
        </m:oMath>
      </m:oMathPara>
    </w:p>
    <w:p>
      <w:r>
        <w:t xml:space="preserve">The systemic factors</w:t>
      </w:r>
      <w:r>
        <w:t xml:space="preserve"> </w:t>
      </w:r>
      <m:oMath>
        <m:r>
          <m:rPr>
            <m:sty m:val="b"/>
          </m:rPr>
          <m:t>y</m:t>
        </m:r>
      </m:oMath>
      <w:r>
        <w:t xml:space="preserve"> </w:t>
      </w:r>
      <w:r>
        <w:t xml:space="preserve">are assumed to be independently normally distributed,</w:t>
      </w:r>
    </w:p>
    <w:p>
      <m:oMathPara>
        <m:oMathParaPr>
          <m:jc m:val="center"/>
        </m:oMathParaPr>
        <m:oMath>
          <m:r>
            <m:rPr>
              <m:sty m:val="b"/>
            </m:rPr>
            <m:t>y</m:t>
          </m:r>
          <m:r>
            <m:rPr/>
            <m:t>∼</m:t>
          </m:r>
          <m:r>
            <m:rPr/>
            <m:t>φ</m:t>
          </m:r>
          <m:r>
            <m:rPr/>
            <m:t>(</m:t>
          </m:r>
          <m:sSub>
            <m:e>
              <m:r>
                <m:rPr/>
                <m:t>y</m:t>
              </m:r>
            </m:e>
            <m:sub>
              <m:r>
                <m:rPr/>
                <m:t>1</m:t>
              </m:r>
            </m:sub>
          </m:sSub>
          <m:r>
            <m:rPr/>
            <m:t>)</m:t>
          </m:r>
          <m:r>
            <m:rPr/>
            <m:t>…</m:t>
          </m:r>
          <m:r>
            <m:rPr/>
            <m:t>φ</m:t>
          </m:r>
          <m:r>
            <m:rPr/>
            <m:t>(</m:t>
          </m:r>
          <m:sSub>
            <m:e>
              <m:r>
                <m:rPr/>
                <m:t>y</m:t>
              </m:r>
            </m:e>
            <m:sub>
              <m:r>
                <m:rPr/>
                <m:t>T</m:t>
              </m:r>
            </m:sub>
          </m:sSub>
          <m:r>
            <m:rPr/>
            <m:t>)</m:t>
          </m:r>
        </m:oMath>
      </m:oMathPara>
    </w:p>
    <w:p>
      <w:r>
        <w:t xml:space="preserve">For the sake of simplicity, we choose independent priors for the</w:t>
      </w:r>
      <w:r>
        <w:t xml:space="preserve"> </w:t>
      </w:r>
      <m:oMath>
        <m:sSub>
          <m:e>
            <m:r>
              <m:rPr/>
              <m:t>λ</m:t>
            </m:r>
          </m:e>
          <m:sub>
            <m:r>
              <m:rPr/>
              <m:t>b</m:t>
            </m:r>
          </m:sub>
        </m:sSub>
      </m:oMath>
      <w:r>
        <w:t xml:space="preserve"> </w:t>
      </w:r>
      <w:r>
        <w:t xml:space="preserve">and</w:t>
      </w:r>
      <w:r>
        <w:t xml:space="preserve"> </w:t>
      </w:r>
      <m:oMath>
        <m:r>
          <m:rPr/>
          <m:t>ρ</m:t>
        </m:r>
      </m:oMath>
      <w:r>
        <w:t xml:space="preserve">. We take the Beta distribution as the marginal prior for</w:t>
      </w:r>
      <w:r>
        <w:t xml:space="preserve"> </w:t>
      </w:r>
      <m:oMath>
        <m:r>
          <m:rPr/>
          <m:t>λ</m:t>
        </m:r>
      </m:oMath>
      <w:r>
        <w:t xml:space="preserve">, since for</w:t>
      </w:r>
      <w:r>
        <w:t xml:space="preserve"> </w:t>
      </w:r>
      <m:oMath>
        <m:r>
          <m:rPr/>
          <m:t>ρ</m:t>
        </m:r>
        <m:r>
          <m:rPr/>
          <m:t>=</m:t>
        </m:r>
        <m:r>
          <m:rPr/>
          <m:t>0</m:t>
        </m:r>
      </m:oMath>
      <w:r>
        <w:t xml:space="preserve"> </w:t>
      </w:r>
      <w:r>
        <w:t xml:space="preserve">this is a natural choice of prior for the</w:t>
      </w:r>
      <w:r>
        <w:t xml:space="preserve"> </w:t>
      </w:r>
      <m:oMath>
        <m:sSub>
          <m:e>
            <m:r>
              <m:rPr/>
              <m:t>λ</m:t>
            </m:r>
          </m:e>
          <m:sub>
            <m:r>
              <m:rPr/>
              <m:t>b</m:t>
            </m:r>
          </m:sub>
        </m:sSub>
      </m:oMath>
      <w:r>
        <w:t xml:space="preserve">.</w:t>
      </w:r>
    </w:p>
    <w:p>
      <m:oMathPara>
        <m:oMathParaPr>
          <m:jc m:val="center"/>
        </m:oMathParaPr>
        <m:oMath>
          <m:r>
            <m:rPr/>
            <m:t>P</m:t>
          </m:r>
          <m:r>
            <m:rPr/>
            <m:t>(</m:t>
          </m:r>
          <m:r>
            <m:rPr/>
            <m:t>λ</m:t>
          </m:r>
          <m:r>
            <m:rPr/>
            <m:t>∣</m:t>
          </m:r>
          <m:r>
            <m:rPr/>
            <m:t>α</m:t>
          </m:r>
          <m:r>
            <m:rPr/>
            <m:t>,</m:t>
          </m:r>
          <m:r>
            <m:rPr/>
            <m:t>β</m:t>
          </m:r>
          <m:r>
            <m:rPr/>
            <m:t>,</m:t>
          </m:r>
          <m:r>
            <m:rPr/>
            <m:t>I</m:t>
          </m:r>
          <m:r>
            <m:rPr/>
            <m:t>)</m:t>
          </m:r>
          <m:r>
            <m:rPr/>
            <m:t>=</m:t>
          </m:r>
          <m:f>
            <m:fPr>
              <m:type m:val="bar"/>
            </m:fPr>
            <m:num>
              <m:r>
                <m:rPr/>
                <m:t>1</m:t>
              </m:r>
            </m:num>
            <m:den>
              <m:r>
                <m:rPr>
                  <m:sty m:val="p"/>
                </m:rPr>
                <m:t>Beta</m:t>
              </m:r>
              <m:r>
                <m:rPr/>
                <m:t>(</m:t>
              </m:r>
              <m:r>
                <m:rPr/>
                <m:t>α</m:t>
              </m:r>
              <m:r>
                <m:rPr/>
                <m:t>,</m:t>
              </m:r>
              <m:r>
                <m:rPr/>
                <m:t>β</m:t>
              </m:r>
              <m:r>
                <m:rPr/>
                <m:t>)</m:t>
              </m:r>
            </m:den>
          </m:f>
          <m:sSup>
            <m:e>
              <m:r>
                <m:rPr/>
                <m:t>λ</m:t>
              </m:r>
            </m:e>
            <m:sup>
              <m:r>
                <m:rPr/>
                <m:t>α</m:t>
              </m:r>
              <m:r>
                <m:rPr/>
                <m:t>−</m:t>
              </m:r>
              <m:r>
                <m:rPr/>
                <m:t>1</m:t>
              </m:r>
            </m:sup>
          </m:sSup>
          <m:r>
            <m:rPr/>
            <m:t>(</m:t>
          </m:r>
          <m:r>
            <m:rPr/>
            <m:t>1</m:t>
          </m:r>
          <m:r>
            <m:rPr/>
            <m:t>−</m:t>
          </m:r>
          <m:r>
            <m:rPr/>
            <m:t>λ</m:t>
          </m:r>
          <m:sSup>
            <m:e>
              <m:r>
                <m:rPr/>
                <m:t>)</m:t>
              </m:r>
            </m:e>
            <m:sup>
              <m:r>
                <m:rPr/>
                <m:t>β</m:t>
              </m:r>
              <m:r>
                <m:rPr/>
                <m:t>−</m:t>
              </m:r>
              <m:r>
                <m:rPr/>
                <m:t>1</m:t>
              </m:r>
            </m:sup>
          </m:sSup>
        </m:oMath>
      </m:oMathPara>
    </w:p>
    <w:p>
      <w:r>
        <w:t xml:space="preserve">For</w:t>
      </w:r>
      <w:r>
        <w:t xml:space="preserve"> </w:t>
      </w:r>
      <m:oMath>
        <m:r>
          <m:rPr/>
          <m:t>ρ</m:t>
        </m:r>
      </m:oMath>
      <w:r>
        <w:t xml:space="preserve"> </w:t>
      </w:r>
      <w:r>
        <w:t xml:space="preserve">we choose a uniform prior on</w:t>
      </w:r>
      <w:r>
        <w:t xml:space="preserve"> </w:t>
      </w:r>
      <m:oMath>
        <m:r>
          <m:rPr/>
          <m:t>[</m:t>
        </m:r>
        <m:r>
          <m:rPr/>
          <m:t>0</m:t>
        </m:r>
        <m:r>
          <m:rPr/>
          <m:t>,</m:t>
        </m:r>
        <m:r>
          <m:rPr/>
          <m:t>1</m:t>
        </m:r>
        <m:r>
          <m:rPr/>
          <m:t>]</m:t>
        </m:r>
      </m:oMath>
      <w:r>
        <w:t xml:space="preserve">,</w:t>
      </w:r>
    </w:p>
    <w:p>
      <w:r>
        <w:t xml:space="preserve">$$
P(\rho) = \begin{matrix} 1 &amp; 0&lt;=\rho&lt;=1 \\ 0 &amp; \text{otherwise} \end{matrix}
$$</w:t>
      </w:r>
    </w:p>
    <w:p>
      <w:r>
        <w:t xml:space="preserve">Using Bayes theorem for inverting conditional probabilities, the joint posterior for</w:t>
      </w:r>
      <w:r>
        <w:t xml:space="preserve"> </w:t>
      </w:r>
      <m:oMath>
        <m:r>
          <m:rPr/>
          <m:t>λ</m:t>
        </m:r>
      </m:oMath>
      <w:r>
        <w:t xml:space="preserve"> </w:t>
      </w:r>
      <w:r>
        <w:t xml:space="preserve">and</w:t>
      </w:r>
      <w:r>
        <w:t xml:space="preserve"> </w:t>
      </w:r>
      <m:oMath>
        <m:r>
          <m:rPr/>
          <m:t>ρ</m:t>
        </m:r>
      </m:oMath>
      <w:r>
        <w:t xml:space="preserve"> </w:t>
      </w:r>
      <w:r>
        <w:t xml:space="preserve">is then</w:t>
      </w:r>
    </w:p>
    <w:p>
      <m:oMathPara>
        <m:oMathParaPr>
          <m:jc m:val="center"/>
        </m:oMathParaPr>
        <m:oMath>
          <m:r>
            <m:rPr/>
            <m:t>P</m:t>
          </m:r>
          <m:r>
            <m:rPr/>
            <m:t>(</m:t>
          </m:r>
          <m:r>
            <m:rPr>
              <m:sty m:val="b"/>
            </m:rPr>
            <m:t>\lambda</m:t>
          </m:r>
          <m:r>
            <m:rPr/>
            <m:t>,</m:t>
          </m:r>
          <m:r>
            <m:rPr/>
            <m:t>ρ</m:t>
          </m:r>
          <m:r>
            <m:rPr/>
            <m:t>,</m:t>
          </m:r>
          <m:r>
            <m:rPr>
              <m:sty m:val="b"/>
            </m:rPr>
            <m:t>y</m:t>
          </m:r>
          <m:r>
            <m:rPr/>
            <m:t>∣</m:t>
          </m:r>
          <m:r>
            <m:rPr>
              <m:sty m:val="b"/>
            </m:rPr>
            <m:t>k</m:t>
          </m:r>
          <m:r>
            <m:rPr/>
            <m:t>,</m:t>
          </m:r>
          <m:r>
            <m:rPr>
              <m:sty m:val="b"/>
            </m:rPr>
            <m:t>N</m:t>
          </m:r>
          <m:r>
            <m:rPr/>
            <m:t>,</m:t>
          </m:r>
          <m:r>
            <m:rPr/>
            <m:t>I</m:t>
          </m:r>
          <m:r>
            <m:rPr/>
            <m:t>)</m:t>
          </m:r>
          <m:r>
            <m:rPr/>
            <m:t>∝</m:t>
          </m:r>
          <m:r>
            <m:rPr/>
            <m:t>P</m:t>
          </m:r>
          <m:r>
            <m:rPr/>
            <m:t>(</m:t>
          </m:r>
          <m:r>
            <m:rPr>
              <m:sty m:val="b"/>
            </m:rPr>
            <m:t>k</m:t>
          </m:r>
          <m:r>
            <m:rPr/>
            <m:t>∣</m:t>
          </m:r>
          <m:r>
            <m:rPr/>
            <m:t>ρ</m:t>
          </m:r>
          <m:r>
            <m:rPr/>
            <m:t>,</m:t>
          </m:r>
          <m:r>
            <m:rPr/>
            <m:t>λ</m:t>
          </m:r>
          <m:r>
            <m:rPr/>
            <m:t>,</m:t>
          </m:r>
          <m:r>
            <m:rPr>
              <m:sty m:val="b"/>
            </m:rPr>
            <m:t>y</m:t>
          </m:r>
          <m:r>
            <m:rPr/>
            <m:t>,</m:t>
          </m:r>
          <m:r>
            <m:rPr>
              <m:sty m:val="b"/>
            </m:rPr>
            <m:t>N</m:t>
          </m:r>
          <m:r>
            <m:rPr/>
            <m:t>,</m:t>
          </m:r>
          <m:r>
            <m:rPr/>
            <m:t>I</m:t>
          </m:r>
          <m:r>
            <m:rPr/>
            <m:t>)</m:t>
          </m:r>
          <m:r>
            <m:rPr/>
            <m:t>P</m:t>
          </m:r>
          <m:r>
            <m:rPr/>
            <m:t>(</m:t>
          </m:r>
          <m:r>
            <m:rPr/>
            <m:t>ρ</m:t>
          </m:r>
          <m:r>
            <m:rPr/>
            <m:t>)</m:t>
          </m:r>
          <m:nary>
            <m:naryPr>
              <m:chr m:val="∏"/>
              <m:limLoc m:val="undOvr"/>
              <m:supHide m:val="off"/>
              <m:supHide m:val="off"/>
            </m:naryPr>
            <m:e>
              <m:r>
                <m:rPr/>
                <m:t>P</m:t>
              </m:r>
            </m:e>
            <m:sub>
              <m:r>
                <m:rPr/>
                <m:t>b</m:t>
              </m:r>
            </m:sub>
            <m:sup/>
          </m:nary>
          <m:r>
            <m:rPr/>
            <m:t>(</m:t>
          </m:r>
          <m:sSub>
            <m:e>
              <m:r>
                <m:rPr/>
                <m:t>λ</m:t>
              </m:r>
            </m:e>
            <m:sub>
              <m:r>
                <m:rPr/>
                <m:t>b</m:t>
              </m:r>
            </m:sub>
          </m:sSub>
          <m:r>
            <m:rPr/>
            <m:t>)</m:t>
          </m:r>
          <m:nary>
            <m:naryPr>
              <m:chr m:val="∏"/>
              <m:limLoc m:val="undOvr"/>
              <m:supHide m:val="off"/>
              <m:supHide m:val="off"/>
            </m:naryPr>
            <m:e>
              <m:r>
                <m:rPr/>
                <m:t>P</m:t>
              </m:r>
            </m:e>
            <m:sub>
              <m:r>
                <m:rPr/>
                <m:t>t</m:t>
              </m:r>
            </m:sub>
            <m:sup/>
          </m:nary>
          <m:r>
            <m:rPr/>
            <m:t>(</m:t>
          </m:r>
          <m:sSub>
            <m:e>
              <m:r>
                <m:rPr/>
                <m:t>y</m:t>
              </m:r>
            </m:e>
            <m:sub>
              <m:r>
                <m:rPr/>
                <m:t>t</m:t>
              </m:r>
            </m:sub>
          </m:sSub>
          <m:r>
            <m:rPr/>
            <m:t>)</m:t>
          </m:r>
        </m:oMath>
      </m:oMathPara>
    </w:p>
    <w:p>
      <w:r>
        <w:t xml:space="preserve">The marginal posterior</w:t>
      </w:r>
      <w:r>
        <w:t xml:space="preserve"> </w:t>
      </w:r>
      <m:oMath>
        <m:r>
          <m:rPr/>
          <m:t>P</m:t>
        </m:r>
        <m:r>
          <m:rPr/>
          <m:t>(</m:t>
        </m:r>
        <m:r>
          <m:rPr/>
          <m:t>λ</m:t>
        </m:r>
        <m:r>
          <m:rPr/>
          <m:t>,</m:t>
        </m:r>
        <m:r>
          <m:rPr/>
          <m:t>ρ</m:t>
        </m:r>
        <m:r>
          <m:rPr/>
          <m:t>∣</m:t>
        </m:r>
        <m:r>
          <m:rPr/>
          <m:t>k</m:t>
        </m:r>
        <m:r>
          <m:rPr/>
          <m:t>,</m:t>
        </m:r>
        <m:r>
          <m:rPr/>
          <m:t>N</m:t>
        </m:r>
        <m:r>
          <m:rPr/>
          <m:t>,</m:t>
        </m:r>
        <m:r>
          <m:rPr/>
          <m:t>I</m:t>
        </m:r>
        <m:r>
          <m:rPr/>
          <m:t>)</m:t>
        </m:r>
      </m:oMath>
      <w:r>
        <w:t xml:space="preserve"> </w:t>
      </w:r>
      <w:r>
        <w:t xml:space="preserve">is found by integrating out the unobserved variable</w:t>
      </w:r>
      <w:r>
        <w:t xml:space="preserve"> </w:t>
      </w:r>
      <m:oMath>
        <m:r>
          <m:rPr/>
          <m:t>y</m:t>
        </m:r>
      </m:oMath>
      <w:r>
        <w:t xml:space="preserve">.</w:t>
      </w:r>
    </w:p>
    <w:p>
      <w:r>
        <w:t xml:space="preserve">We implement this model in Stan</w:t>
      </w:r>
      <w:r>
        <w:t xml:space="preserve"> </w:t>
      </w:r>
      <w:r>
        <w:t xml:space="preserve">[@stan-software:2014]</w:t>
      </w:r>
      <w:r>
        <w:t xml:space="preserve">. See the</w:t>
      </w:r>
      <w:r>
        <w:t xml:space="preserve"> </w:t>
      </w:r>
      <w:hyperlink w:anchor="app">
        <w:r>
          <w:rPr>
            <w:rStyle w:val="Link"/>
          </w:rPr>
          <w:t xml:space="preserve">appendix</w:t>
        </w:r>
      </w:hyperlink>
      <w:r>
        <w:t xml:space="preserve"> </w:t>
      </w:r>
      <w:r>
        <w:t xml:space="preserve">for the complete model code.</w:t>
      </w:r>
    </w:p>
    <w:bookmarkStart w:id="23" w:name="data"/>
    <w:p>
      <w:pPr>
        <w:pStyle w:val="Heading2"/>
      </w:pPr>
      <w:r>
        <w:t xml:space="preserve">Data</w:t>
      </w:r>
    </w:p>
    <w:bookmarkEnd w:id="23"/>
    <w:p>
      <w:r>
        <w:t xml:space="preserve">We use a dataset including yearly default incidences for Dutch mortgages from September 2007 to September 2013. The data was collected directly from Dutch banks for the purposes of risk model validation, and covers</w:t>
      </w:r>
      <w:r>
        <w:t xml:space="preserve"> </w:t>
      </w:r>
      <m:oMath>
        <m:r>
          <m:rPr/>
          <m:t>&gt;</m:t>
        </m:r>
        <m:r>
          <m:rPr/>
          <m:t>95</m:t>
        </m:r>
        <m:r>
          <m:rPr/>
          <m:t>%</m:t>
        </m:r>
      </m:oMath>
      <w:r>
        <w:t xml:space="preserve"> </w:t>
      </w:r>
      <w:r>
        <w:t xml:space="preserve">of total bank exposures to Dutch mortgages.</w:t>
      </w:r>
    </w:p>
    <w:p>
      <w:r>
        <w:t xml:space="preserve">As a first step, we define a constant categorization (</w:t>
      </w:r>
      <w:r>
        <w:t xml:space="preserve">‘</w:t>
      </w:r>
      <w:r>
        <w:t xml:space="preserve">bucketing</w:t>
      </w:r>
      <w:r>
        <w:t xml:space="preserve">’</w:t>
      </w:r>
      <w:r>
        <w:t xml:space="preserve">) of the data such that the average yearly default rate over the available history differs significantly per bucket (category). […]</w:t>
      </w:r>
    </w:p>
    <w:bookmarkStart w:id="24" w:name="results"/>
    <w:p>
      <w:pPr>
        <w:pStyle w:val="Heading2"/>
      </w:pPr>
      <w:r>
        <w:t xml:space="preserve">Results</w:t>
      </w:r>
    </w:p>
    <w:bookmarkEnd w:id="24"/>
    <w:p>
      <w:r>
        <w:drawing>
          <wp:inline>
            <wp:extent cx="1524000" cy="1524000"/>
            <wp:effectExtent b="0" l="0" r="0" t="0"/>
            <wp:docPr descr="" id="1" name="Picture"/>
            <a:graphic>
              <a:graphicData uri="http://schemas.openxmlformats.org/drawingml/2006/picture">
                <pic:pic>
                  <pic:nvPicPr>
                    <pic:cNvPr descr="figures\rho.pdf" id="0" name="Picture"/>
                    <pic:cNvPicPr>
                      <a:picLocks noChangeArrowheads="1" noChangeAspect="1"/>
                    </pic:cNvPicPr>
                  </pic:nvPicPr>
                  <pic:blipFill>
                    <a:blip r:embed="rId25"/>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Posterior of</w:t>
      </w:r>
      <w:r>
        <w:t xml:space="preserve"> </w:t>
      </w:r>
      <m:oMath>
        <m:r>
          <m:rPr/>
          <m:t>ρ</m:t>
        </m:r>
      </m:oMath>
      <w:r>
        <w:t xml:space="preserve"> </w:t>
      </w:r>
    </w:p>
    <w:p>
      <w:r>
        <w:t xml:space="preserve">See</w:t>
      </w:r>
      <w:r>
        <w:t xml:space="preserve"> </w:t>
      </w:r>
      <w:hyperlink w:anchor="fig:rhofig">
        <w:r>
          <w:rPr>
            <w:rStyle w:val="Link"/>
          </w:rPr>
          <w:t xml:space="preserve">figure</w:t>
        </w:r>
      </w:hyperlink>
      <w:r>
        <w:t xml:space="preserve">.</w:t>
      </w:r>
    </w:p>
    <w:bookmarkStart w:id="26" w:name="appendix-stan-implementation"/>
    <w:p>
      <w:pPr>
        <w:pStyle w:val="Heading1"/>
      </w:pPr>
      <w:r>
        <w:t xml:space="preserve">Appendix: Stan implementation</w:t>
      </w:r>
    </w:p>
    <w:bookmarkEnd w:id="26"/>
    <w:p>
      <w:pPr>
        <w:pStyle w:val="SourceCode"/>
      </w:pPr>
      <w:r>
        <w:rPr>
          <w:rStyle w:val="VerbatimChar"/>
        </w:rPr>
        <w:t xml:space="preserve">data {</w:t>
      </w:r>
      <w:r>
        <w:br w:type="textWrapping"/>
      </w:r>
      <w:r>
        <w:rPr>
          <w:rStyle w:val="VerbatimChar"/>
        </w:rPr>
        <w:t xml:space="preserve">  int&lt;lower=0&gt; T; // time periods</w:t>
      </w:r>
      <w:r>
        <w:br w:type="textWrapping"/>
      </w:r>
      <w:r>
        <w:rPr>
          <w:rStyle w:val="VerbatimChar"/>
        </w:rPr>
        <w:t xml:space="preserve">  int&lt;lower=0&gt; B; // uniform risk categories (PD buckets)</w:t>
      </w:r>
      <w:r>
        <w:br w:type="textWrapping"/>
      </w:r>
      <w:r>
        <w:rPr>
          <w:rStyle w:val="VerbatimChar"/>
        </w:rPr>
        <w:t xml:space="preserve">  int k[B,T];</w:t>
      </w:r>
      <w:r>
        <w:br w:type="textWrapping"/>
      </w:r>
      <w:r>
        <w:rPr>
          <w:rStyle w:val="VerbatimChar"/>
        </w:rPr>
        <w:t xml:space="preserve">  int N[B,T];</w:t>
      </w:r>
      <w:r>
        <w:br w:type="textWrapping"/>
      </w:r>
      <w:r>
        <w:rPr>
          <w:rStyle w:val="VerbatimChar"/>
        </w:rPr>
        <w:t xml:space="preserve">}</w:t>
      </w:r>
      <w:r>
        <w:br w:type="textWrapping"/>
      </w:r>
      <w:r>
        <w:rPr>
          <w:rStyle w:val="VerbatimChar"/>
        </w:rPr>
        <w:t xml:space="preserve">parameters {</w:t>
      </w:r>
      <w:r>
        <w:br w:type="textWrapping"/>
      </w:r>
      <w:r>
        <w:rPr>
          <w:rStyle w:val="VerbatimChar"/>
        </w:rPr>
        <w:t xml:space="preserve">  real nu[B]; // nu = normal_cdf_inv(lambda)</w:t>
      </w:r>
      <w:r>
        <w:br w:type="textWrapping"/>
      </w:r>
      <w:r>
        <w:rPr>
          <w:rStyle w:val="VerbatimChar"/>
        </w:rPr>
        <w:t xml:space="preserve">  real&lt;lower=0,upper=1&gt; rho;</w:t>
      </w:r>
      <w:r>
        <w:br w:type="textWrapping"/>
      </w:r>
      <w:r>
        <w:rPr>
          <w:rStyle w:val="VerbatimChar"/>
        </w:rPr>
        <w:t xml:space="preserve">  real y[T];</w:t>
      </w:r>
      <w:r>
        <w:br w:type="textWrapping"/>
      </w:r>
      <w:r>
        <w:rPr>
          <w:rStyle w:val="VerbatimChar"/>
        </w:rPr>
        <w:t xml:space="preserve">}</w:t>
      </w:r>
      <w:r>
        <w:br w:type="textWrapping"/>
      </w:r>
      <w:r>
        <w:rPr>
          <w:rStyle w:val="VerbatimChar"/>
        </w:rPr>
        <w:t xml:space="preserve">transformed parameters {</w:t>
      </w:r>
      <w:r>
        <w:br w:type="textWrapping"/>
      </w:r>
      <w:r>
        <w:rPr>
          <w:rStyle w:val="VerbatimChar"/>
        </w:rPr>
        <w:t xml:space="preserve">  real&lt;lower=0,upper=1&gt; G[B,T];</w:t>
      </w:r>
      <w:r>
        <w:br w:type="textWrapping"/>
      </w:r>
      <w:r>
        <w:rPr>
          <w:rStyle w:val="VerbatimChar"/>
        </w:rPr>
        <w:t xml:space="preserve"/>
      </w:r>
      <w:r>
        <w:br w:type="textWrapping"/>
      </w:r>
      <w:r>
        <w:rPr>
          <w:rStyle w:val="VerbatimChar"/>
        </w:rPr>
        <w:t xml:space="preserve">  for (t in 1:T)</w:t>
      </w:r>
      <w:r>
        <w:br w:type="textWrapping"/>
      </w:r>
      <w:r>
        <w:rPr>
          <w:rStyle w:val="VerbatimChar"/>
        </w:rPr>
        <w:t xml:space="preserve">    for (b in 1:B)</w:t>
      </w:r>
      <w:r>
        <w:br w:type="textWrapping"/>
      </w:r>
      <w:r>
        <w:rPr>
          <w:rStyle w:val="VerbatimChar"/>
        </w:rPr>
        <w:t xml:space="preserve">        G[b,t] &lt;- normal_cdf( (nu[b] - sqrt(rho) * y[t]) / sqrt(1-rho) , 0.0, 1.0);</w:t>
      </w:r>
      <w:r>
        <w:br w:type="textWrapping"/>
      </w:r>
      <w:r>
        <w:rPr>
          <w:rStyle w:val="VerbatimChar"/>
        </w:rPr>
        <w:t xml:space="preserve"/>
      </w:r>
      <w:r>
        <w:br w:type="textWrapping"/>
      </w:r>
      <w:r>
        <w:rPr>
          <w:rStyle w:val="VerbatimChar"/>
        </w:rPr>
        <w:t xml:space="preserve">}</w:t>
      </w:r>
      <w:r>
        <w:br w:type="textWrapping"/>
      </w:r>
      <w:r>
        <w:rPr>
          <w:rStyle w:val="VerbatimChar"/>
        </w:rPr>
        <w:t xml:space="preserve">model {</w:t>
      </w:r>
      <w:r>
        <w:br w:type="textWrapping"/>
      </w:r>
      <w:r>
        <w:rPr>
          <w:rStyle w:val="VerbatimChar"/>
        </w:rPr>
        <w:t xml:space="preserve">  for (b in 1:B)</w:t>
      </w:r>
      <w:r>
        <w:br w:type="textWrapping"/>
      </w:r>
      <w:r>
        <w:rPr>
          <w:rStyle w:val="VerbatimChar"/>
        </w:rPr>
        <w:t xml:space="preserve">    increment_log_prob(beta_log(normal_cdf(nu[b], 0.0, 1.0), 1.0, 1.0));</w:t>
      </w:r>
      <w:r>
        <w:br w:type="textWrapping"/>
      </w:r>
      <w:r>
        <w:rPr>
          <w:rStyle w:val="VerbatimChar"/>
        </w:rPr>
        <w:t xml:space="preserve">  rho ~ uniform(0.0,1.0);  </w:t>
      </w:r>
      <w:r>
        <w:br w:type="textWrapping"/>
      </w:r>
      <w:r>
        <w:rPr>
          <w:rStyle w:val="VerbatimChar"/>
        </w:rPr>
        <w:t xml:space="preserve">  y ~ normal(0.0,1.0);</w:t>
      </w:r>
      <w:r>
        <w:br w:type="textWrapping"/>
      </w:r>
      <w:r>
        <w:rPr>
          <w:rStyle w:val="VerbatimChar"/>
        </w:rPr>
        <w:t xml:space="preserve"/>
      </w:r>
      <w:r>
        <w:br w:type="textWrapping"/>
      </w:r>
      <w:r>
        <w:rPr>
          <w:rStyle w:val="VerbatimChar"/>
        </w:rPr>
        <w:t xml:space="preserve">  for (t in 1:T)</w:t>
      </w:r>
      <w:r>
        <w:br w:type="textWrapping"/>
      </w:r>
      <w:r>
        <w:rPr>
          <w:rStyle w:val="VerbatimChar"/>
        </w:rPr>
        <w:t xml:space="preserve">  for (b in 1:B)</w:t>
      </w:r>
      <w:r>
        <w:br w:type="textWrapping"/>
      </w:r>
      <w:r>
        <w:rPr>
          <w:rStyle w:val="VerbatimChar"/>
        </w:rPr>
        <w:t xml:space="preserve">  k[b,t] ~ binomial(N[b,t], G[b,t] );</w:t>
      </w:r>
      <w:r>
        <w:br w:type="textWrapping"/>
      </w:r>
      <w:r>
        <w:rPr>
          <w:rStyle w:val="VerbatimChar"/>
        </w:rPr>
        <w:t xml:space="preserve">}</w:t>
      </w:r>
      <w:r>
        <w:br w:type="textWrapping"/>
      </w:r>
      <w:r>
        <w:rPr>
          <w:rStyle w:val="VerbatimChar"/>
        </w:rPr>
        <w:t xml:space="preserve"/>
      </w:r>
      <w:r>
        <w:br w:type="textWrapping"/>
      </w:r>
      <w:r>
        <w:rPr>
          <w:rStyle w:val="VerbatimChar"/>
        </w:rPr>
        <w:t xml:space="preserve">generated quantities {</w:t>
      </w:r>
      <w:r>
        <w:br w:type="textWrapping"/>
      </w:r>
      <w:r>
        <w:rPr>
          <w:rStyle w:val="VerbatimChar"/>
        </w:rPr>
        <w:t xml:space="preserve">  real lambda[B];</w:t>
      </w:r>
      <w:r>
        <w:br w:type="textWrapping"/>
      </w:r>
      <w:r>
        <w:rPr>
          <w:rStyle w:val="VerbatimChar"/>
        </w:rPr>
        <w:t xml:space="preserve">  for (b in 1:B)</w:t>
      </w:r>
      <w:r>
        <w:br w:type="textWrapping"/>
      </w:r>
      <w:r>
        <w:rPr>
          <w:rStyle w:val="VerbatimChar"/>
        </w:rPr>
        <w:t xml:space="preserve">    lambda[b] &lt;- normal_cdf(nu[b], 0.0, 1.0);</w:t>
      </w:r>
      <w:r>
        <w:br w:type="textWrapping"/>
      </w:r>
      <w:r>
        <w:rPr>
          <w:rStyle w:val="VerbatimChar"/>
        </w:rP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4892b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asset correlation in the single risk factor model on Dutch mortgage data</dc:title>
  <dc:creator>P. van den Berg, A. Colangelo</dc:creator>
</cp:coreProperties>
</file>