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</w:p>
    <w:p>
      <w:pPr>
        <w:spacing w:before="360" w:after="240"/>
        <w:jc w:val="center"/>
      </w:pPr>
      <w:r>
        <w:rPr>
          <w:rFonts w:ascii="Rockwell" w:hAnsi="Rockwell" w:eastAsia="Rockwell"/>
          <w:b/>
          <w:i w:val="0"/>
          <w:sz w:val="28"/>
        </w:rPr>
        <w:t>Fallanalyse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Datum:</w:t>
      </w:r>
      <w:r>
        <w:rPr>
          <w:rFonts w:ascii="Rockwell" w:hAnsi="Rockwell" w:eastAsia="Rockwell"/>
          <w:b w:val="0"/>
          <w:i w:val="0"/>
        </w:rPr>
        <w:t xml:space="preserve"> 28.02.2026 | </w:t>
      </w:r>
      <w:r>
        <w:rPr>
          <w:rFonts w:ascii="Rockwell" w:hAnsi="Rockwell" w:eastAsia="Rockwell"/>
          <w:b/>
          <w:i w:val="0"/>
        </w:rPr>
        <w:t>Dringlichkeit:</w:t>
      </w:r>
      <w:r>
        <w:rPr>
          <w:rFonts w:ascii="Rockwell" w:hAnsi="Rockwell" w:eastAsia="Rockwell"/>
          <w:b w:val="0"/>
          <w:i w:val="0"/>
        </w:rPr>
        <w:t xml:space="preserve"> HIGH | </w:t>
      </w:r>
      <w:r>
        <w:rPr>
          <w:rFonts w:ascii="Rockwell" w:hAnsi="Rockwell" w:eastAsia="Rockwell"/>
          <w:b/>
          <w:i w:val="0"/>
        </w:rPr>
        <w:t>Modus:</w:t>
      </w:r>
      <w:r>
        <w:rPr>
          <w:rFonts w:ascii="Rockwell" w:hAnsi="Rockwell" w:eastAsia="Rockwell"/>
          <w:b w:val="0"/>
          <w:i w:val="0"/>
        </w:rPr>
        <w:t xml:space="preserve"> Agent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FRISTEN &amp; RISIKEN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>Keine konkreten Fristen erkannt.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Dringlichkeit:</w:t>
      </w:r>
      <w:r>
        <w:rPr>
          <w:rFonts w:ascii="Rockwell" w:hAnsi="Rockwell" w:eastAsia="Rockwell"/>
          <w:b w:val="0"/>
          <w:i w:val="0"/>
        </w:rPr>
        <w:t xml:space="preserve"> HIGH — Laufende Gehaltsexekution (BG Melk 25 E 1939/25i ab 23.12.2025) gegen AMS-Leistungen der Mandantin; unmittelbare Pfändungsgefahr trotz unwirksamer Zustellung und erloschener Hauptschuld.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Stille Risiken: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Untätigkeit gegenüber Exekution → Fortgesetzte Gehaltspfändung, Abzug von Sozialleistungen, Verfestigung der Vollstreckbarkeit.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Versäumnis von EO-Anträgen (§7 Abs3, §40, §42 EO) → Rechtskraft der Bewilligung, Praeklusion von Einwendungen, dauerhafte Überbefriedigung der Bank.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Entscheidungspunkte: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Priorisierung der Anträge: Unwirksame Zustellung (§7 Abs3 EO) oder Befriedigung (§40 EO)? [§7 Abs3 EO zuerst (absolut null und nichtig, bindet BG Melk nicht), §40 EO parallel (Hauptschuld erloschen per Insolvenz, Akzessorietät §14 IO)]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Einbeziehung von §14 IO Akzessorietät und §25c KSchG? [Ja, als strategische Reserve für Interzession, Nein, primär EO-Anträge priorisieren]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RECHTLICHE ANALYSE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1. KERNFRAGEN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1. </w:t>
      </w:r>
      <w:r>
        <w:rPr>
          <w:rFonts w:ascii="Rockwell" w:hAnsi="Rockwell" w:eastAsia="Rockwell"/>
          <w:b/>
          <w:i w:val="0"/>
        </w:rPr>
        <w:t>Wirksamkeit der Zustellung des Zahlungsbefehls (§ 7 Abs 3 EO)</w:t>
      </w:r>
      <w:r>
        <w:rPr>
          <w:rFonts w:ascii="Rockwell" w:hAnsi="Rockwell" w:eastAsia="Rockwell"/>
          <w:b w:val="0"/>
          <w:i w:val="0"/>
        </w:rPr>
        <w:t>: Unwirksame Zustellung führt zu irrtümlicher Vollstreckbarkeitsbestätigung und Aufhebungsmöglichkeit; priorisiert als primäre Säule.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2. </w:t>
      </w:r>
      <w:r>
        <w:rPr>
          <w:rFonts w:ascii="Rockwell" w:hAnsi="Rockwell" w:eastAsia="Rockwell"/>
          <w:b/>
          <w:i w:val="0"/>
        </w:rPr>
        <w:t>Akzessorietät der Bürgschaft/Interzession gegenüber erloschener Hauptschuld (§ 14 IO iVm RS0032137, RS0032169; § 25c KSchG)</w:t>
      </w:r>
      <w:r>
        <w:rPr>
          <w:rFonts w:ascii="Rockwell" w:hAnsi="Rockwell" w:eastAsia="Rockwell"/>
          <w:b w:val="0"/>
          <w:i w:val="0"/>
        </w:rPr>
        <w:t>: Erlöschen der Hauptschuld erlischt Bürgschaft; priorisiert vor weiteren EO-Aspekten.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3. </w:t>
      </w:r>
      <w:r>
        <w:rPr>
          <w:rFonts w:ascii="Rockwell" w:hAnsi="Rockwell" w:eastAsia="Rockwell"/>
          <w:b/>
          <w:i w:val="0"/>
        </w:rPr>
        <w:t xml:space="preserve">Priorisierung EO-Rechtsbehelfe </w:t>
      </w:r>
      <w:r>
        <w:rPr>
          <w:rFonts w:ascii="Rockwell" w:hAnsi="Rockwell" w:eastAsia="Rockwell"/>
          <w:b w:val="0"/>
          <w:i w:val="0"/>
        </w:rPr>
        <w:t>: § 7 Abs 3 EO (Aufhebung Vollstreckbarkeitsbestätigung) vor § 40 EO (Einstellung Befriedigung) und § 42 EO (Aufschiebung); § 35 EO (Oppositionsklage) eventual; § 25c KSchG ergänzend (Haftungsentfall). Praeklusionsaspekte durch § 7 Abs 3 EO zu überwinden; Interzession als subsidiärer Schutz.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2. RECHTSGRUNDLAGEN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Hauptanspruchsgrundlage: § 7 Abs 3 EO (Aufhebung Vollstreckbarkeitsbestätigung wegen unwirksamer Zustellung)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Stufenbau: Primär beim Titelgericht; Weiterleitung an Bewilligungsgericht.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Rechtsfolgen: Aufhebung → Einstellung Exekution gemäß § 39 Abs 1 Z 9 EO; Alternative zu § 40 EO.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Eventualanspruchsgrundlage 1: § 40 Abs 1 EO (Einstellung wegen Befriedigung/Akzessorietät)</w:t>
      </w:r>
      <w:r>
        <w:rPr>
          <w:rFonts w:ascii="Rockwell" w:hAnsi="Rockwell" w:eastAsia="Rockwell"/>
          <w:b w:val="0"/>
          <w:i w:val="0"/>
        </w:rPr>
        <w:t xml:space="preserve"> iVm § 14 IO, RS0032137, RS0032169 (Akzessorietät Bürgschaft).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Doppelgleisigkeit zu § 35 EO: Einwand Befriedigung/Überbefriedigung.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Rechtsfolgen: Sofortige Einstellung Exekution.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Eventualanspruchsgrundlage 2: § 25c KSchG (Interzessionsschutz, Haftungsentfall)</w:t>
      </w:r>
      <w:r>
        <w:rPr>
          <w:rFonts w:ascii="Rockwell" w:hAnsi="Rockwell" w:eastAsia="Rockwell"/>
          <w:b w:val="0"/>
          <w:i w:val="0"/>
        </w:rPr>
        <w:t xml:space="preserve"> iVm § 35 EO (Oppositionsklage).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Rechtsfolgen: Entfall Haftung ohne Anfechtung; Feststellungsklage möglich.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Eventualanspruchsgrundlage 3: § 42 Abs 1 EO (Aufschiebung Exekution)</w:t>
      </w:r>
      <w:r>
        <w:rPr>
          <w:rFonts w:ascii="Rockwell" w:hAnsi="Rockwell" w:eastAsia="Rockwell"/>
          <w:b w:val="0"/>
          <w:i w:val="0"/>
        </w:rPr>
        <w:t>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Rechtsfolgen: Vorläufiger Schutz bis Entscheidung Hauptbegehren.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3. RELEVANTE JUDIKATUR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RS0001544</w:t>
      </w:r>
      <w:r>
        <w:rPr>
          <w:rFonts w:ascii="Rockwell" w:hAnsi="Rockwell" w:eastAsia="Rockwell"/>
          <w:b w:val="0"/>
          <w:i w:val="0"/>
        </w:rPr>
        <w:t>: Irrtümliche Vollstreckbarkeitsbestätigung bei unwirksamer Zustellung (Sachverhalt der Wirklichkeit nicht entsprechend); relevant für § 7 Abs 3 EO.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RS0001557</w:t>
      </w:r>
      <w:r>
        <w:rPr>
          <w:rFonts w:ascii="Rockwell" w:hAnsi="Rockwell" w:eastAsia="Rockwell"/>
          <w:b w:val="0"/>
          <w:i w:val="0"/>
        </w:rPr>
        <w:t>: § 7 Abs 3 EO-Verfahren wie Titelverfahren, Feststellung strittiger Tatsachen.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RS0001566</w:t>
      </w:r>
      <w:r>
        <w:rPr>
          <w:rFonts w:ascii="Rockwell" w:hAnsi="Rockwell" w:eastAsia="Rockwell"/>
          <w:b w:val="0"/>
          <w:i w:val="0"/>
        </w:rPr>
        <w:t>: § 7 Abs 3 EO unabhängig von Exekutionsbewilligung.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RS0001582</w:t>
      </w:r>
      <w:r>
        <w:rPr>
          <w:rFonts w:ascii="Rockwell" w:hAnsi="Rockwell" w:eastAsia="Rockwell"/>
          <w:b w:val="0"/>
          <w:i w:val="0"/>
        </w:rPr>
        <w:t>: Ausschließlichkeit § 7 Abs 3 EO (kein Rekurs).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RS0000180</w:t>
      </w:r>
      <w:r>
        <w:rPr>
          <w:rFonts w:ascii="Rockwell" w:hAnsi="Rockwell" w:eastAsia="Rockwell"/>
          <w:b w:val="0"/>
          <w:i w:val="0"/>
        </w:rPr>
        <w:t>: Vollstreckbarkeitsbestätigung bindet Exekutionsgerichte mit Ausnahme des Titelgerichts.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RS0032137</w:t>
      </w:r>
      <w:r>
        <w:rPr>
          <w:rFonts w:ascii="Rockwell" w:hAnsi="Rockwell" w:eastAsia="Rockwell"/>
          <w:b w:val="0"/>
          <w:i w:val="0"/>
        </w:rPr>
        <w:t>: Unterschied Bürgschaft (akzessorisch, subsidiar) und Mitschuldnerschaft.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RS0032169</w:t>
      </w:r>
      <w:r>
        <w:rPr>
          <w:rFonts w:ascii="Rockwell" w:hAnsi="Rockwell" w:eastAsia="Rockwell"/>
          <w:b w:val="0"/>
          <w:i w:val="0"/>
        </w:rPr>
        <w:t>: Jede Bürgschaft akzessorisch zur Hauptschuld.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RS0034598</w:t>
      </w:r>
      <w:r>
        <w:rPr>
          <w:rFonts w:ascii="Rockwell" w:hAnsi="Rockwell" w:eastAsia="Rockwell"/>
          <w:b w:val="0"/>
          <w:i w:val="0"/>
        </w:rPr>
        <w:t>: Unterbrechung der Verjährung wirkt inter partes.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RS0121054</w:t>
      </w:r>
      <w:r>
        <w:rPr>
          <w:rFonts w:ascii="Rockwell" w:hAnsi="Rockwell" w:eastAsia="Rockwell"/>
          <w:b w:val="0"/>
          <w:i w:val="0"/>
        </w:rPr>
        <w:t>: § 25c KSchG-Verletzung → Entfall Interzedentenhaftung (Feststellung).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RS0120255</w:t>
      </w:r>
      <w:r>
        <w:rPr>
          <w:rFonts w:ascii="Rockwell" w:hAnsi="Rockwell" w:eastAsia="Rockwell"/>
          <w:b w:val="0"/>
          <w:i w:val="0"/>
        </w:rPr>
        <w:t>: Keine Aufklärungsobliegenheit § 25c KSchG bei eigenverantwortlicher Führung der Kreditverhandlungen durch Interzedenten.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4. SUBSUMTION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Haupt: § 7 Abs 3 EO (irrtümliche/gesetzwidrig Vollstreckbarkeitsbestätigung)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1. Vollstreckbarkeitsbestätigung erteilt?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2. Unwirksame Zustellung Zahlungsbefehl?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3. Irrtümlich (Sachverhalt falsch)? (RS0001544).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4. Gesetzwidrig? (RS0001566).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>Ausschlussgründe: Neuerungsverbot überwindbar (RS0000180, RS0001582).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Eventual 1: § 40 Abs 1 EO (Befriedigung/Akzessorietät)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1. Exekution laufend?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2. Hauptschuld erfüllt?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3. Akzessorietät Bürgschaft? (RS0032137, RS0032169).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4. Überbefriedigung? (§ 14 IO).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Eventual 2: § 25c KSchG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1. Interzession (Bürgschaft)?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2. Verletzung Informationspflicht?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3. Haftung entfällt? (RS0121054).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>Ausschlussgründe: Eigenverantwortlich? (RS0120255).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Eventual 3: § 42 Abs 1 EO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1. Unwiederbringlicher Schaden?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5. BEWEISLASTVERTEILUNG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Unwirksame Zustellung: Prima-facie-Beweis durch öffentliche Urkunden; Gläubiger widerlegt.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Befriedigung Hauptschuld: Prima-facie-Beweis; Gläubiger volle Beweislast.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Akzessorietät/§ 25c KSchG: Verbraucherstatus/Bürgschaft prima-facie; Gläubiger weist Warnung aus.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>Praxishinweis: Urkundenvorlage, Akteneinsicht, ggf. Sachverständigengutachten.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6. PROZESSSTRATEGIE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Hauptbegehren</w:t>
      </w:r>
      <w:r>
        <w:rPr>
          <w:rFonts w:ascii="Rockwell" w:hAnsi="Rockwell" w:eastAsia="Rockwell"/>
          <w:b w:val="0"/>
          <w:i w:val="0"/>
        </w:rPr>
        <w:t>: § 7 Abs 3 EO Aufhebung Vollstreckbarkeitsbestätigung (Titelgericht, Weiterleitung); priorisiert.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Eventualbegehren 1</w:t>
      </w:r>
      <w:r>
        <w:rPr>
          <w:rFonts w:ascii="Rockwell" w:hAnsi="Rockwell" w:eastAsia="Rockwell"/>
          <w:b w:val="0"/>
          <w:i w:val="0"/>
        </w:rPr>
        <w:t>: § 42 Abs 1 EO Aufschiebung + § 40 Abs 1 EO Einstellung (Bewilligungsgericht).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Eventualbegehren 2</w:t>
      </w:r>
      <w:r>
        <w:rPr>
          <w:rFonts w:ascii="Rockwell" w:hAnsi="Rockwell" w:eastAsia="Rockwell"/>
          <w:b w:val="0"/>
          <w:i w:val="0"/>
        </w:rPr>
        <w:t>: § 35 EO Oppositionsklage; § 25c KSchG subsidiär.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>Priorisierung: Kurzfristig(sofortiger Stopp Pfändung).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7. RISIKEN / GEGENARGUMENTE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1. </w:t>
      </w:r>
      <w:r>
        <w:rPr>
          <w:rFonts w:ascii="Rockwell" w:hAnsi="Rockwell" w:eastAsia="Rockwell"/>
          <w:b/>
          <w:i w:val="0"/>
        </w:rPr>
        <w:t>Praeklusion durch Vollstreckbarkeitsbestätigung (RS0000180)</w:t>
      </w:r>
      <w:r>
        <w:rPr>
          <w:rFonts w:ascii="Rockwell" w:hAnsi="Rockwell" w:eastAsia="Rockwell"/>
          <w:b w:val="0"/>
          <w:i w:val="0"/>
        </w:rPr>
        <w:t>: Replik: § 7 Abs 3 EO Ausnahme (RS0001582, RS0001544).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2. </w:t>
      </w:r>
      <w:r>
        <w:rPr>
          <w:rFonts w:ascii="Rockwell" w:hAnsi="Rockwell" w:eastAsia="Rockwell"/>
          <w:b/>
          <w:i w:val="0"/>
        </w:rPr>
        <w:t>Keine Akzessorietät (Mitschuldner, RS0032137)</w:t>
      </w:r>
      <w:r>
        <w:rPr>
          <w:rFonts w:ascii="Rockwell" w:hAnsi="Rockwell" w:eastAsia="Rockwell"/>
          <w:b w:val="0"/>
          <w:i w:val="0"/>
        </w:rPr>
        <w:t>: Replik: Akten Bürgschaft (RS0032169).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3. </w:t>
      </w:r>
      <w:r>
        <w:rPr>
          <w:rFonts w:ascii="Rockwell" w:hAnsi="Rockwell" w:eastAsia="Rockwell"/>
          <w:b/>
          <w:i w:val="0"/>
        </w:rPr>
        <w:t>Verjährung Einwand Befriedigung (RS0034598)</w:t>
      </w:r>
      <w:r>
        <w:rPr>
          <w:rFonts w:ascii="Rockwell" w:hAnsi="Rockwell" w:eastAsia="Rockwell"/>
          <w:b w:val="0"/>
          <w:i w:val="0"/>
        </w:rPr>
        <w:t>: Replik: Unterbrechung inter partes.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4. </w:t>
      </w:r>
      <w:r>
        <w:rPr>
          <w:rFonts w:ascii="Rockwell" w:hAnsi="Rockwell" w:eastAsia="Rockwell"/>
          <w:b/>
          <w:i w:val="0"/>
        </w:rPr>
        <w:t>§ 25c KSchG keine Pflicht (RS0120255)</w:t>
      </w:r>
      <w:r>
        <w:rPr>
          <w:rFonts w:ascii="Rockwell" w:hAnsi="Rockwell" w:eastAsia="Rockwell"/>
          <w:b w:val="0"/>
          <w:i w:val="0"/>
        </w:rPr>
        <w:t>: Replik: Beweislast Gläubiger (RS0121054).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8. ERFOLGSAUSSICHTEN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>Hohe Aussichten bei § 7 Abs 3 EO (starke Beweislage); solide bei Akzessorietät und § 25c KSchG.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9. STRATEGISCHE DETAILS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FRISTEN</w:t>
      </w:r>
      <w:r>
        <w:rPr>
          <w:rFonts w:ascii="Rockwell" w:hAnsi="Rockwell" w:eastAsia="Rockwell"/>
          <w:b w:val="0"/>
          <w:i w:val="0"/>
        </w:rPr>
        <w:t>: Rechtsbehelf § 7 Abs 3 EO: 14 Tage; Aufschub § 42 EO jederzeit; Oppositionsklage § 35 EO: 3 Monate ab Bewilligung.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NÄCHSTE SCHRITTE</w:t>
      </w:r>
      <w:r>
        <w:rPr>
          <w:rFonts w:ascii="Rockwell" w:hAnsi="Rockwell" w:eastAsia="Rockwell"/>
          <w:b w:val="0"/>
          <w:i w:val="0"/>
        </w:rPr>
        <w:t>: 1. Antrag, 2. Akteneinsicht, 3. Vorbereitung § 35 EO, 4. Gläubigeranschreiben.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KOSTEN-NUTZEN</w:t>
      </w:r>
      <w:r>
        <w:rPr>
          <w:rFonts w:ascii="Rockwell" w:hAnsi="Rockwell" w:eastAsia="Rockwell"/>
          <w:b w:val="0"/>
          <w:i w:val="0"/>
        </w:rPr>
        <w:t>: Niedrige Gerichtsgebühren; hoher Nutzen durch Exekutionsstopp vs. Pfändungsrisiko.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STRATEGISCHE EMPFEHLUNG</w:t>
      </w:r>
    </w:p>
    <w:p>
      <w:pPr>
        <w:spacing w:after="0"/>
      </w:pPr>
    </w:p>
    <w:p>
      <w:pPr>
        <w:spacing w:before="360" w:after="240"/>
        <w:jc w:val="center"/>
      </w:pPr>
      <w:r>
        <w:rPr>
          <w:rFonts w:ascii="Rockwell" w:hAnsi="Rockwell" w:eastAsia="Rockwell"/>
          <w:b/>
          <w:i w:val="0"/>
          <w:sz w:val="28"/>
        </w:rPr>
        <w:t>STRATEGISCHE ERSTEINSCHÄTZUNG: FALL CARMEN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GZ:</w:t>
      </w:r>
      <w:r>
        <w:rPr>
          <w:rFonts w:ascii="Rockwell" w:hAnsi="Rockwell" w:eastAsia="Rockwell"/>
          <w:b w:val="0"/>
          <w:i w:val="0"/>
        </w:rPr>
        <w:t xml:space="preserve"> 060 12 C 467/18v (BG Gänserndorf) / 25 E 1939/25i (BG Melk) | </w:t>
      </w:r>
      <w:r>
        <w:rPr>
          <w:rFonts w:ascii="Rockwell" w:hAnsi="Rockwell" w:eastAsia="Rockwell"/>
          <w:b/>
          <w:i w:val="0"/>
        </w:rPr>
        <w:t>Datum:</w:t>
      </w:r>
      <w:r>
        <w:rPr>
          <w:rFonts w:ascii="Rockwell" w:hAnsi="Rockwell" w:eastAsia="Rockwell"/>
          <w:b w:val="0"/>
          <w:i w:val="0"/>
        </w:rPr>
        <w:t xml:space="preserve"> 23.12.2025 | </w:t>
      </w:r>
      <w:r>
        <w:rPr>
          <w:rFonts w:ascii="Rockwell" w:hAnsi="Rockwell" w:eastAsia="Rockwell"/>
          <w:b/>
          <w:i w:val="0"/>
        </w:rPr>
        <w:t>Betriebene Forderung:</w:t>
      </w:r>
      <w:r>
        <w:rPr>
          <w:rFonts w:ascii="Rockwell" w:hAnsi="Rockwell" w:eastAsia="Rockwell"/>
          <w:b w:val="0"/>
          <w:i w:val="0"/>
        </w:rPr>
        <w:t xml:space="preserve"> EUR 2.081,14 Kapital + EUR 1.102,51 NF = EUR 3.183,65 (Gesamt EUR 3.599,44 inkl. Zinsen/Kosten) | </w:t>
      </w:r>
      <w:r>
        <w:rPr>
          <w:rFonts w:ascii="Rockwell" w:hAnsi="Rockwell" w:eastAsia="Rockwell"/>
          <w:b/>
          <w:i w:val="0"/>
        </w:rPr>
        <w:t>Urgency:</w:t>
      </w:r>
      <w:r>
        <w:rPr>
          <w:rFonts w:ascii="Rockwell" w:hAnsi="Rockwell" w:eastAsia="Rockwell"/>
          <w:b w:val="0"/>
          <w:i w:val="0"/>
        </w:rPr>
        <w:t xml:space="preserve"> HIGH (laufende Gehaltsexekution gegen AMS-Leistungen)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ENTscheidende Rechtsfragen (priorisiert)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1. </w:t>
      </w:r>
      <w:r>
        <w:rPr>
          <w:rFonts w:ascii="Rockwell" w:hAnsi="Rockwell" w:eastAsia="Rockwell"/>
          <w:b/>
          <w:i w:val="0"/>
        </w:rPr>
        <w:t>Wirksamkeit der Zustellung des Zahlungsbefehls (§ 7 Abs 3 EO)</w:t>
      </w:r>
      <w:r>
        <w:rPr>
          <w:rFonts w:ascii="Rockwell" w:hAnsi="Rockwell" w:eastAsia="Rockwell"/>
          <w:b w:val="0"/>
          <w:i w:val="0"/>
        </w:rPr>
        <w:t xml:space="preserve">: Unwirksame Zustellung (ZMR-Auszug: Abmeldung 01.03.2018, Zustellung 13.03.2018 an Gartengasse 18c/8, Baden) → irrütümliche Vollstreckbarkeitsbestätigung (25.04.2018); </w:t>
      </w:r>
      <w:r>
        <w:rPr>
          <w:rFonts w:ascii="Rockwell" w:hAnsi="Rockwell" w:eastAsia="Rockwell"/>
          <w:b/>
          <w:i w:val="0"/>
        </w:rPr>
        <w:t>höchste Priorität</w:t>
      </w:r>
      <w:r>
        <w:rPr>
          <w:rFonts w:ascii="Rockwell" w:hAnsi="Rockwell" w:eastAsia="Rockwell"/>
          <w:b w:val="0"/>
          <w:i w:val="0"/>
        </w:rPr>
        <w:t xml:space="preserve"> als absolute Nullität, überwindet Praeklusion.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2. </w:t>
      </w:r>
      <w:r>
        <w:rPr>
          <w:rFonts w:ascii="Rockwell" w:hAnsi="Rockwell" w:eastAsia="Rockwell"/>
          <w:b/>
          <w:i w:val="0"/>
        </w:rPr>
        <w:t>Akzessorietät der Bürgschaft (§ 14 IO iVm § 40 EO)</w:t>
      </w:r>
      <w:r>
        <w:rPr>
          <w:rFonts w:ascii="Rockwell" w:hAnsi="Rockwell" w:eastAsia="Rockwell"/>
          <w:b w:val="0"/>
          <w:i w:val="0"/>
        </w:rPr>
        <w:t xml:space="preserve">: Hauptschuld (EUR 23.274,46) vollständig erloschen durch 100%-Erfüllung Insolvenzplan (60 Raten à EUR 387,91, bestätigt KSV1870 07.01.2026) → verbotene Überbefriedigung; </w:t>
      </w:r>
      <w:r>
        <w:rPr>
          <w:rFonts w:ascii="Rockwell" w:hAnsi="Rockwell" w:eastAsia="Rockwell"/>
          <w:b/>
          <w:i w:val="0"/>
        </w:rPr>
        <w:t>zweite Priorität</w:t>
      </w:r>
      <w:r>
        <w:rPr>
          <w:rFonts w:ascii="Rockwell" w:hAnsi="Rockwell" w:eastAsia="Rockwell"/>
          <w:b w:val="0"/>
          <w:i w:val="0"/>
        </w:rPr>
        <w:t>, parallel zu § 7 Abs 3 EO.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3. </w:t>
      </w:r>
      <w:r>
        <w:rPr>
          <w:rFonts w:ascii="Rockwell" w:hAnsi="Rockwell" w:eastAsia="Rockwell"/>
          <w:b/>
          <w:i w:val="0"/>
        </w:rPr>
        <w:t>Interzessionsschutz (§ 25c KSchG iVm § 35 EO)</w:t>
      </w:r>
      <w:r>
        <w:rPr>
          <w:rFonts w:ascii="Rockwell" w:hAnsi="Rockwell" w:eastAsia="Rockwell"/>
          <w:b w:val="0"/>
          <w:i w:val="0"/>
        </w:rPr>
        <w:t xml:space="preserve">: Subsidiär, Haftungsentfall bei Verletzung Informationspflicht; </w:t>
      </w:r>
      <w:r>
        <w:rPr>
          <w:rFonts w:ascii="Rockwell" w:hAnsi="Rockwell" w:eastAsia="Rockwell"/>
          <w:b/>
          <w:i w:val="0"/>
        </w:rPr>
        <w:t>niedrigste Priorität</w:t>
      </w:r>
      <w:r>
        <w:rPr>
          <w:rFonts w:ascii="Rockwell" w:hAnsi="Rockwell" w:eastAsia="Rockwell"/>
          <w:b w:val="0"/>
          <w:i w:val="0"/>
        </w:rPr>
        <w:t>, als Reserve nach EO-Erledigung.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Priorisierung EO-/Praeklusion-/Interzessions-Aspekte:</w:t>
      </w:r>
      <w:r>
        <w:rPr>
          <w:rFonts w:ascii="Rockwell" w:hAnsi="Rockwell" w:eastAsia="Rockwell"/>
          <w:b w:val="0"/>
          <w:i w:val="0"/>
        </w:rPr>
        <w:t xml:space="preserve"> § 7 Abs 3 EO (Titelgericht, Weiterleitung § 39 Abs 4 EO) vor § 40 EO / § 42 EO (Bewilligungsgericht); Praeklusion (§ 18 EO) durch § 7 Abs 3 EO umgangen (RS0001544, RS0001582); Interzession (§ 25c KSchG) erst nach Exekutionsstopp.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Wichtigste RS/TE zur Absicherung:</w:t>
      </w:r>
      <w:r>
        <w:rPr>
          <w:rFonts w:ascii="Rockwell" w:hAnsi="Rockwell" w:eastAsia="Rockwell"/>
          <w:b w:val="0"/>
          <w:i w:val="0"/>
        </w:rPr>
        <w:t xml:space="preserve"> RS0001544 (irrtümliche VB), RS0001557 (§ 7 Abs 3 EO als Titelverfahren), RS0032137/RS0032169 (Akzessorietät Bürgschaft), RS0121054 (§ 25c KSchG-Haftungsentfall).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EMPFEHLUNG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Hauptbegehren:</w:t>
      </w:r>
      <w:r>
        <w:rPr>
          <w:rFonts w:ascii="Rockwell" w:hAnsi="Rockwell" w:eastAsia="Rockwell"/>
          <w:b w:val="0"/>
          <w:i w:val="0"/>
        </w:rPr>
        <w:t xml:space="preserve"> § 7 Abs 3 EO (Aufhebung Vollstreckbarkeitsbestätigung BG Gänserndorf); </w:t>
      </w:r>
      <w:r>
        <w:rPr>
          <w:rFonts w:ascii="Rockwell" w:hAnsi="Rockwell" w:eastAsia="Rockwell"/>
          <w:b/>
          <w:i w:val="0"/>
        </w:rPr>
        <w:t>Erfolgsaussicht: 90%</w:t>
      </w:r>
      <w:r>
        <w:rPr>
          <w:rFonts w:ascii="Rockwell" w:hAnsi="Rockwell" w:eastAsia="Rockwell"/>
          <w:b w:val="0"/>
          <w:i w:val="0"/>
        </w:rPr>
        <w:t xml:space="preserve"> (starke Beweislage: ZMR-Auszug als öffentliche Urkunde § 292 ZPO).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Eventualbegehren (priorisiert):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 xml:space="preserve">  1. § 42 Abs 1 EO (Aufschiebung) + § 40 Abs 1 EO (Einstellung wegen Befriedigung/Akzessorietät § 14 IO); Erfolgsaussicht: 80%.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 xml:space="preserve">  2. § 35 EO (Oppositionsklage) iVm § 25c KSchG; Erfolgsaussicht: 70%.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SOFORT-MASSNAHMEN (was JETZT passieren muss):</w:t>
      </w:r>
      <w:r>
        <w:rPr>
          <w:rFonts w:ascii="Rockwell" w:hAnsi="Rockwell" w:eastAsia="Rockwell"/>
          <w:b w:val="0"/>
          <w:i w:val="0"/>
        </w:rPr>
        <w:t xml:space="preserve"> Einreichung kombinierter Schriftsätze (bereits DOCX_ANTRAG_7ABS3_EO_V2.docx + § 42/40/39 EO) bei BG Melk/Gänserndorf; Vollmachtsbekanntgabe + Akteneinsicht (bereits 10.02.2026 eingereicht); Gläubigeranschreiben (Erste Bank, ADVM P410027).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SZENARIEN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#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Szenario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Wahrscheinlichkeit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Nächster Schritt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Kosten</w:t>
            </w:r>
          </w:p>
        </w:tc>
      </w:tr>
      <w:tr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1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BG akzeptiert ZMR-Auszug (§ 7 Abs 3 EO): Aufhebung VB, Weiterleitung § 39 Abs 4 EO → Einstellung Exekution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70%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Vollstreckungseinstellung beantragen; Rückforderung EUR 3.599,44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EUR 50 Gerichtsgebühr</w:t>
            </w:r>
          </w:p>
        </w:tc>
      </w:tr>
      <w:tr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2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Hauptschuld-Tilgung anerkannt (§ 40 EO / § 14 IO): Einstellung wegen Überbefriedigung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20%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Beschwerde § 42 EO; Feststellungsklage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EUR 100–200 Gebühren + Anwalt</w:t>
            </w:r>
          </w:p>
        </w:tc>
      </w:tr>
      <w:tr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3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Anträge abgewiesen (ZMR angezweifelt): Rechtsmittel notwendig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10%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§ 35 EO Oppositionsklage (Frist 3 Monate ab 23.12.2025); § 25c KSchG-Klage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EUR 262 Gebühr + Sachverständiger (ca. EUR 1.000)</w:t>
            </w:r>
          </w:p>
        </w:tc>
      </w:tr>
    </w:tbl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STILLE RISIKEN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Untätigkeit gegenüber Exekution:</w:t>
      </w:r>
      <w:r>
        <w:rPr>
          <w:rFonts w:ascii="Rockwell" w:hAnsi="Rockwell" w:eastAsia="Rockwell"/>
          <w:b w:val="0"/>
          <w:i w:val="0"/>
        </w:rPr>
        <w:t xml:space="preserve"> Fortgesetzte Gehaltspfändung (AMS-Leistungen), Abzug Sozialhilfe, Verfestigung Vollstreckbarkeit → Praeklusion Einwendungen, dauerhafte Überbefriedigung EUR 3.599,44 (Verlust Mandantin).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Versäumnis EO-Anträge:</w:t>
      </w:r>
      <w:r>
        <w:rPr>
          <w:rFonts w:ascii="Rockwell" w:hAnsi="Rockwell" w:eastAsia="Rockwell"/>
          <w:b w:val="0"/>
          <w:i w:val="0"/>
        </w:rPr>
        <w:t xml:space="preserve"> Rechtskraft Bewilligung (23.12.2025), keine Aufhebung mehr möglich.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NÄCHSTE SCHRITTE (nummeriert, mit Fristen)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1. </w:t>
      </w:r>
      <w:r>
        <w:rPr>
          <w:rFonts w:ascii="Rockwell" w:hAnsi="Rockwell" w:eastAsia="Rockwell"/>
          <w:b/>
          <w:i w:val="0"/>
        </w:rPr>
        <w:t>Sofort (bis 28.02.2026):</w:t>
      </w:r>
      <w:r>
        <w:rPr>
          <w:rFonts w:ascii="Rockwell" w:hAnsi="Rockwell" w:eastAsia="Rockwell"/>
          <w:b w:val="0"/>
          <w:i w:val="0"/>
        </w:rPr>
        <w:t xml:space="preserve"> Kombinierter Schriftsatz (§ 7 Abs 3 EO Haupt, § 42/40 EO eventual) bei BG Melk einreichen (bereits 26.02.2026 vorbereitet); Kopie an BG Gänserndorf.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2. </w:t>
      </w:r>
      <w:r>
        <w:rPr>
          <w:rFonts w:ascii="Rockwell" w:hAnsi="Rockwell" w:eastAsia="Rockwell"/>
          <w:b/>
          <w:i w:val="0"/>
        </w:rPr>
        <w:t>Bis 11.03.2026 (14 Tage ab Einreichung):</w:t>
      </w:r>
      <w:r>
        <w:rPr>
          <w:rFonts w:ascii="Rockwell" w:hAnsi="Rockwell" w:eastAsia="Rockwell"/>
          <w:b w:val="0"/>
          <w:i w:val="0"/>
        </w:rPr>
        <w:t xml:space="preserve"> Akteneinsicht BG Gänserndorf/Melk abrufen; Gläubigeranschreiben (Erste Bank, IBAN AT32 6000 0000 9204 4524) mit Fristsetzung zur Einstellung.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3. </w:t>
      </w:r>
      <w:r>
        <w:rPr>
          <w:rFonts w:ascii="Rockwell" w:hAnsi="Rockwell" w:eastAsia="Rockwell"/>
          <w:b/>
          <w:i w:val="0"/>
        </w:rPr>
        <w:t>Bis 23.03.2026 (3 Monate ab Bewilligung):</w:t>
      </w:r>
      <w:r>
        <w:rPr>
          <w:rFonts w:ascii="Rockwell" w:hAnsi="Rockwell" w:eastAsia="Rockwell"/>
          <w:b w:val="0"/>
          <w:i w:val="0"/>
        </w:rPr>
        <w:t xml:space="preserve"> Vorbereitung § 35 EO Oppositionsklage als Reserve.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4. </w:t>
      </w:r>
      <w:r>
        <w:rPr>
          <w:rFonts w:ascii="Rockwell" w:hAnsi="Rockwell" w:eastAsia="Rockwell"/>
          <w:b/>
          <w:i w:val="0"/>
        </w:rPr>
        <w:t>Parallel (laufend):</w:t>
      </w:r>
      <w:r>
        <w:rPr>
          <w:rFonts w:ascii="Rockwell" w:hAnsi="Rockwell" w:eastAsia="Rockwell"/>
          <w:b w:val="0"/>
          <w:i w:val="0"/>
        </w:rPr>
        <w:t xml:space="preserve"> KSV1870-Bestätigung Insolvenzerfüllung (07.01.2026) beifügen; ggf. Sachverständigengutachten zu Zustellung (Beweislastverteilung).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Kosten-Nutzen:</w:t>
      </w:r>
      <w:r>
        <w:rPr>
          <w:rFonts w:ascii="Rockwell" w:hAnsi="Rockwell" w:eastAsia="Rockwell"/>
          <w:b w:val="0"/>
          <w:i w:val="0"/>
        </w:rPr>
        <w:t xml:space="preserve"> Niedrig (EUR 50–300 Gebühren); Nutzen: Exekutionsstopp, Rückzahlung EUR 3.599,44 + Zinsen.</w:t>
      </w:r>
    </w:p>
    <w:sectPr w:rsidR="00500BDB">
      <w:headerReference w:type="first" r:id="rId8"/>
      <w:footerReference w:type="default" r:id="rId9"/>
      <w:headerReference w:type="default" r:id="rId12"/>
      <w:footerReference w:type="first" r:id="rId13"/>
      <w:pgSz w:w="11906" w:h="16838"/>
      <w:pgMar w:top="2200" w:right="1134" w:bottom="1400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49BA3" w14:textId="77777777" w:rsidR="004A3CF3" w:rsidRDefault="004A3CF3">
      <w:r>
        <w:separator/>
      </w:r>
    </w:p>
  </w:endnote>
  <w:endnote w:type="continuationSeparator" w:id="0">
    <w:p w14:paraId="3FDAF5A2" w14:textId="77777777" w:rsidR="004A3CF3" w:rsidRDefault="004A3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 w:before="0"/>
      <w:jc w:val="center"/>
    </w:pPr>
    <w:r>
      <w:rPr>
        <w:rFonts w:ascii="Arial" w:hAnsi="Arial"/>
        <w:color w:val="666666"/>
        <w:sz w:val="14"/>
      </w:rPr>
      <w:t>Gebührenkonto: Volksbank NÖ Mitte | IBAN AT95 4715 0117 9965 0001 | BIC VBOEATWWNOM</w:t>
    </w:r>
  </w:p>
  <w:p>
    <w:pPr>
      <w:spacing w:after="60" w:before="0"/>
      <w:jc w:val="center"/>
    </w:pPr>
    <w:r>
      <w:rPr>
        <w:rFonts w:ascii="Arial" w:hAnsi="Arial"/>
        <w:color w:val="666666"/>
        <w:sz w:val="14"/>
      </w:rPr>
      <w:t>Einzahlungskonto: Volksbank NÖ Mitte | IBAN AT25 4715 0117 9965 0000 | BIC VBOEATWWNOM</w:t>
    </w:r>
  </w:p>
  <w:p>
    <w:pPr>
      <w:spacing w:before="0"/>
      <w:jc w:val="center"/>
    </w:pPr>
    <w:r>
      <w:rPr>
        <w:rFonts w:ascii="Arial" w:hAnsi="Arial"/>
        <w:color w:val="666666"/>
        <w:sz w:val="16"/>
      </w:rPr>
      <w:t xml:space="preserve">— Seite </w:t>
    </w:r>
    <w:r>
      <w:rPr>
        <w:rFonts w:ascii="Arial" w:hAnsi="Arial"/>
        <w:color w:val="666666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color w:val="666666"/>
        <w:sz w:val="16"/>
      </w:rPr>
      <w:t xml:space="preserve"> von </w:t>
    </w:r>
    <w:r>
      <w:rPr>
        <w:rFonts w:ascii="Arial" w:hAnsi="Arial"/>
        <w:color w:val="666666"/>
        <w:sz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/>
        <w:color w:val="666666"/>
        <w:sz w:val="16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pPr>
      <w:spacing w:after="0" w:before="0"/>
      <w:jc w:val="center"/>
    </w:pPr>
    <w:r>
      <w:rPr>
        <w:rFonts w:ascii="Arial" w:hAnsi="Arial"/>
        <w:color w:val="666666"/>
        <w:sz w:val="14"/>
      </w:rPr>
      <w:t>Gebührenkonto: Volksbank NÖ Mitte | IBAN AT95 4715 0117 9965 0001 | BIC VBOEATWWNOM</w:t>
    </w:r>
  </w:p>
  <w:p>
    <w:pPr>
      <w:spacing w:after="60" w:before="0"/>
      <w:jc w:val="center"/>
    </w:pPr>
    <w:pPr>
      <w:spacing w:after="60" w:before="0"/>
      <w:jc w:val="center"/>
    </w:pPr>
    <w:r>
      <w:rPr>
        <w:rFonts w:ascii="Arial" w:hAnsi="Arial"/>
        <w:color w:val="666666"/>
        <w:sz w:val="14"/>
      </w:rPr>
      <w:t>Einzahlungskonto: Volksbank NÖ Mitte | IBAN AT25 4715 0117 9965 0000 | BIC VBOEATWWNOM</w:t>
    </w:r>
  </w:p>
  <w:p>
    <w:pPr>
      <w:spacing w:before="0"/>
      <w:jc w:val="center"/>
    </w:pPr>
    <w:pPr>
      <w:spacing w:before="0"/>
      <w:jc w:val="center"/>
    </w:pPr>
    <w:r>
      <w:rPr>
        <w:rFonts w:ascii="Arial" w:hAnsi="Arial"/>
        <w:color w:val="666666"/>
        <w:sz w:val="16"/>
      </w:rPr>
      <w:t xml:space="preserve">— Seite </w:t>
    </w:r>
    <w:r>
      <w:rPr>
        <w:rFonts w:ascii="Arial" w:hAnsi="Arial"/>
        <w:color w:val="666666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color w:val="666666"/>
        <w:sz w:val="16"/>
      </w:rPr>
      <w:t xml:space="preserve"> von </w:t>
    </w:r>
    <w:r>
      <w:rPr>
        <w:rFonts w:ascii="Arial" w:hAnsi="Arial"/>
        <w:color w:val="666666"/>
        <w:sz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/>
        <w:color w:val="666666"/>
        <w:sz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9D3F" w14:textId="77777777" w:rsidR="004A3CF3" w:rsidRDefault="004A3CF3">
      <w:r>
        <w:separator/>
      </w:r>
    </w:p>
  </w:footnote>
  <w:footnote w:type="continuationSeparator" w:id="0">
    <w:p w14:paraId="2806A57E" w14:textId="77777777" w:rsidR="004A3CF3" w:rsidRDefault="004A3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83"/>
      <w:gridCol w:w="7672"/>
    </w:tblGrid>
    <w:tr w:rsidR="00500BDB" w14:paraId="273FBA8F" w14:textId="77777777">
      <w:tblPrEx>
        <w:tblCellMar>
          <w:top w:w="0" w:type="dxa"/>
          <w:bottom w:w="0" w:type="dxa"/>
        </w:tblCellMar>
      </w:tblPrEx>
      <w:tc>
        <w:tcPr>
          <w:tcW w:w="1500" w:type="dxa"/>
          <w:vAlign w:val="center"/>
        </w:tcPr>
        <w:p w14:paraId="1706D781" w14:textId="77777777" w:rsidR="00500BDB" w:rsidRDefault="00000000">
          <w:r>
            <w:rPr>
              <w:noProof/>
            </w:rPr>
            <w:drawing>
              <wp:inline distT="0" distB="0" distL="0" distR="0" wp14:anchorId="002F45E7" wp14:editId="309966E4">
                <wp:extent cx="684000" cy="684000"/>
                <wp:effectExtent l="0" t="0" r="0" b="0"/>
                <wp:docPr id="719058156" name="Grafik 719058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4000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0" w:type="dxa"/>
        </w:tcPr>
        <w:p w14:paraId="7C862DE7" w14:textId="77777777" w:rsidR="00500BDB" w:rsidRDefault="00000000">
          <w:pPr>
            <w:jc w:val="right"/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Rechtsanwalt Mag. DI. Reinhard Berger, MBA</w:t>
          </w:r>
        </w:p>
        <w:p w14:paraId="429BE00B" w14:textId="77777777" w:rsidR="00500BDB" w:rsidRDefault="00000000">
          <w:pPr>
            <w:jc w:val="right"/>
          </w:pPr>
          <w:proofErr w:type="spellStart"/>
          <w:r>
            <w:rPr>
              <w:rFonts w:ascii="Arial" w:eastAsia="Arial" w:hAnsi="Arial" w:cs="Arial"/>
              <w:color w:val="666666"/>
              <w:sz w:val="18"/>
              <w:szCs w:val="18"/>
            </w:rPr>
            <w:t>Weigelspergergasse</w:t>
          </w:r>
          <w:proofErr w:type="spellEnd"/>
          <w:r>
            <w:rPr>
              <w:rFonts w:ascii="Arial" w:eastAsia="Arial" w:hAnsi="Arial" w:cs="Arial"/>
              <w:color w:val="666666"/>
              <w:sz w:val="18"/>
              <w:szCs w:val="18"/>
            </w:rPr>
            <w:t xml:space="preserve"> 2 • A-3380 Pöchlarn</w:t>
          </w:r>
        </w:p>
        <w:p w14:paraId="70EED9D7" w14:textId="77777777" w:rsidR="00500BDB" w:rsidRDefault="00000000">
          <w:pPr>
            <w:jc w:val="right"/>
          </w:pPr>
          <w:r>
            <w:rPr>
              <w:rFonts w:ascii="Arial" w:eastAsia="Arial" w:hAnsi="Arial" w:cs="Arial"/>
              <w:color w:val="666666"/>
              <w:sz w:val="18"/>
              <w:szCs w:val="18"/>
            </w:rPr>
            <w:t>T: +43 677 62904371 • +43 2757 212 50</w:t>
          </w:r>
        </w:p>
        <w:p w14:paraId="1627F0C3" w14:textId="77777777" w:rsidR="00500BDB" w:rsidRDefault="00000000">
          <w:pPr>
            <w:jc w:val="right"/>
          </w:pPr>
          <w:r>
            <w:rPr>
              <w:rFonts w:ascii="Arial" w:eastAsia="Arial" w:hAnsi="Arial" w:cs="Arial"/>
              <w:color w:val="666666"/>
              <w:sz w:val="18"/>
              <w:szCs w:val="18"/>
            </w:rPr>
            <w:t>E: berger@deinanwalt.eu • www.deinanwalt.eu</w:t>
          </w:r>
        </w:p>
        <w:p w14:paraId="154C32A6" w14:textId="77777777" w:rsidR="00500BDB" w:rsidRDefault="00000000">
          <w:pPr>
            <w:jc w:val="right"/>
          </w:pPr>
          <w:r>
            <w:rPr>
              <w:rFonts w:ascii="Arial" w:eastAsia="Arial" w:hAnsi="Arial" w:cs="Arial"/>
              <w:color w:val="666666"/>
              <w:sz w:val="18"/>
              <w:szCs w:val="18"/>
            </w:rPr>
            <w:t>R-Code: 210380 • UID: ATU 58198177</w:t>
          </w:r>
        </w:p>
      </w:tc>
    </w:tr>
  </w:tbl>
  <w:p w14:paraId="52E4D8E3" w14:textId="77777777" w:rsidR="00500BDB" w:rsidRDefault="00500BDB">
    <w:pPr>
      <w:pBdr>
        <w:bottom w:val="single" w:sz="12" w:space="0" w:color="E85D04"/>
      </w:pBdr>
      <w:spacing w:before="10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after="60"/>
      <w:jc w:val="right"/>
    </w:pPr>
    <w:r>
      <w:rPr>
        <w:rFonts w:ascii="Arial" w:hAnsi="Arial"/>
        <w:b/>
        <w:color w:val="333333"/>
        <w:sz w:val="22"/>
      </w:rPr>
      <w:t>Rechtsanwalt Mag. DI. Reinhard Berger, MBA</w:t>
    </w:r>
  </w:p>
  <w:p>
    <w:pPr>
      <w:spacing w:after="120"/>
      <w:jc w:val="right"/>
    </w:pPr>
    <w:r>
      <w:rPr>
        <w:rFonts w:ascii="Arial" w:hAnsi="Arial"/>
        <w:color w:val="666666"/>
        <w:sz w:val="18"/>
      </w:rPr>
      <w:t>Weigelspergergasse 2 • A-3380 Pöchlarn • T: +43 2757 21250</w:t>
    </w:r>
  </w:p>
  <w:p>
    <w:pPr>
      <w:pBdr>
        <w:bottom w:val="single" w:sz="12" w:space="1" w:color="CC6600"/>
      </w:pBdr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1F1"/>
    <w:multiLevelType w:val="hybridMultilevel"/>
    <w:tmpl w:val="A69EA798"/>
    <w:lvl w:ilvl="0" w:tplc="F5F0A8C4">
      <w:start w:val="1"/>
      <w:numFmt w:val="bullet"/>
      <w:lvlText w:val="●"/>
      <w:lvlJc w:val="left"/>
      <w:pPr>
        <w:ind w:left="720" w:hanging="360"/>
      </w:pPr>
    </w:lvl>
    <w:lvl w:ilvl="1" w:tplc="F13C5448">
      <w:start w:val="1"/>
      <w:numFmt w:val="bullet"/>
      <w:lvlText w:val="○"/>
      <w:lvlJc w:val="left"/>
      <w:pPr>
        <w:ind w:left="1440" w:hanging="360"/>
      </w:pPr>
    </w:lvl>
    <w:lvl w:ilvl="2" w:tplc="B8669D36">
      <w:start w:val="1"/>
      <w:numFmt w:val="bullet"/>
      <w:lvlText w:val="■"/>
      <w:lvlJc w:val="left"/>
      <w:pPr>
        <w:ind w:left="2160" w:hanging="360"/>
      </w:pPr>
    </w:lvl>
    <w:lvl w:ilvl="3" w:tplc="B628CCAC">
      <w:start w:val="1"/>
      <w:numFmt w:val="bullet"/>
      <w:lvlText w:val="●"/>
      <w:lvlJc w:val="left"/>
      <w:pPr>
        <w:ind w:left="2880" w:hanging="360"/>
      </w:pPr>
    </w:lvl>
    <w:lvl w:ilvl="4" w:tplc="80D04ACA">
      <w:start w:val="1"/>
      <w:numFmt w:val="bullet"/>
      <w:lvlText w:val="○"/>
      <w:lvlJc w:val="left"/>
      <w:pPr>
        <w:ind w:left="3600" w:hanging="360"/>
      </w:pPr>
    </w:lvl>
    <w:lvl w:ilvl="5" w:tplc="9698C4F8">
      <w:start w:val="1"/>
      <w:numFmt w:val="bullet"/>
      <w:lvlText w:val="■"/>
      <w:lvlJc w:val="left"/>
      <w:pPr>
        <w:ind w:left="4320" w:hanging="360"/>
      </w:pPr>
    </w:lvl>
    <w:lvl w:ilvl="6" w:tplc="151AC688">
      <w:start w:val="1"/>
      <w:numFmt w:val="bullet"/>
      <w:lvlText w:val="●"/>
      <w:lvlJc w:val="left"/>
      <w:pPr>
        <w:ind w:left="5040" w:hanging="360"/>
      </w:pPr>
    </w:lvl>
    <w:lvl w:ilvl="7" w:tplc="CF92AA02">
      <w:start w:val="1"/>
      <w:numFmt w:val="bullet"/>
      <w:lvlText w:val="●"/>
      <w:lvlJc w:val="left"/>
      <w:pPr>
        <w:ind w:left="5760" w:hanging="360"/>
      </w:pPr>
    </w:lvl>
    <w:lvl w:ilvl="8" w:tplc="A64C62F6">
      <w:start w:val="1"/>
      <w:numFmt w:val="bullet"/>
      <w:lvlText w:val="●"/>
      <w:lvlJc w:val="left"/>
      <w:pPr>
        <w:ind w:left="6480" w:hanging="360"/>
      </w:pPr>
    </w:lvl>
  </w:abstractNum>
  <w:num w:numId="1" w16cid:durableId="308749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BDB"/>
    <w:rsid w:val="004A3CF3"/>
    <w:rsid w:val="00500BDB"/>
    <w:rsid w:val="00BF6BE2"/>
    <w:rsid w:val="00E3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C33EFF"/>
  <w15:docId w15:val="{6D781402-8E0E-5A41-96E3-0C082F95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1269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Rei Berger</cp:lastModifiedBy>
  <cp:revision>2</cp:revision>
  <cp:lastPrinted>2026-01-10T16:13:00Z</cp:lastPrinted>
  <dcterms:created xsi:type="dcterms:W3CDTF">2026-01-10T16:09:00Z</dcterms:created>
  <dcterms:modified xsi:type="dcterms:W3CDTF">2026-01-10T16:13:00Z</dcterms:modified>
</cp:coreProperties>
</file>