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</w:p>
    <w:p>
      <w:pPr>
        <w:spacing w:before="360" w:after="240"/>
        <w:jc w:val="center"/>
      </w:pPr>
      <w:r>
        <w:rPr>
          <w:rFonts w:ascii="Rockwell" w:hAnsi="Rockwell" w:eastAsia="Rockwell"/>
          <w:b/>
          <w:i w:val="0"/>
          <w:sz w:val="28"/>
        </w:rPr>
        <w:t>Fallanalyse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Datum:</w:t>
      </w:r>
      <w:r>
        <w:rPr>
          <w:rFonts w:ascii="Rockwell" w:hAnsi="Rockwell" w:eastAsia="Rockwell"/>
          <w:b w:val="0"/>
          <w:i w:val="0"/>
        </w:rPr>
        <w:t xml:space="preserve"> 28.02.2026 | </w:t>
      </w:r>
      <w:r>
        <w:rPr>
          <w:rFonts w:ascii="Rockwell" w:hAnsi="Rockwell" w:eastAsia="Rockwell"/>
          <w:b/>
          <w:i w:val="0"/>
        </w:rPr>
        <w:t>Dringlichkeit:</w:t>
      </w:r>
      <w:r>
        <w:rPr>
          <w:rFonts w:ascii="Rockwell" w:hAnsi="Rockwell" w:eastAsia="Rockwell"/>
          <w:b w:val="0"/>
          <w:i w:val="0"/>
        </w:rPr>
        <w:t xml:space="preserve"> HIGH | </w:t>
      </w:r>
      <w:r>
        <w:rPr>
          <w:rFonts w:ascii="Rockwell" w:hAnsi="Rockwell" w:eastAsia="Rockwell"/>
          <w:b/>
          <w:i w:val="0"/>
        </w:rPr>
        <w:t>Modus:</w:t>
      </w:r>
      <w:r>
        <w:rPr>
          <w:rFonts w:ascii="Rockwell" w:hAnsi="Rockwell" w:eastAsia="Rockwell"/>
          <w:b w:val="0"/>
          <w:i w:val="0"/>
        </w:rPr>
        <w:t xml:space="preserve"> Agent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FRISTEN &amp; RISIKEN</w:t>
      </w:r>
    </w:p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Frist</w:t>
            </w:r>
          </w:p>
        </w:tc>
        <w:tc>
          <w:tcPr>
            <w:tcW w:type="dxa" w:w="2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Typ</w:t>
            </w:r>
          </w:p>
        </w:tc>
        <w:tc>
          <w:tcPr>
            <w:tcW w:type="dxa" w:w="2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Rechtsgrundlage</w:t>
            </w:r>
          </w:p>
        </w:tc>
        <w:tc>
          <w:tcPr>
            <w:tcW w:type="dxa" w:w="2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Verbleibend</w:t>
            </w:r>
          </w:p>
        </w:tc>
      </w:tr>
      <w:tr>
        <w:tc>
          <w:tcPr>
            <w:tcW w:type="dxa" w:w="2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09.03.2026</w:t>
            </w:r>
          </w:p>
        </w:tc>
        <w:tc>
          <w:tcPr>
            <w:tcW w:type="dxa" w:w="2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Rekursfrist gegen Beschluss BG Traun 20.02.2026</w:t>
            </w:r>
          </w:p>
        </w:tc>
        <w:tc>
          <w:tcPr>
            <w:tcW w:type="dxa" w:w="2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§ 163 Abs 5+6 Geo iVm ZPO-Rekursfrist (14 Tage ab 23.02.2026)</w:t>
            </w:r>
          </w:p>
        </w:tc>
        <w:tc>
          <w:tcPr>
            <w:tcW w:type="dxa" w:w="23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9 Tage</w:t>
            </w:r>
          </w:p>
        </w:tc>
      </w:tr>
    </w:tbl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Dringlichkeit:</w:t>
      </w:r>
      <w:r>
        <w:rPr>
          <w:rFonts w:ascii="Rockwell" w:hAnsi="Rockwell" w:eastAsia="Rockwell"/>
          <w:b w:val="0"/>
          <w:i w:val="0"/>
        </w:rPr>
        <w:t xml:space="preserve"> HIGH — Rekursfrist läuft in 9 Tagen ab; Versäumnis führt zu Rechtskraft der wirksamen Zustellung und Fortsetzung US-Insolvenzverfahrens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Stille Risiken: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Untätigkeit bis 09.03.2026 → Fristversäumnis → Beschluss BG Traun rechtskräftig → Zustellung wirksam (Art 6 HZÜ) → US-Verfahren (Case 24-02942-mg) fortsetzbar, Default Judgment möglich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Keine ZMR-Abfrage/Belehrung → Verfahrensmängel nicht korrigiert → Bindungswirkung Zustellzeugnis (RS0134713) → Gehörverletzung (Art 6 EMRK) unheilbar (§ 477 Abs 1 Z 4 ZPO)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Entscheidungspunkte: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Rekurs einreichen und priorisieren? [Ja: Standbeine 1 (Abgabestelle RS0111049), 2 (ZMR §163 Abs4 Geo), 3 (Belehrung RS0110261) priorisieren, Nein: Risiko akzeptieren und US-Verteidigung vorbereiten]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Heilung prüfen (§8 Abs2 ZustG)? [Nein: Keine Heilung bei Gehörentzug (Standbein 4), Ja: Aber unwahrscheinlich bei falscher Adresse]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RECHTLICHE ANALYSE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1. KERNFRAGEN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1. </w:t>
      </w:r>
      <w:r>
        <w:rPr>
          <w:rFonts w:ascii="Rockwell" w:hAnsi="Rockwell" w:eastAsia="Rockwell"/>
          <w:b/>
          <w:i w:val="0"/>
        </w:rPr>
        <w:t>Wirksamkeit der Hinterlegung als Abgabestelle (§ 17 iVm § 2 Z 4 ZustG)</w:t>
      </w:r>
      <w:r>
        <w:rPr>
          <w:rFonts w:ascii="Rockwell" w:hAnsi="Rockwell" w:eastAsia="Rockwell"/>
          <w:b w:val="0"/>
          <w:i w:val="0"/>
        </w:rPr>
        <w:t>: Keine Abgabestelle vorhanden → Zustellung unwirksam.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2. </w:t>
      </w:r>
      <w:r>
        <w:rPr>
          <w:rFonts w:ascii="Rockwell" w:hAnsi="Rockwell" w:eastAsia="Rockwell"/>
          <w:b/>
          <w:i w:val="0"/>
        </w:rPr>
        <w:t>Fehlende deutsche Übersetzung (Art 5 Abs 3 HZÜ österreichische Erklärung) und Belehrungspflicht (§ 163 Geo, § 12 ZustG)</w:t>
      </w:r>
      <w:r>
        <w:rPr>
          <w:rFonts w:ascii="Rockwell" w:hAnsi="Rockwell" w:eastAsia="Rockwell"/>
          <w:b w:val="0"/>
          <w:i w:val="0"/>
        </w:rPr>
        <w:t>: Verfahrenseinleitende Schriftstücke ohne Übersetzung/Belehrung → Unwirksamkeit.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3. </w:t>
      </w:r>
      <w:r>
        <w:rPr>
          <w:rFonts w:ascii="Rockwell" w:hAnsi="Rockwell" w:eastAsia="Rockwell"/>
          <w:b/>
          <w:i w:val="0"/>
        </w:rPr>
        <w:t>Gehörverletzung/Nichtigkeit (§ 477 Abs 1 Z 4 ZPO, Art 6 EMRK)</w:t>
      </w:r>
      <w:r>
        <w:rPr>
          <w:rFonts w:ascii="Rockwell" w:hAnsi="Rockwell" w:eastAsia="Rockwell"/>
          <w:b w:val="0"/>
          <w:i w:val="0"/>
        </w:rPr>
        <w:t>: Gehörentzug durch unzureichende Zustellung → absolute Nichtigkeit, keine Bindungswirkung des Zustellzeugnisses (Art 6 HZÜ).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2. RECHTSGRUNDLAGEN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Hauptanspruch: Unwirksamkeit der Rechtshilfe-Zustellung (§ 163 Geo iVm HZÜ, ZustG)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§ 163 Geo: Pflicht zur ZMR-Abfrage und Belehrungspflicht über Annahmeverweigerungsrecht (§ 12 ZustG).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>-iVm § 2 Z 4 ZustG: Hinterlegung nur an Abgabestelle möglich.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Rechtsfolgen: Aufhebung des Beschlusses, Feststellung der Unwirksamkeit der Zustellung.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Eventualanspruch: Nichtigkeit wegen Gehörverletzung (§ 477 Abs 1 Z 4 ZPO, Art 6 EMRK)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Absolute Nichtigkeit als ultima ratio.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Rechtsfolgen: Rücknahme des Zustellzeugnisses, Aufhebung; keine Heilung (§ 8 Abs 2 ZustG).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3. RELEVANTE JUDIKATUR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RS0083714</w:t>
      </w:r>
      <w:r>
        <w:rPr>
          <w:rFonts w:ascii="Rockwell" w:hAnsi="Rockwell" w:eastAsia="Rockwell"/>
          <w:b w:val="0"/>
          <w:i w:val="0"/>
        </w:rPr>
        <w:t>: Bei längerer Ortsabwesendheit unzulässige Hinterlegung (§ 17 Abs 3 ZustG), keine Heilung innerhalb Abholfrist → relevant für fehlende Abgabestelle.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RS0110260</w:t>
      </w:r>
      <w:r>
        <w:rPr>
          <w:rFonts w:ascii="Rockwell" w:hAnsi="Rockwell" w:eastAsia="Rockwell"/>
          <w:b w:val="0"/>
          <w:i w:val="0"/>
        </w:rPr>
        <w:t>: Zustellung ohne Übersetzung in Amtssprache verhindert Verständnis → für Übersetzungsmangel.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RS0110261</w:t>
      </w:r>
      <w:r>
        <w:rPr>
          <w:rFonts w:ascii="Rockwell" w:hAnsi="Rockwell" w:eastAsia="Rockwell"/>
          <w:b w:val="0"/>
          <w:i w:val="0"/>
        </w:rPr>
        <w:t>: Verfahrenseinleitende Schriftstücke ohne Übersetzung unwirksam (fair trial) → für Übersetzungs- und Belehrungsmangel.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RS0111049</w:t>
      </w:r>
      <w:r>
        <w:rPr>
          <w:rFonts w:ascii="Rockwell" w:hAnsi="Rockwell" w:eastAsia="Rockwell"/>
          <w:b w:val="0"/>
          <w:i w:val="0"/>
        </w:rPr>
        <w:t>: Hinterlegung nur, wenn keine persönliche Zustellung möglich (§ 17 Abs 1 ZustG) → unwirksam bei unzureichender Adresse.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RS0111369</w:t>
      </w:r>
      <w:r>
        <w:rPr>
          <w:rFonts w:ascii="Rockwell" w:hAnsi="Rockwell" w:eastAsia="Rockwell"/>
          <w:b w:val="0"/>
          <w:i w:val="0"/>
        </w:rPr>
        <w:t>: Gehörverletzung = Nichtigkeit (§ 477 Abs 1 Z 4 ZPO) → für Art 6 EMRK-Verstoß.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RS0115027</w:t>
      </w:r>
      <w:r>
        <w:rPr>
          <w:rFonts w:ascii="Rockwell" w:hAnsi="Rockwell" w:eastAsia="Rockwell"/>
          <w:b w:val="0"/>
          <w:i w:val="0"/>
        </w:rPr>
        <w:t>: Heilung (§ 8 ZustG) nur bei Verfahrenskenntnis → schließt Heilung aus.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RS0134713</w:t>
      </w:r>
      <w:r>
        <w:rPr>
          <w:rFonts w:ascii="Rockwell" w:hAnsi="Rockwell" w:eastAsia="Rockwell"/>
          <w:b w:val="0"/>
          <w:i w:val="0"/>
        </w:rPr>
        <w:t>: Zustellzeugnis (Art 6 HZÜ) ohne Bindungswirkung → erlaubt nachträgliche Unwirksamkeitsfeststellung.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RS0126357</w:t>
      </w:r>
      <w:r>
        <w:rPr>
          <w:rFonts w:ascii="Rockwell" w:hAnsi="Rockwell" w:eastAsia="Rockwell"/>
          <w:b w:val="0"/>
          <w:i w:val="0"/>
        </w:rPr>
        <w:t>: Säumnis Folge einer nicht gehörigen Zustellung → Nichtigkeitsgrund verwirklicht.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4. SUBSUMTION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Hauptanspruch: Unwirksamkeit (§ 163 Geo iVm HZÜ/ZustG)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1. </w:t>
      </w:r>
      <w:r>
        <w:rPr>
          <w:rFonts w:ascii="Rockwell" w:hAnsi="Rockwell" w:eastAsia="Rockwell"/>
          <w:b/>
          <w:i w:val="0"/>
        </w:rPr>
        <w:t>Abgabestelle vorhanden? (§ 17 iVm § 2 Z 4 ZustG)</w:t>
      </w:r>
      <w:r>
        <w:rPr>
          <w:rFonts w:ascii="Rockwell" w:hAnsi="Rockwell" w:eastAsia="Rockwell"/>
          <w:b w:val="0"/>
          <w:i w:val="0"/>
        </w:rPr>
        <w:t xml:space="preserve"> (-) Nein (RS0083714/RS0111049).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2. </w:t>
      </w:r>
      <w:r>
        <w:rPr>
          <w:rFonts w:ascii="Rockwell" w:hAnsi="Rockwell" w:eastAsia="Rockwell"/>
          <w:b/>
          <w:i w:val="0"/>
        </w:rPr>
        <w:t>ZMR-Abfrage? (§ 163 Geo)</w:t>
      </w:r>
      <w:r>
        <w:rPr>
          <w:rFonts w:ascii="Rockwell" w:hAnsi="Rockwell" w:eastAsia="Rockwell"/>
          <w:b w:val="0"/>
          <w:i w:val="0"/>
        </w:rPr>
        <w:t xml:space="preserve"> (-) Fehlend.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3. </w:t>
      </w:r>
      <w:r>
        <w:rPr>
          <w:rFonts w:ascii="Rockwell" w:hAnsi="Rockwell" w:eastAsia="Rockwell"/>
          <w:b/>
          <w:i w:val="0"/>
        </w:rPr>
        <w:t>Übersetzung? (Art 5 Abs 3 HZÜ)</w:t>
      </w:r>
      <w:r>
        <w:rPr>
          <w:rFonts w:ascii="Rockwell" w:hAnsi="Rockwell" w:eastAsia="Rockwell"/>
          <w:b w:val="0"/>
          <w:i w:val="0"/>
        </w:rPr>
        <w:t xml:space="preserve"> (-) Fehlend (RS0110260/RS0110261).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4. </w:t>
      </w:r>
      <w:r>
        <w:rPr>
          <w:rFonts w:ascii="Rockwell" w:hAnsi="Rockwell" w:eastAsia="Rockwell"/>
          <w:b/>
          <w:i w:val="0"/>
        </w:rPr>
        <w:t>Belehrung? (§ 163 Geo/§ 12 ZustG)</w:t>
      </w:r>
      <w:r>
        <w:rPr>
          <w:rFonts w:ascii="Rockwell" w:hAnsi="Rockwell" w:eastAsia="Rockwell"/>
          <w:b w:val="0"/>
          <w:i w:val="0"/>
        </w:rPr>
        <w:t xml:space="preserve"> (-) Fehlend.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5. </w:t>
      </w:r>
      <w:r>
        <w:rPr>
          <w:rFonts w:ascii="Rockwell" w:hAnsi="Rockwell" w:eastAsia="Rockwell"/>
          <w:b/>
          <w:i w:val="0"/>
        </w:rPr>
        <w:t>Heilung? (§ 8 Abs 2 ZustG)</w:t>
      </w:r>
      <w:r>
        <w:rPr>
          <w:rFonts w:ascii="Rockwell" w:hAnsi="Rockwell" w:eastAsia="Rockwell"/>
          <w:b w:val="0"/>
          <w:i w:val="0"/>
        </w:rPr>
        <w:t xml:space="preserve"> (-) Nein (RS0115027).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Eventualanspruch: Nichtigkeit (Gehörverletzung, § 477 Abs 1 Z 4 ZPO/Art 6 EMRK)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1. </w:t>
      </w:r>
      <w:r>
        <w:rPr>
          <w:rFonts w:ascii="Rockwell" w:hAnsi="Rockwell" w:eastAsia="Rockwell"/>
          <w:b/>
          <w:i w:val="0"/>
        </w:rPr>
        <w:t>Rechtliches Gehör verletzt?</w:t>
      </w:r>
      <w:r>
        <w:rPr>
          <w:rFonts w:ascii="Rockwell" w:hAnsi="Rockwell" w:eastAsia="Rockwell"/>
          <w:b w:val="0"/>
          <w:i w:val="0"/>
        </w:rPr>
        <w:t xml:space="preserve"> (+) Ja (RS0111369).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2. </w:t>
      </w:r>
      <w:r>
        <w:rPr>
          <w:rFonts w:ascii="Rockwell" w:hAnsi="Rockwell" w:eastAsia="Rockwell"/>
          <w:b/>
          <w:i w:val="0"/>
        </w:rPr>
        <w:t>Absolute Nichtigkeit?</w:t>
      </w:r>
      <w:r>
        <w:rPr>
          <w:rFonts w:ascii="Rockwell" w:hAnsi="Rockwell" w:eastAsia="Rockwell"/>
          <w:b w:val="0"/>
          <w:i w:val="0"/>
        </w:rPr>
        <w:t xml:space="preserve"> (+) Ja, keine Bindung (RS0134713).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Ausschlussgründe (§ 477 ZPO taxativ):</w:t>
      </w:r>
      <w:r>
        <w:rPr>
          <w:rFonts w:ascii="Rockwell" w:hAnsi="Rockwell" w:eastAsia="Rockwell"/>
          <w:b w:val="0"/>
          <w:i w:val="0"/>
        </w:rPr>
        <w:t xml:space="preserve"> § 57 ZPO; § 59 ZPO; § 66 ZPO; § 72 ZPO;– keine vorhanden.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5. BEWEISLASTVERTEILUNG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Rekursführer muss Zustellmängel beweisen (Abgabestelle, Übersetzung, ZMR/Belehrung).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• Behörde muss Ordnungsmäßigkeit beweisen (§ 87 Abs 1 ZPO amtswegig).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Praxishinweis</w:t>
      </w:r>
      <w:r>
        <w:rPr>
          <w:rFonts w:ascii="Rockwell" w:hAnsi="Rockwell" w:eastAsia="Rockwell"/>
          <w:b w:val="0"/>
          <w:i w:val="0"/>
        </w:rPr>
        <w:t>: 1. Akteneinsicht; 2. Prüfung der Zustellakte; 3. Zeugenvernehmung Zustelldienst.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6. PROZESSSTRATEGIE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Hauptbegehren</w:t>
      </w:r>
      <w:r>
        <w:rPr>
          <w:rFonts w:ascii="Rockwell" w:hAnsi="Rockwell" w:eastAsia="Rockwell"/>
          <w:b w:val="0"/>
          <w:i w:val="0"/>
        </w:rPr>
        <w:t>: Aufhebung wegen fehlender Abgabestelle (§ 17 ZustG, RS0083714/RS0111049).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Eventualbegehren 1</w:t>
      </w:r>
      <w:r>
        <w:rPr>
          <w:rFonts w:ascii="Rockwell" w:hAnsi="Rockwell" w:eastAsia="Rockwell"/>
          <w:b w:val="0"/>
          <w:i w:val="0"/>
        </w:rPr>
        <w:t>: Unwirksamkeit Übersetzung/Belehrung (RS0110261).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Eventualbegehren 2</w:t>
      </w:r>
      <w:r>
        <w:rPr>
          <w:rFonts w:ascii="Rockwell" w:hAnsi="Rockwell" w:eastAsia="Rockwell"/>
          <w:b w:val="0"/>
          <w:i w:val="0"/>
        </w:rPr>
        <w:t>: Nichtigkeit Gehörverletzung (§ 477 ZPO, RS0111369).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>Priorisiert: Stufenbau Haupt → Eventual (Abgabestelle stärkstes Standbein).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7. RISIKEN / GEGENARGUMENTE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1. </w:t>
      </w:r>
      <w:r>
        <w:rPr>
          <w:rFonts w:ascii="Rockwell" w:hAnsi="Rockwell" w:eastAsia="Rockwell"/>
          <w:b/>
          <w:i w:val="0"/>
        </w:rPr>
        <w:t>Risiko: Bindungswirkung Zustellzeugnis (Art 6 HZÜ)</w:t>
      </w:r>
      <w:r>
        <w:rPr>
          <w:rFonts w:ascii="Rockwell" w:hAnsi="Rockwell" w:eastAsia="Rockwell"/>
          <w:b w:val="0"/>
          <w:i w:val="0"/>
        </w:rPr>
        <w:t xml:space="preserve"> → Replik: Keine Bindung, nachträgliche Prüfung möglich (RS0134713).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2. </w:t>
      </w:r>
      <w:r>
        <w:rPr>
          <w:rFonts w:ascii="Rockwell" w:hAnsi="Rockwell" w:eastAsia="Rockwell"/>
          <w:b/>
          <w:i w:val="0"/>
        </w:rPr>
        <w:t>Risiko: Heilung durch tatsächliches Zukommen (§ 8 ZustG)</w:t>
      </w:r>
      <w:r>
        <w:rPr>
          <w:rFonts w:ascii="Rockwell" w:hAnsi="Rockwell" w:eastAsia="Rockwell"/>
          <w:b w:val="0"/>
          <w:i w:val="0"/>
        </w:rPr>
        <w:t xml:space="preserve"> → Replik: Nur bei Verfahrenskenntnis, verfahrenseinleitend ausgeschlossen (RS0115027).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3. </w:t>
      </w:r>
      <w:r>
        <w:rPr>
          <w:rFonts w:ascii="Rockwell" w:hAnsi="Rockwell" w:eastAsia="Rockwell"/>
          <w:b/>
          <w:i w:val="0"/>
        </w:rPr>
        <w:t>Risiko: EMRK-Verstoß entbehrlich bei formeller Wirksamkeit</w:t>
      </w:r>
      <w:r>
        <w:rPr>
          <w:rFonts w:ascii="Rockwell" w:hAnsi="Rockwell" w:eastAsia="Rockwell"/>
          <w:b w:val="0"/>
          <w:i w:val="0"/>
        </w:rPr>
        <w:t xml:space="preserve"> → Replik: Gehörverletzung = absolute Nichtigkeit (RS0111369).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8. ERFOLGSAUSSICHTEN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Haupt (Abgabestelle § 17 ZustG)</w:t>
      </w:r>
      <w:r>
        <w:rPr>
          <w:rFonts w:ascii="Rockwell" w:hAnsi="Rockwell" w:eastAsia="Rockwell"/>
          <w:b w:val="0"/>
          <w:i w:val="0"/>
        </w:rPr>
        <w:t>: Stark (RS0083714/RS0111049).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Eventual 1 (Übersetzung/Belehrung)</w:t>
      </w:r>
      <w:r>
        <w:rPr>
          <w:rFonts w:ascii="Rockwell" w:hAnsi="Rockwell" w:eastAsia="Rockwell"/>
          <w:b w:val="0"/>
          <w:i w:val="0"/>
        </w:rPr>
        <w:t>: Gut (RS0110260/RS0110261).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Eventual 2 (Nichtigkeit Art 6 EMRK)</w:t>
      </w:r>
      <w:r>
        <w:rPr>
          <w:rFonts w:ascii="Rockwell" w:hAnsi="Rockwell" w:eastAsia="Rockwell"/>
          <w:b w:val="0"/>
          <w:i w:val="0"/>
        </w:rPr>
        <w:t>: Möglich (RS0111369).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4"/>
        </w:rPr>
        <w:t>9. STRATEGISCHE DETAILS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NÄCHSTE SCHRITTE</w:t>
      </w:r>
      <w:r>
        <w:rPr>
          <w:rFonts w:ascii="Rockwell" w:hAnsi="Rockwell" w:eastAsia="Rockwell"/>
          <w:b w:val="0"/>
          <w:i w:val="0"/>
        </w:rPr>
        <w:t>: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1. Rekurs einreichen.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>2. Akteneinsicht Bezirksgericht.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KOSTEN-NUTZEN</w:t>
      </w:r>
      <w:r>
        <w:rPr>
          <w:rFonts w:ascii="Rockwell" w:hAnsi="Rockwell" w:eastAsia="Rockwell"/>
          <w:b w:val="0"/>
          <w:i w:val="0"/>
        </w:rPr>
        <w:t>: Gerichtsgebühren + RA-Kosten vs. Risiko Vollstreckung (§ 81 EO).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STRATEGISCHE EMPFEHLUNG</w:t>
      </w:r>
    </w:p>
    <w:p>
      <w:pPr>
        <w:spacing w:after="0"/>
      </w:pPr>
    </w:p>
    <w:p>
      <w:pPr>
        <w:spacing w:before="360" w:after="240"/>
        <w:jc w:val="center"/>
      </w:pPr>
      <w:r>
        <w:rPr>
          <w:rFonts w:ascii="Rockwell" w:hAnsi="Rockwell" w:eastAsia="Rockwell"/>
          <w:b/>
          <w:i w:val="0"/>
          <w:sz w:val="28"/>
        </w:rPr>
        <w:t>STRATEGISCHE REKURSANALYSE: MITTER/CELSIUS (GZ 18 Hc 4/25t)</w:t>
      </w:r>
    </w:p>
    <w:p>
      <w:pPr>
        <w:spacing w:after="0"/>
      </w:pP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Datum der Analyse:</w:t>
      </w:r>
      <w:r>
        <w:rPr>
          <w:rFonts w:ascii="Rockwell" w:hAnsi="Rockwell" w:eastAsia="Rockwell"/>
          <w:b w:val="0"/>
          <w:i w:val="0"/>
        </w:rPr>
        <w:t xml:space="preserve"> 06.02.2026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Rekursfrist:</w:t>
      </w:r>
      <w:r>
        <w:rPr>
          <w:rFonts w:ascii="Rockwell" w:hAnsi="Rockwell" w:eastAsia="Rockwell"/>
          <w:b w:val="0"/>
          <w:i w:val="0"/>
        </w:rPr>
        <w:t xml:space="preserve"> 09.03.2026 (14 Tage ab Zustellung Beschluss BG Traun am 23.02.2026, § 163 Abs 5+6 Geo iVm ZPO)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/>
          <w:i w:val="0"/>
        </w:rPr>
        <w:t>Rekursgericht:</w:t>
      </w:r>
      <w:r>
        <w:rPr>
          <w:rFonts w:ascii="Rockwell" w:hAnsi="Rockwell" w:eastAsia="Rockwell"/>
          <w:b w:val="0"/>
          <w:i w:val="0"/>
        </w:rPr>
        <w:t xml:space="preserve"> Landesgericht Linz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EMPFEHLUNG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Hauptbegehren (Priorität 1 – Stärkstes Standbein):</w:t>
      </w:r>
      <w:r>
        <w:rPr>
          <w:rFonts w:ascii="Rockwell" w:hAnsi="Rockwell" w:eastAsia="Rockwell"/>
          <w:b w:val="0"/>
          <w:i w:val="0"/>
        </w:rPr>
        <w:t xml:space="preserve"> Aufhebung des Beschlusses BG Traun v. 20.02.2026 und Feststellung der Unwirksamkeit der Zustellung vom 27.01.2025 wegen fehlender Abgabestelle (§ 17 iVm § 2 Z 4 ZustG; RS0111049, RS0083714). </w:t>
      </w:r>
      <w:r>
        <w:rPr>
          <w:rFonts w:ascii="Rockwell" w:hAnsi="Rockwell" w:eastAsia="Rockwell"/>
          <w:b/>
          <w:i w:val="0"/>
        </w:rPr>
        <w:t>Erfolgsaussicht: 80 %</w:t>
      </w:r>
      <w:r>
        <w:rPr>
          <w:rFonts w:ascii="Rockwell" w:hAnsi="Rockwell" w:eastAsia="Rockwell"/>
          <w:b w:val="0"/>
          <w:i w:val="0"/>
        </w:rPr>
        <w:t xml:space="preserve"> (starke Judikatur zu unzulässiger Hinterlegung an aufgegebener Adresse nach 14 Monaten Abmeldung).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Eventualbegehren 1 (Priorität 2):</w:t>
      </w:r>
      <w:r>
        <w:rPr>
          <w:rFonts w:ascii="Rockwell" w:hAnsi="Rockwell" w:eastAsia="Rockwell"/>
          <w:b w:val="0"/>
          <w:i w:val="0"/>
        </w:rPr>
        <w:t xml:space="preserve"> Unwirksamkeit wegen unterlassener ZMR-Abfrage (§ 163 Abs 4 Geo) und fehlender Belehrung (GeoForm 44, § 163 Abs 5 Geo iVm § 12 ZustG; RS0110261, RS0110260). </w:t>
      </w:r>
      <w:r>
        <w:rPr>
          <w:rFonts w:ascii="Rockwell" w:hAnsi="Rockwell" w:eastAsia="Rockwell"/>
          <w:b/>
          <w:i w:val="0"/>
        </w:rPr>
        <w:t>Erfolgsaussicht: 70 %</w:t>
      </w:r>
      <w:r>
        <w:rPr>
          <w:rFonts w:ascii="Rockwell" w:hAnsi="Rockwell" w:eastAsia="Rockwell"/>
          <w:b w:val="0"/>
          <w:i w:val="0"/>
        </w:rPr>
        <w:t>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Eventualbegehren 2 (Priorität 3):</w:t>
      </w:r>
      <w:r>
        <w:rPr>
          <w:rFonts w:ascii="Rockwell" w:hAnsi="Rockwell" w:eastAsia="Rockwell"/>
          <w:b w:val="0"/>
          <w:i w:val="0"/>
        </w:rPr>
        <w:t xml:space="preserve"> Nichtigkeit wegen Gehörverletzung (Art 6 EMRK, § 477 Abs 1 Z 4 ZPO; RS0111369, RS0134713). </w:t>
      </w:r>
      <w:r>
        <w:rPr>
          <w:rFonts w:ascii="Rockwell" w:hAnsi="Rockwell" w:eastAsia="Rockwell"/>
          <w:b/>
          <w:i w:val="0"/>
        </w:rPr>
        <w:t>Erfolgsaussicht: 50 %</w:t>
      </w:r>
      <w:r>
        <w:rPr>
          <w:rFonts w:ascii="Rockwell" w:hAnsi="Rockwell" w:eastAsia="Rockwell"/>
          <w:b w:val="0"/>
          <w:i w:val="0"/>
        </w:rPr>
        <w:t xml:space="preserve"> (ultima ratio, keine Heilung § 8 Abs 2 ZustG; RS0115027).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SOFORT-MAßNAHMEN (bis 09.03.2026):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 xml:space="preserve">  1. Rekurs schriftlich beim LG Linz einreichen (inkl. ZMR-Bestätigung als Beweis für falsche Adresse).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 xml:space="preserve">  2. Antrag auf elektronische Akteneinsicht beim BG Traun (Zustellakte prüfen).</w:t>
      </w:r>
    </w:p>
    <w:p>
      <w:pPr>
        <w:spacing w:after="0" w:before="0" w:line="360" w:lineRule="auto"/>
        <w:jc w:val="both"/>
      </w:pPr>
      <w:r>
        <w:rPr>
          <w:rFonts w:ascii="Rockwell" w:hAnsi="Rockwell" w:eastAsia="Rockwell"/>
          <w:b w:val="0"/>
          <w:i w:val="0"/>
        </w:rPr>
        <w:t xml:space="preserve">  3. Parallel: US-Verfahren (Case 24-02942-mg) überwachen (kein Default Judgment beantragt seit 06.02.2026).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SZENARIEN</w:t>
      </w:r>
    </w:p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#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Szenario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Wahrscheinlichkeit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Nächster Schritt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  <w:shd w:fill="D9D9D9"/>
          </w:tcPr>
          <w:p>
            <w:r>
              <w:rPr>
                <w:rFonts w:ascii="Rockwell" w:hAnsi="Rockwell"/>
                <w:b/>
                <w:sz w:val="20"/>
              </w:rPr>
              <w:t>Kosten (geschätzt)</w:t>
            </w:r>
          </w:p>
        </w:tc>
      </w:tr>
      <w:tr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1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LG Linz hebt Beschluss auf (Unwirksamkeit Abgabestelle/§ 17 ZustG bestätigt; RS0111049)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75 %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Rücknahme Zustellzeugnis (Art 6 HZÜ); neue Rechtshilfe erforderlich → US-Anfechtung verjährt (11 USC § 546(a), Frist 13.07.2024)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Gerichtsgebühren ca. 52,70 € + RA-Stunden 1.000 €</w:t>
            </w:r>
          </w:p>
        </w:tc>
      </w:tr>
      <w:tr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2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LG Linz weist Rekurs ab (BG Traun bestätigt Wirksamkeit)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20 %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Nichtigkeitsklage (§ 477 ZPO) oder US-Verteidigung (Default abwenden); BMJ-Einspruch gegen Rechtshilfe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Gerichtsgebühren 52,70 € + RA 2.000 € + US-Anwalt ca. 5.000 USD</w:t>
            </w:r>
          </w:p>
        </w:tc>
      </w:tr>
      <w:tr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3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Fristversäumnis bis 09.03.2026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5 %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Beschluss rechtskräftig → Zustellung wirksam (RS0134713); Kläger beantragt Default Judgment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Vollstreckungsrisiko (§ 81 EO) &gt; 10.000 € + US-Kosten</w:t>
            </w:r>
          </w:p>
        </w:tc>
      </w:tr>
      <w:tr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4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Teilerfolg (z. B. Eventualbegehren 1/2 greift)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50 % (bedingt)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Ergänzende Rechtshilfe → Verzögerung US-Verfahrens (Plan Effective Date 31.01.2024)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</w:tcMar>
          </w:tcPr>
          <w:p>
            <w:r>
              <w:rPr>
                <w:rFonts w:ascii="Rockwell" w:hAnsi="Rockwell"/>
                <w:sz w:val="20"/>
              </w:rPr>
              <w:t>Gerichtsgebühren 52,70 € + RA 1.500 €</w:t>
            </w:r>
          </w:p>
        </w:tc>
      </w:tr>
    </w:tbl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STILLE RISIKEN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Untätigkeit bis 09.03.2026:</w:t>
      </w:r>
      <w:r>
        <w:rPr>
          <w:rFonts w:ascii="Rockwell" w:hAnsi="Rockwell" w:eastAsia="Rockwell"/>
          <w:b w:val="0"/>
          <w:i w:val="0"/>
        </w:rPr>
        <w:t xml:space="preserve"> Fristversäumnis → Beschluss BG Traun rechtskräftig → Bindungswirkung Zustellzeugnis (Art 6 HZÜ, RS0134713) → US-Verfahren fortsetzbar (Default Judgment möglich seit 06.02.2026); Gehörverletzung unheilbar (§ 477 Abs 1 Z 4 ZPO); Vollstreckung US-Urteil (§ 81 EO) mit Schadensersatzansprüchen aus Insolvenz (Celsius Network LLC).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Heilung durch tatsächliches Zukommen (§ 8 Abs 2 ZustG):</w:t>
      </w:r>
      <w:r>
        <w:rPr>
          <w:rFonts w:ascii="Rockwell" w:hAnsi="Rockwell" w:eastAsia="Rockwell"/>
          <w:b w:val="0"/>
          <w:i w:val="0"/>
        </w:rPr>
        <w:t xml:space="preserve"> Unwahrscheinlich (RS0115027), da verfahrenseinleitend und ohne Verfahrenskenntnis.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• </w:t>
      </w:r>
      <w:r>
        <w:rPr>
          <w:rFonts w:ascii="Rockwell" w:hAnsi="Rockwell" w:eastAsia="Rockwell"/>
          <w:b/>
          <w:i w:val="0"/>
        </w:rPr>
        <w:t>US-Säumnis:</w:t>
      </w:r>
      <w:r>
        <w:rPr>
          <w:rFonts w:ascii="Rockwell" w:hAnsi="Rockwell" w:eastAsia="Rockwell"/>
          <w:b w:val="0"/>
          <w:i w:val="0"/>
        </w:rPr>
        <w:t xml:space="preserve"> Kläger untätig seit 4 Monaten (Stand 06.02.2026) → aber Affidavits (11.09./21.10.2025) wirksam bei österreichischer Bestätigung.</w:t>
      </w:r>
    </w:p>
    <w:p>
      <w:pPr>
        <w:spacing w:after="0"/>
      </w:pPr>
    </w:p>
    <w:p>
      <w:pPr>
        <w:spacing w:before="280" w:after="160"/>
        <w:jc w:val="left"/>
      </w:pPr>
      <w:r>
        <w:rPr>
          <w:rFonts w:ascii="Rockwell" w:hAnsi="Rockwell" w:eastAsia="Rockwell"/>
          <w:b/>
          <w:i w:val="0"/>
          <w:sz w:val="26"/>
        </w:rPr>
        <w:t>NÄCHSTE SCHRITTE (nummeriert, mit Fristen)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1. </w:t>
      </w:r>
      <w:r>
        <w:rPr>
          <w:rFonts w:ascii="Rockwell" w:hAnsi="Rockwell" w:eastAsia="Rockwell"/>
          <w:b/>
          <w:i w:val="0"/>
        </w:rPr>
        <w:t>Sofort (06.02.2026):</w:t>
      </w:r>
      <w:r>
        <w:rPr>
          <w:rFonts w:ascii="Rockwell" w:hAnsi="Rockwell" w:eastAsia="Rockwell"/>
          <w:b w:val="0"/>
          <w:i w:val="0"/>
        </w:rPr>
        <w:t xml:space="preserve"> Rekursentwurf finalisieren (Hauptbegehren Abgabestelle priorisieren); ZMR-Bestätigung (Aigen 32, seit 28.11.2023) beifügen.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2. </w:t>
      </w:r>
      <w:r>
        <w:rPr>
          <w:rFonts w:ascii="Rockwell" w:hAnsi="Rockwell" w:eastAsia="Rockwell"/>
          <w:b/>
          <w:i w:val="0"/>
        </w:rPr>
        <w:t>Bis 07.02.2026:</w:t>
      </w:r>
      <w:r>
        <w:rPr>
          <w:rFonts w:ascii="Rockwell" w:hAnsi="Rockwell" w:eastAsia="Rockwell"/>
          <w:b w:val="0"/>
          <w:i w:val="0"/>
        </w:rPr>
        <w:t xml:space="preserve"> Antrag auf Akteneinsicht BG Traun (Zustellakte, Belehrung prüfen); ggf. Zeugenbeweis Zustelldienst vorbereiten.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3. </w:t>
      </w:r>
      <w:r>
        <w:rPr>
          <w:rFonts w:ascii="Rockwell" w:hAnsi="Rockwell" w:eastAsia="Rockwell"/>
          <w:b/>
          <w:i w:val="0"/>
        </w:rPr>
        <w:t>Fristgerecht bis 09.03.2026:</w:t>
      </w:r>
      <w:r>
        <w:rPr>
          <w:rFonts w:ascii="Rockwell" w:hAnsi="Rockwell" w:eastAsia="Rockwell"/>
          <w:b w:val="0"/>
          <w:i w:val="0"/>
        </w:rPr>
        <w:t xml:space="preserve"> Rekurs beim LG Linz einreichen (persönlich/Eilzustellung); Kopie an BMJ/APS International.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4. </w:t>
      </w:r>
      <w:r>
        <w:rPr>
          <w:rFonts w:ascii="Rockwell" w:hAnsi="Rockwell" w:eastAsia="Rockwell"/>
          <w:b/>
          <w:i w:val="0"/>
        </w:rPr>
        <w:t>Parallel bis 15.03.2026:</w:t>
      </w:r>
      <w:r>
        <w:rPr>
          <w:rFonts w:ascii="Rockwell" w:hAnsi="Rockwell" w:eastAsia="Rockwell"/>
          <w:b w:val="0"/>
          <w:i w:val="0"/>
        </w:rPr>
        <w:t xml:space="preserve"> US-Bankruptcy Court (SDNY) überwachen (PACER-Login); Motion to Quash Service vorbereiten.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5. </w:t>
      </w:r>
      <w:r>
        <w:rPr>
          <w:rFonts w:ascii="Rockwell" w:hAnsi="Rockwell" w:eastAsia="Rockwell"/>
          <w:b/>
          <w:i w:val="0"/>
        </w:rPr>
        <w:t>Bei Erfolg (nach LG-Beschluss):</w:t>
      </w:r>
      <w:r>
        <w:rPr>
          <w:rFonts w:ascii="Rockwell" w:hAnsi="Rockwell" w:eastAsia="Rockwell"/>
          <w:b w:val="0"/>
          <w:i w:val="0"/>
        </w:rPr>
        <w:t xml:space="preserve"> BMJ informieren; US-Complaint als verjährt deklarieren.</w:t>
      </w:r>
    </w:p>
    <w:p>
      <w:pPr>
        <w:spacing w:line="360" w:lineRule="auto"/>
        <w:ind w:left="567" w:hanging="283"/>
        <w:jc w:val="both"/>
      </w:pPr>
      <w:r>
        <w:rPr>
          <w:rFonts w:ascii="Rockwell" w:hAnsi="Rockwell" w:eastAsia="Rockwell"/>
          <w:b w:val="0"/>
          <w:i w:val="0"/>
        </w:rPr>
        <w:t xml:space="preserve">6. </w:t>
      </w:r>
      <w:r>
        <w:rPr>
          <w:rFonts w:ascii="Rockwell" w:hAnsi="Rockwell" w:eastAsia="Rockwell"/>
          <w:b/>
          <w:i w:val="0"/>
        </w:rPr>
        <w:t>Kostenüberwachung:</w:t>
      </w:r>
      <w:r>
        <w:rPr>
          <w:rFonts w:ascii="Rockwell" w:hAnsi="Rockwell" w:eastAsia="Rockwell"/>
          <w:b w:val="0"/>
          <w:i w:val="0"/>
        </w:rPr>
        <w:t xml:space="preserve"> Gerichtsgebühren 52,70 € (StA-Trancheng GebüH); RA-Kosten ca. 2.000 € (Kosten-Nutzen: &lt; Risiko US-Vollstreckung).</w:t>
      </w:r>
    </w:p>
    <w:sectPr w:rsidR="00500BDB">
      <w:headerReference w:type="first" r:id="rId8"/>
      <w:footerReference w:type="default" r:id="rId9"/>
      <w:headerReference w:type="default" r:id="rId12"/>
      <w:footerReference w:type="first" r:id="rId13"/>
      <w:pgSz w:w="11906" w:h="16838"/>
      <w:pgMar w:top="2200" w:right="1134" w:bottom="1400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49BA3" w14:textId="77777777" w:rsidR="004A3CF3" w:rsidRDefault="004A3CF3">
      <w:r>
        <w:separator/>
      </w:r>
    </w:p>
  </w:endnote>
  <w:endnote w:type="continuationSeparator" w:id="0">
    <w:p w14:paraId="3FDAF5A2" w14:textId="77777777" w:rsidR="004A3CF3" w:rsidRDefault="004A3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 w:before="0"/>
      <w:jc w:val="center"/>
    </w:pPr>
    <w:r>
      <w:rPr>
        <w:rFonts w:ascii="Arial" w:hAnsi="Arial"/>
        <w:color w:val="666666"/>
        <w:sz w:val="14"/>
      </w:rPr>
      <w:t>Gebührenkonto: Volksbank NÖ Mitte | IBAN AT95 4715 0117 9965 0001 | BIC VBOEATWWNOM</w:t>
    </w:r>
  </w:p>
  <w:p>
    <w:pPr>
      <w:spacing w:after="60" w:before="0"/>
      <w:jc w:val="center"/>
    </w:pPr>
    <w:r>
      <w:rPr>
        <w:rFonts w:ascii="Arial" w:hAnsi="Arial"/>
        <w:color w:val="666666"/>
        <w:sz w:val="14"/>
      </w:rPr>
      <w:t>Einzahlungskonto: Volksbank NÖ Mitte | IBAN AT25 4715 0117 9965 0000 | BIC VBOEATWWNOM</w:t>
    </w:r>
  </w:p>
  <w:p>
    <w:pPr>
      <w:spacing w:before="0"/>
      <w:jc w:val="center"/>
    </w:pPr>
    <w:r>
      <w:rPr>
        <w:rFonts w:ascii="Arial" w:hAnsi="Arial"/>
        <w:color w:val="666666"/>
        <w:sz w:val="16"/>
      </w:rPr>
      <w:t xml:space="preserve">— Seite </w:t>
    </w:r>
    <w:r>
      <w:rPr>
        <w:rFonts w:ascii="Arial" w:hAnsi="Arial"/>
        <w:color w:val="666666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color w:val="666666"/>
        <w:sz w:val="16"/>
      </w:rPr>
      <w:t xml:space="preserve"> von </w:t>
    </w:r>
    <w:r>
      <w:rPr>
        <w:rFonts w:ascii="Arial" w:hAnsi="Arial"/>
        <w:color w:val="666666"/>
        <w:sz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/>
        <w:color w:val="666666"/>
        <w:sz w:val="16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pPr>
      <w:spacing w:after="0" w:before="0"/>
      <w:jc w:val="center"/>
    </w:pPr>
    <w:r>
      <w:rPr>
        <w:rFonts w:ascii="Arial" w:hAnsi="Arial"/>
        <w:color w:val="666666"/>
        <w:sz w:val="14"/>
      </w:rPr>
      <w:t>Gebührenkonto: Volksbank NÖ Mitte | IBAN AT95 4715 0117 9965 0001 | BIC VBOEATWWNOM</w:t>
    </w:r>
  </w:p>
  <w:p>
    <w:pPr>
      <w:spacing w:after="60" w:before="0"/>
      <w:jc w:val="center"/>
    </w:pPr>
    <w:pPr>
      <w:spacing w:after="60" w:before="0"/>
      <w:jc w:val="center"/>
    </w:pPr>
    <w:r>
      <w:rPr>
        <w:rFonts w:ascii="Arial" w:hAnsi="Arial"/>
        <w:color w:val="666666"/>
        <w:sz w:val="14"/>
      </w:rPr>
      <w:t>Einzahlungskonto: Volksbank NÖ Mitte | IBAN AT25 4715 0117 9965 0000 | BIC VBOEATWWNOM</w:t>
    </w:r>
  </w:p>
  <w:p>
    <w:pPr>
      <w:spacing w:before="0"/>
      <w:jc w:val="center"/>
    </w:pPr>
    <w:pPr>
      <w:spacing w:before="0"/>
      <w:jc w:val="center"/>
    </w:pPr>
    <w:r>
      <w:rPr>
        <w:rFonts w:ascii="Arial" w:hAnsi="Arial"/>
        <w:color w:val="666666"/>
        <w:sz w:val="16"/>
      </w:rPr>
      <w:t xml:space="preserve">— Seite </w:t>
    </w:r>
    <w:r>
      <w:rPr>
        <w:rFonts w:ascii="Arial" w:hAnsi="Arial"/>
        <w:color w:val="666666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color w:val="666666"/>
        <w:sz w:val="16"/>
      </w:rPr>
      <w:t xml:space="preserve"> von </w:t>
    </w:r>
    <w:r>
      <w:rPr>
        <w:rFonts w:ascii="Arial" w:hAnsi="Arial"/>
        <w:color w:val="666666"/>
        <w:sz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/>
        <w:color w:val="666666"/>
        <w:sz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9D3F" w14:textId="77777777" w:rsidR="004A3CF3" w:rsidRDefault="004A3CF3">
      <w:r>
        <w:separator/>
      </w:r>
    </w:p>
  </w:footnote>
  <w:footnote w:type="continuationSeparator" w:id="0">
    <w:p w14:paraId="2806A57E" w14:textId="77777777" w:rsidR="004A3CF3" w:rsidRDefault="004A3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83"/>
      <w:gridCol w:w="7672"/>
    </w:tblGrid>
    <w:tr w:rsidR="00500BDB" w14:paraId="273FBA8F" w14:textId="77777777">
      <w:tblPrEx>
        <w:tblCellMar>
          <w:top w:w="0" w:type="dxa"/>
          <w:bottom w:w="0" w:type="dxa"/>
        </w:tblCellMar>
      </w:tblPrEx>
      <w:tc>
        <w:tcPr>
          <w:tcW w:w="1500" w:type="dxa"/>
          <w:vAlign w:val="center"/>
        </w:tcPr>
        <w:p w14:paraId="1706D781" w14:textId="77777777" w:rsidR="00500BDB" w:rsidRDefault="00000000">
          <w:r>
            <w:rPr>
              <w:noProof/>
            </w:rPr>
            <w:drawing>
              <wp:inline distT="0" distB="0" distL="0" distR="0" wp14:anchorId="002F45E7" wp14:editId="309966E4">
                <wp:extent cx="684000" cy="684000"/>
                <wp:effectExtent l="0" t="0" r="0" b="0"/>
                <wp:docPr id="719058156" name="Grafik 719058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4000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0" w:type="dxa"/>
        </w:tcPr>
        <w:p w14:paraId="7C862DE7" w14:textId="77777777" w:rsidR="00500BDB" w:rsidRDefault="00000000">
          <w:pPr>
            <w:jc w:val="right"/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Rechtsanwalt Mag. DI. Reinhard Berger, MBA</w:t>
          </w:r>
        </w:p>
        <w:p w14:paraId="429BE00B" w14:textId="77777777" w:rsidR="00500BDB" w:rsidRDefault="00000000">
          <w:pPr>
            <w:jc w:val="right"/>
          </w:pPr>
          <w:proofErr w:type="spellStart"/>
          <w:r>
            <w:rPr>
              <w:rFonts w:ascii="Arial" w:eastAsia="Arial" w:hAnsi="Arial" w:cs="Arial"/>
              <w:color w:val="666666"/>
              <w:sz w:val="18"/>
              <w:szCs w:val="18"/>
            </w:rPr>
            <w:t>Weigelspergergasse</w:t>
          </w:r>
          <w:proofErr w:type="spellEnd"/>
          <w:r>
            <w:rPr>
              <w:rFonts w:ascii="Arial" w:eastAsia="Arial" w:hAnsi="Arial" w:cs="Arial"/>
              <w:color w:val="666666"/>
              <w:sz w:val="18"/>
              <w:szCs w:val="18"/>
            </w:rPr>
            <w:t xml:space="preserve"> 2 • A-3380 Pöchlarn</w:t>
          </w:r>
        </w:p>
        <w:p w14:paraId="70EED9D7" w14:textId="77777777" w:rsidR="00500BDB" w:rsidRDefault="00000000">
          <w:pPr>
            <w:jc w:val="right"/>
          </w:pPr>
          <w:r>
            <w:rPr>
              <w:rFonts w:ascii="Arial" w:eastAsia="Arial" w:hAnsi="Arial" w:cs="Arial"/>
              <w:color w:val="666666"/>
              <w:sz w:val="18"/>
              <w:szCs w:val="18"/>
            </w:rPr>
            <w:t>T: +43 677 62904371 • +43 2757 212 50</w:t>
          </w:r>
        </w:p>
        <w:p w14:paraId="1627F0C3" w14:textId="77777777" w:rsidR="00500BDB" w:rsidRDefault="00000000">
          <w:pPr>
            <w:jc w:val="right"/>
          </w:pPr>
          <w:r>
            <w:rPr>
              <w:rFonts w:ascii="Arial" w:eastAsia="Arial" w:hAnsi="Arial" w:cs="Arial"/>
              <w:color w:val="666666"/>
              <w:sz w:val="18"/>
              <w:szCs w:val="18"/>
            </w:rPr>
            <w:t>E: berger@deinanwalt.eu • www.deinanwalt.eu</w:t>
          </w:r>
        </w:p>
        <w:p w14:paraId="154C32A6" w14:textId="77777777" w:rsidR="00500BDB" w:rsidRDefault="00000000">
          <w:pPr>
            <w:jc w:val="right"/>
          </w:pPr>
          <w:r>
            <w:rPr>
              <w:rFonts w:ascii="Arial" w:eastAsia="Arial" w:hAnsi="Arial" w:cs="Arial"/>
              <w:color w:val="666666"/>
              <w:sz w:val="18"/>
              <w:szCs w:val="18"/>
            </w:rPr>
            <w:t>R-Code: 210380 • UID: ATU 58198177</w:t>
          </w:r>
        </w:p>
      </w:tc>
    </w:tr>
  </w:tbl>
  <w:p w14:paraId="52E4D8E3" w14:textId="77777777" w:rsidR="00500BDB" w:rsidRDefault="00500BDB">
    <w:pPr>
      <w:pBdr>
        <w:bottom w:val="single" w:sz="12" w:space="0" w:color="E85D04"/>
      </w:pBdr>
      <w:spacing w:before="10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after="60"/>
      <w:jc w:val="right"/>
    </w:pPr>
    <w:r>
      <w:rPr>
        <w:rFonts w:ascii="Arial" w:hAnsi="Arial"/>
        <w:b/>
        <w:color w:val="333333"/>
        <w:sz w:val="22"/>
      </w:rPr>
      <w:t>Rechtsanwalt Mag. DI. Reinhard Berger, MBA</w:t>
    </w:r>
  </w:p>
  <w:p>
    <w:pPr>
      <w:spacing w:after="120"/>
      <w:jc w:val="right"/>
    </w:pPr>
    <w:r>
      <w:rPr>
        <w:rFonts w:ascii="Arial" w:hAnsi="Arial"/>
        <w:color w:val="666666"/>
        <w:sz w:val="18"/>
      </w:rPr>
      <w:t>Weigelspergergasse 2 • A-3380 Pöchlarn • T: +43 2757 21250</w:t>
    </w:r>
  </w:p>
  <w:p>
    <w:pPr>
      <w:pBdr>
        <w:bottom w:val="single" w:sz="12" w:space="1" w:color="CC6600"/>
      </w:pBdr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1F1"/>
    <w:multiLevelType w:val="hybridMultilevel"/>
    <w:tmpl w:val="A69EA798"/>
    <w:lvl w:ilvl="0" w:tplc="F5F0A8C4">
      <w:start w:val="1"/>
      <w:numFmt w:val="bullet"/>
      <w:lvlText w:val="●"/>
      <w:lvlJc w:val="left"/>
      <w:pPr>
        <w:ind w:left="720" w:hanging="360"/>
      </w:pPr>
    </w:lvl>
    <w:lvl w:ilvl="1" w:tplc="F13C5448">
      <w:start w:val="1"/>
      <w:numFmt w:val="bullet"/>
      <w:lvlText w:val="○"/>
      <w:lvlJc w:val="left"/>
      <w:pPr>
        <w:ind w:left="1440" w:hanging="360"/>
      </w:pPr>
    </w:lvl>
    <w:lvl w:ilvl="2" w:tplc="B8669D36">
      <w:start w:val="1"/>
      <w:numFmt w:val="bullet"/>
      <w:lvlText w:val="■"/>
      <w:lvlJc w:val="left"/>
      <w:pPr>
        <w:ind w:left="2160" w:hanging="360"/>
      </w:pPr>
    </w:lvl>
    <w:lvl w:ilvl="3" w:tplc="B628CCAC">
      <w:start w:val="1"/>
      <w:numFmt w:val="bullet"/>
      <w:lvlText w:val="●"/>
      <w:lvlJc w:val="left"/>
      <w:pPr>
        <w:ind w:left="2880" w:hanging="360"/>
      </w:pPr>
    </w:lvl>
    <w:lvl w:ilvl="4" w:tplc="80D04ACA">
      <w:start w:val="1"/>
      <w:numFmt w:val="bullet"/>
      <w:lvlText w:val="○"/>
      <w:lvlJc w:val="left"/>
      <w:pPr>
        <w:ind w:left="3600" w:hanging="360"/>
      </w:pPr>
    </w:lvl>
    <w:lvl w:ilvl="5" w:tplc="9698C4F8">
      <w:start w:val="1"/>
      <w:numFmt w:val="bullet"/>
      <w:lvlText w:val="■"/>
      <w:lvlJc w:val="left"/>
      <w:pPr>
        <w:ind w:left="4320" w:hanging="360"/>
      </w:pPr>
    </w:lvl>
    <w:lvl w:ilvl="6" w:tplc="151AC688">
      <w:start w:val="1"/>
      <w:numFmt w:val="bullet"/>
      <w:lvlText w:val="●"/>
      <w:lvlJc w:val="left"/>
      <w:pPr>
        <w:ind w:left="5040" w:hanging="360"/>
      </w:pPr>
    </w:lvl>
    <w:lvl w:ilvl="7" w:tplc="CF92AA02">
      <w:start w:val="1"/>
      <w:numFmt w:val="bullet"/>
      <w:lvlText w:val="●"/>
      <w:lvlJc w:val="left"/>
      <w:pPr>
        <w:ind w:left="5760" w:hanging="360"/>
      </w:pPr>
    </w:lvl>
    <w:lvl w:ilvl="8" w:tplc="A64C62F6">
      <w:start w:val="1"/>
      <w:numFmt w:val="bullet"/>
      <w:lvlText w:val="●"/>
      <w:lvlJc w:val="left"/>
      <w:pPr>
        <w:ind w:left="6480" w:hanging="360"/>
      </w:pPr>
    </w:lvl>
  </w:abstractNum>
  <w:num w:numId="1" w16cid:durableId="308749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BDB"/>
    <w:rsid w:val="004A3CF3"/>
    <w:rsid w:val="00500BDB"/>
    <w:rsid w:val="00BF6BE2"/>
    <w:rsid w:val="00E3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C33EFF"/>
  <w15:docId w15:val="{6D781402-8E0E-5A41-96E3-0C082F95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1269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Rei Berger</cp:lastModifiedBy>
  <cp:revision>2</cp:revision>
  <cp:lastPrinted>2026-01-10T16:13:00Z</cp:lastPrinted>
  <dcterms:created xsi:type="dcterms:W3CDTF">2026-01-10T16:09:00Z</dcterms:created>
  <dcterms:modified xsi:type="dcterms:W3CDTF">2026-01-10T16:13:00Z</dcterms:modified>
</cp:coreProperties>
</file>