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413" w:rsidRDefault="008B7EE7" w:rsidP="00893413">
      <w:pPr>
        <w:spacing w:line="240" w:lineRule="auto"/>
      </w:pPr>
      <w:r w:rsidRPr="008B7EE7">
        <w:t>The dimensions for small and large houses are given in</w:t>
      </w:r>
      <w:r w:rsidR="00893413">
        <w:t xml:space="preserve"> </w:t>
      </w:r>
      <w:fldSimple w:instr=" REF _Ref339616335 \h  \* MERGEFORMAT ">
        <w:r w:rsidR="00893413">
          <w:t xml:space="preserve">Figure </w:t>
        </w:r>
        <w:r w:rsidR="00893413">
          <w:rPr>
            <w:noProof/>
          </w:rPr>
          <w:t>1</w:t>
        </w:r>
      </w:fldSimple>
      <w:r w:rsidR="00893413">
        <w:t xml:space="preserve"> and </w:t>
      </w:r>
      <w:fldSimple w:instr=" REF _Ref339616339 \h  \* MERGEFORMAT ">
        <w:r w:rsidR="00893413">
          <w:t xml:space="preserve">Figure </w:t>
        </w:r>
        <w:r w:rsidR="00893413">
          <w:rPr>
            <w:noProof/>
          </w:rPr>
          <w:t>2</w:t>
        </w:r>
      </w:fldSimple>
      <w:r w:rsidR="00893413">
        <w:t>.  The supporting calculations are in the “Size Parametric” tab of the “RP 1449 Calculations” spreadsheet</w:t>
      </w:r>
      <w:r w:rsidRPr="008B7EE7">
        <w:t xml:space="preserve">.  </w:t>
      </w:r>
    </w:p>
    <w:p w:rsidR="00893413" w:rsidRDefault="00893413" w:rsidP="00893413">
      <w:pPr>
        <w:keepNext/>
        <w:spacing w:line="240" w:lineRule="auto"/>
        <w:jc w:val="center"/>
      </w:pPr>
      <w:r w:rsidRPr="00893413">
        <w:drawing>
          <wp:inline distT="0" distB="0" distL="0" distR="0">
            <wp:extent cx="5591175" cy="1152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591175" cy="1152525"/>
                    </a:xfrm>
                    <a:prstGeom prst="rect">
                      <a:avLst/>
                    </a:prstGeom>
                    <a:noFill/>
                    <a:ln w="9525">
                      <a:noFill/>
                      <a:miter lim="800000"/>
                      <a:headEnd/>
                      <a:tailEnd/>
                    </a:ln>
                  </pic:spPr>
                </pic:pic>
              </a:graphicData>
            </a:graphic>
          </wp:inline>
        </w:drawing>
      </w:r>
    </w:p>
    <w:p w:rsidR="00893413" w:rsidRDefault="00893413" w:rsidP="00893413">
      <w:pPr>
        <w:pStyle w:val="Caption"/>
        <w:jc w:val="center"/>
      </w:pPr>
      <w:bookmarkStart w:id="0" w:name="_Ref339616335"/>
      <w:r>
        <w:t xml:space="preserve">Figure </w:t>
      </w:r>
      <w:fldSimple w:instr=" SEQ Figure \* ARABIC ">
        <w:r w:rsidR="00CA42AE">
          <w:rPr>
            <w:noProof/>
          </w:rPr>
          <w:t>1</w:t>
        </w:r>
      </w:fldSimple>
      <w:bookmarkEnd w:id="0"/>
      <w:r>
        <w:t>: Linear Dimensions</w:t>
      </w:r>
    </w:p>
    <w:p w:rsidR="00893413" w:rsidRDefault="00893413" w:rsidP="00893413">
      <w:pPr>
        <w:pStyle w:val="Caption"/>
        <w:jc w:val="center"/>
      </w:pPr>
    </w:p>
    <w:p w:rsidR="00893413" w:rsidRDefault="00893413" w:rsidP="00893413">
      <w:pPr>
        <w:pStyle w:val="Caption"/>
        <w:keepNext/>
        <w:jc w:val="center"/>
      </w:pPr>
      <w:r w:rsidRPr="00893413">
        <w:drawing>
          <wp:inline distT="0" distB="0" distL="0" distR="0">
            <wp:extent cx="5591175" cy="17240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591175" cy="1724025"/>
                    </a:xfrm>
                    <a:prstGeom prst="rect">
                      <a:avLst/>
                    </a:prstGeom>
                    <a:noFill/>
                    <a:ln w="9525">
                      <a:noFill/>
                      <a:miter lim="800000"/>
                      <a:headEnd/>
                      <a:tailEnd/>
                    </a:ln>
                  </pic:spPr>
                </pic:pic>
              </a:graphicData>
            </a:graphic>
          </wp:inline>
        </w:drawing>
      </w:r>
    </w:p>
    <w:p w:rsidR="008B7EE7" w:rsidRPr="008B7EE7" w:rsidRDefault="00893413" w:rsidP="00893413">
      <w:pPr>
        <w:pStyle w:val="Caption"/>
        <w:jc w:val="center"/>
      </w:pPr>
      <w:bookmarkStart w:id="1" w:name="_Ref339616339"/>
      <w:r>
        <w:t xml:space="preserve">Figure </w:t>
      </w:r>
      <w:fldSimple w:instr=" SEQ Figure \* ARABIC ">
        <w:r w:rsidR="00CA42AE">
          <w:rPr>
            <w:noProof/>
          </w:rPr>
          <w:t>2</w:t>
        </w:r>
      </w:fldSimple>
      <w:bookmarkEnd w:id="1"/>
      <w:r>
        <w:t>: Building Areas</w:t>
      </w:r>
    </w:p>
    <w:p w:rsidR="008B7EE7" w:rsidRPr="008B7EE7" w:rsidRDefault="00893413" w:rsidP="00893413">
      <w:pPr>
        <w:spacing w:line="240" w:lineRule="auto"/>
      </w:pPr>
      <w:r w:rsidRPr="008B7EE7">
        <w:t>The BUI and associated files for TRNSYS are in two zip files:</w:t>
      </w:r>
    </w:p>
    <w:p w:rsidR="008B7EE7" w:rsidRPr="008B7EE7" w:rsidRDefault="008B7EE7" w:rsidP="00893413">
      <w:pPr>
        <w:spacing w:after="0" w:line="240" w:lineRule="auto"/>
      </w:pPr>
      <w:r w:rsidRPr="008B7EE7">
        <w:t>https://s3.amazonaws.com/bergey/ASHRAE+RP-1449/small-buildings.zip</w:t>
      </w:r>
    </w:p>
    <w:p w:rsidR="008B7EE7" w:rsidRPr="008B7EE7" w:rsidRDefault="008B7EE7" w:rsidP="00893413">
      <w:pPr>
        <w:spacing w:line="240" w:lineRule="auto"/>
      </w:pPr>
      <w:r w:rsidRPr="008B7EE7">
        <w:t>https://s3.amazonaws.com/bergey/ASHRAE+RP-1449/large-buildings.zip</w:t>
      </w:r>
    </w:p>
    <w:p w:rsidR="008B7EE7" w:rsidRPr="008B7EE7" w:rsidRDefault="008B7EE7" w:rsidP="00893413">
      <w:pPr>
        <w:spacing w:line="240" w:lineRule="auto"/>
      </w:pPr>
      <w:r w:rsidRPr="008B7EE7">
        <w:t>I believe we decided to compare these runs to a slightly different baseline house.  (</w:t>
      </w:r>
      <w:proofErr w:type="spellStart"/>
      <w:r w:rsidRPr="008B7EE7">
        <w:t>cf</w:t>
      </w:r>
      <w:proofErr w:type="spellEnd"/>
      <w:r w:rsidRPr="008B7EE7">
        <w:t>, email 2012-07-06, subject: errors in BUI)  These revised medium files are here:</w:t>
      </w:r>
    </w:p>
    <w:p w:rsidR="008B7EE7" w:rsidRPr="008B7EE7" w:rsidRDefault="008B7EE7" w:rsidP="00893413">
      <w:pPr>
        <w:spacing w:line="240" w:lineRule="auto"/>
      </w:pPr>
      <w:r w:rsidRPr="008B7EE7">
        <w:t>https://s3.amazonaws.com/bergey/ASHRAE+RP-1449/revised-medium-buildings.zip</w:t>
      </w:r>
    </w:p>
    <w:p w:rsidR="00C814AF" w:rsidRDefault="008B7EE7" w:rsidP="00893413">
      <w:pPr>
        <w:spacing w:line="240" w:lineRule="auto"/>
      </w:pPr>
      <w:r w:rsidRPr="008B7EE7">
        <w:t xml:space="preserve">I sized the AC systems according to Manual J. </w:t>
      </w:r>
      <w:r w:rsidR="00405267">
        <w:t xml:space="preserve"> I shaded the heating loads below according to likely system size; I don’t believe we discussed what heating output we will use for houses requiring more than the default 60 </w:t>
      </w:r>
      <w:proofErr w:type="spellStart"/>
      <w:r w:rsidR="00405267">
        <w:t>kBTU</w:t>
      </w:r>
      <w:proofErr w:type="spellEnd"/>
      <w:r w:rsidR="00405267">
        <w:t>/hr.  The heating load</w:t>
      </w:r>
      <w:r w:rsidR="00C814AF">
        <w:t xml:space="preserve"> in Zone 4 is lower than in Zone 3.  I believe that this is due to the increase in slab insulation between these scenarios.  The Manual J files are online:</w:t>
      </w:r>
    </w:p>
    <w:p w:rsidR="00C814AF" w:rsidRPr="00C77F6E" w:rsidRDefault="00C814AF" w:rsidP="00C814AF">
      <w:r w:rsidRPr="00C77F6E">
        <w:t>https://s3.amazonaws.com/bergey/ASHRAE1449/rp1449-manJ.zip</w:t>
      </w:r>
    </w:p>
    <w:p w:rsidR="00405267" w:rsidRDefault="00C814AF" w:rsidP="00893413">
      <w:pPr>
        <w:spacing w:line="240" w:lineRule="auto"/>
      </w:pPr>
      <w:r>
        <w:t xml:space="preserve"> </w:t>
      </w:r>
    </w:p>
    <w:p w:rsidR="00405267" w:rsidRDefault="00405267" w:rsidP="00405267">
      <w:pPr>
        <w:keepNext/>
        <w:spacing w:line="240" w:lineRule="auto"/>
        <w:jc w:val="center"/>
      </w:pPr>
      <w:r w:rsidRPr="00405267">
        <w:lastRenderedPageBreak/>
        <w:drawing>
          <wp:inline distT="0" distB="0" distL="0" distR="0">
            <wp:extent cx="3829050" cy="13430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829050" cy="1343025"/>
                    </a:xfrm>
                    <a:prstGeom prst="rect">
                      <a:avLst/>
                    </a:prstGeom>
                    <a:noFill/>
                    <a:ln w="9525">
                      <a:noFill/>
                      <a:miter lim="800000"/>
                      <a:headEnd/>
                      <a:tailEnd/>
                    </a:ln>
                  </pic:spPr>
                </pic:pic>
              </a:graphicData>
            </a:graphic>
          </wp:inline>
        </w:drawing>
      </w:r>
    </w:p>
    <w:p w:rsidR="00405267" w:rsidRDefault="00405267" w:rsidP="00405267">
      <w:pPr>
        <w:pStyle w:val="Caption"/>
        <w:jc w:val="center"/>
      </w:pPr>
      <w:r>
        <w:t xml:space="preserve">Figure </w:t>
      </w:r>
      <w:fldSimple w:instr=" SEQ Figure \* ARABIC ">
        <w:r w:rsidR="00CA42AE">
          <w:rPr>
            <w:noProof/>
          </w:rPr>
          <w:t>3</w:t>
        </w:r>
      </w:fldSimple>
      <w:r>
        <w:t>: Small House Cooling Loads</w:t>
      </w:r>
    </w:p>
    <w:p w:rsidR="00405267" w:rsidRDefault="00405267" w:rsidP="00405267">
      <w:pPr>
        <w:keepNext/>
        <w:jc w:val="center"/>
      </w:pPr>
      <w:r w:rsidRPr="00405267">
        <w:drawing>
          <wp:inline distT="0" distB="0" distL="0" distR="0">
            <wp:extent cx="3829050" cy="13430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829050" cy="1343025"/>
                    </a:xfrm>
                    <a:prstGeom prst="rect">
                      <a:avLst/>
                    </a:prstGeom>
                    <a:noFill/>
                    <a:ln w="9525">
                      <a:noFill/>
                      <a:miter lim="800000"/>
                      <a:headEnd/>
                      <a:tailEnd/>
                    </a:ln>
                  </pic:spPr>
                </pic:pic>
              </a:graphicData>
            </a:graphic>
          </wp:inline>
        </w:drawing>
      </w:r>
    </w:p>
    <w:p w:rsidR="00405267" w:rsidRDefault="00405267" w:rsidP="00405267">
      <w:pPr>
        <w:pStyle w:val="Caption"/>
        <w:jc w:val="center"/>
      </w:pPr>
      <w:r>
        <w:t xml:space="preserve">Figure </w:t>
      </w:r>
      <w:fldSimple w:instr=" SEQ Figure \* ARABIC ">
        <w:r w:rsidR="00CA42AE">
          <w:rPr>
            <w:noProof/>
          </w:rPr>
          <w:t>4</w:t>
        </w:r>
      </w:fldSimple>
      <w:r>
        <w:t>: Large House Cooling Loads</w:t>
      </w:r>
    </w:p>
    <w:p w:rsidR="00405267" w:rsidRDefault="00405267" w:rsidP="00405267">
      <w:pPr>
        <w:keepNext/>
        <w:jc w:val="center"/>
      </w:pPr>
      <w:r w:rsidRPr="00405267">
        <w:drawing>
          <wp:inline distT="0" distB="0" distL="0" distR="0">
            <wp:extent cx="3829050" cy="13430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3829050" cy="1343025"/>
                    </a:xfrm>
                    <a:prstGeom prst="rect">
                      <a:avLst/>
                    </a:prstGeom>
                    <a:noFill/>
                    <a:ln w="9525">
                      <a:noFill/>
                      <a:miter lim="800000"/>
                      <a:headEnd/>
                      <a:tailEnd/>
                    </a:ln>
                  </pic:spPr>
                </pic:pic>
              </a:graphicData>
            </a:graphic>
          </wp:inline>
        </w:drawing>
      </w:r>
    </w:p>
    <w:p w:rsidR="00405267" w:rsidRDefault="00405267" w:rsidP="00405267">
      <w:pPr>
        <w:pStyle w:val="Caption"/>
        <w:jc w:val="center"/>
      </w:pPr>
      <w:r>
        <w:t xml:space="preserve">Figure </w:t>
      </w:r>
      <w:fldSimple w:instr=" SEQ Figure \* ARABIC ">
        <w:r w:rsidR="00CA42AE">
          <w:rPr>
            <w:noProof/>
          </w:rPr>
          <w:t>5</w:t>
        </w:r>
      </w:fldSimple>
      <w:r>
        <w:t>: Small House Heating Loads</w:t>
      </w:r>
    </w:p>
    <w:p w:rsidR="00405267" w:rsidRDefault="00405267" w:rsidP="00405267">
      <w:pPr>
        <w:keepNext/>
        <w:jc w:val="center"/>
      </w:pPr>
      <w:r w:rsidRPr="00405267">
        <w:drawing>
          <wp:inline distT="0" distB="0" distL="0" distR="0">
            <wp:extent cx="3829050" cy="15335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829050" cy="1533525"/>
                    </a:xfrm>
                    <a:prstGeom prst="rect">
                      <a:avLst/>
                    </a:prstGeom>
                    <a:noFill/>
                    <a:ln w="9525">
                      <a:noFill/>
                      <a:miter lim="800000"/>
                      <a:headEnd/>
                      <a:tailEnd/>
                    </a:ln>
                  </pic:spPr>
                </pic:pic>
              </a:graphicData>
            </a:graphic>
          </wp:inline>
        </w:drawing>
      </w:r>
    </w:p>
    <w:p w:rsidR="00405267" w:rsidRPr="00405267" w:rsidRDefault="00405267" w:rsidP="00405267">
      <w:pPr>
        <w:pStyle w:val="Caption"/>
        <w:jc w:val="center"/>
      </w:pPr>
      <w:r>
        <w:t xml:space="preserve">Figure </w:t>
      </w:r>
      <w:fldSimple w:instr=" SEQ Figure \* ARABIC ">
        <w:r w:rsidR="00CA42AE">
          <w:rPr>
            <w:noProof/>
          </w:rPr>
          <w:t>6</w:t>
        </w:r>
      </w:fldSimple>
      <w:r>
        <w:t>: Large House Heating Loads</w:t>
      </w:r>
    </w:p>
    <w:p w:rsidR="008B7EE7" w:rsidRPr="008B7EE7" w:rsidRDefault="008B7EE7" w:rsidP="00405267">
      <w:pPr>
        <w:spacing w:line="240" w:lineRule="auto"/>
      </w:pPr>
    </w:p>
    <w:p w:rsidR="008B7EE7" w:rsidRPr="008B7EE7" w:rsidRDefault="008B7EE7" w:rsidP="00893413">
      <w:pPr>
        <w:spacing w:line="240" w:lineRule="auto"/>
      </w:pPr>
    </w:p>
    <w:p w:rsidR="008B7EE7" w:rsidRPr="008B7EE7" w:rsidRDefault="00251D40" w:rsidP="00893413">
      <w:pPr>
        <w:spacing w:line="240" w:lineRule="auto"/>
      </w:pPr>
      <w:r>
        <w:t>The sensible and latent internal gains are scaled to the number of bedrooms.  This follows Armin’s email form 2012-07-10, but differs from the 62.2 assumption of occupancy as (# bedrooms</w:t>
      </w:r>
      <w:proofErr w:type="gramStart"/>
      <w:r>
        <w:t>)+</w:t>
      </w:r>
      <w:proofErr w:type="gramEnd"/>
      <w:r>
        <w:t xml:space="preserve">1.  </w:t>
      </w:r>
      <w:r>
        <w:fldChar w:fldCharType="begin"/>
      </w:r>
      <w:r>
        <w:instrText xml:space="preserve"> REF _Ref339618464 \h </w:instrText>
      </w:r>
      <w:r>
        <w:fldChar w:fldCharType="separate"/>
      </w:r>
      <w:r>
        <w:t xml:space="preserve">Figure </w:t>
      </w:r>
      <w:r>
        <w:rPr>
          <w:noProof/>
        </w:rPr>
        <w:lastRenderedPageBreak/>
        <w:t>7</w:t>
      </w:r>
      <w:r>
        <w:fldChar w:fldCharType="end"/>
      </w:r>
      <w:r>
        <w:t xml:space="preserve"> shows parameters that depend on house volume and occupancy, as well as several invariants used in calculating other parameters.</w:t>
      </w:r>
    </w:p>
    <w:p w:rsidR="00251D40" w:rsidRDefault="00C814AF" w:rsidP="00251D40">
      <w:pPr>
        <w:keepNext/>
        <w:spacing w:line="240" w:lineRule="auto"/>
        <w:jc w:val="center"/>
      </w:pPr>
      <w:r w:rsidRPr="00C814AF">
        <w:drawing>
          <wp:inline distT="0" distB="0" distL="0" distR="0">
            <wp:extent cx="3676650" cy="19145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676650" cy="1914525"/>
                    </a:xfrm>
                    <a:prstGeom prst="rect">
                      <a:avLst/>
                    </a:prstGeom>
                    <a:noFill/>
                    <a:ln w="9525">
                      <a:noFill/>
                      <a:miter lim="800000"/>
                      <a:headEnd/>
                      <a:tailEnd/>
                    </a:ln>
                  </pic:spPr>
                </pic:pic>
              </a:graphicData>
            </a:graphic>
          </wp:inline>
        </w:drawing>
      </w:r>
    </w:p>
    <w:p w:rsidR="008B7EE7" w:rsidRPr="008B7EE7" w:rsidRDefault="00251D40" w:rsidP="00251D40">
      <w:pPr>
        <w:pStyle w:val="Caption"/>
        <w:jc w:val="center"/>
      </w:pPr>
      <w:bookmarkStart w:id="2" w:name="_Ref339618464"/>
      <w:r>
        <w:t xml:space="preserve">Figure </w:t>
      </w:r>
      <w:fldSimple w:instr=" SEQ Figure \* ARABIC ">
        <w:r w:rsidR="00CA42AE">
          <w:rPr>
            <w:noProof/>
          </w:rPr>
          <w:t>7</w:t>
        </w:r>
      </w:fldSimple>
      <w:bookmarkEnd w:id="2"/>
      <w:r>
        <w:t>: Capacities and Gains</w:t>
      </w:r>
    </w:p>
    <w:p w:rsidR="00C814AF" w:rsidRDefault="00C814AF" w:rsidP="00893413">
      <w:pPr>
        <w:spacing w:line="240" w:lineRule="auto"/>
      </w:pPr>
      <w:r w:rsidRPr="008B7EE7">
        <w:t xml:space="preserve">The </w:t>
      </w:r>
      <w:r w:rsidR="00251D40">
        <w:t>following</w:t>
      </w:r>
      <w:r w:rsidRPr="008B7EE7">
        <w:t xml:space="preserve"> parameters </w:t>
      </w:r>
      <w:r>
        <w:t xml:space="preserve">depend on house size </w:t>
      </w:r>
      <w:r w:rsidR="00251D40">
        <w:t>and AC system size</w:t>
      </w:r>
      <w:r>
        <w:t>:</w:t>
      </w:r>
    </w:p>
    <w:p w:rsidR="008B7EE7" w:rsidRPr="008B7EE7" w:rsidRDefault="00251D40" w:rsidP="00251D40">
      <w:pPr>
        <w:pStyle w:val="ListParagraph"/>
        <w:numPr>
          <w:ilvl w:val="0"/>
          <w:numId w:val="1"/>
        </w:numPr>
        <w:spacing w:line="240" w:lineRule="auto"/>
      </w:pPr>
      <w:r>
        <w:t>AC CFM</w:t>
      </w:r>
    </w:p>
    <w:p w:rsidR="008B7EE7" w:rsidRPr="008B7EE7" w:rsidRDefault="00251D40" w:rsidP="00893413">
      <w:pPr>
        <w:pStyle w:val="ListParagraph"/>
        <w:numPr>
          <w:ilvl w:val="0"/>
          <w:numId w:val="1"/>
        </w:numPr>
        <w:spacing w:line="240" w:lineRule="auto"/>
      </w:pPr>
      <w:proofErr w:type="spellStart"/>
      <w:r>
        <w:t>r</w:t>
      </w:r>
      <w:r w:rsidR="008B7EE7" w:rsidRPr="008B7EE7">
        <w:t>ecirc</w:t>
      </w:r>
      <w:proofErr w:type="spellEnd"/>
      <w:r w:rsidR="008B7EE7" w:rsidRPr="008B7EE7">
        <w:t xml:space="preserve"> fraction (for const 0.5 ACH, depends on size, ACCFM)</w:t>
      </w:r>
    </w:p>
    <w:p w:rsidR="00251D40" w:rsidRDefault="00251D40" w:rsidP="00CA42AE">
      <w:pPr>
        <w:spacing w:after="0" w:line="240" w:lineRule="auto"/>
      </w:pPr>
      <w:r>
        <w:t>The duct areas for all houses above HERS 70 follow the BA Benchmark.  For medium houses, the duct areas were reduced (ducts were brought inside) to reach the HERS 70 and HERS 50 targets.  I have not calculated HERS ratings for small and medium houses.  Instead, I have maintained the same ratio:</w:t>
      </w:r>
    </w:p>
    <w:p w:rsidR="00CA42AE" w:rsidRDefault="00CA42AE" w:rsidP="00CA42AE">
      <w:pPr>
        <w:spacing w:after="0" w:line="24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sm,70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md,70</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sm,130</m:t>
                  </m:r>
                </m:sub>
              </m:sSub>
            </m:num>
            <m:den>
              <m:sSub>
                <m:sSubPr>
                  <m:ctrlPr>
                    <w:rPr>
                      <w:rFonts w:ascii="Cambria Math" w:hAnsi="Cambria Math"/>
                      <w:i/>
                    </w:rPr>
                  </m:ctrlPr>
                </m:sSubPr>
                <m:e>
                  <m:r>
                    <w:rPr>
                      <w:rFonts w:ascii="Cambria Math" w:hAnsi="Cambria Math"/>
                    </w:rPr>
                    <m:t>A</m:t>
                  </m:r>
                </m:e>
                <m:sub>
                  <m:r>
                    <w:rPr>
                      <w:rFonts w:ascii="Cambria Math" w:hAnsi="Cambria Math"/>
                    </w:rPr>
                    <m:t>md,130</m:t>
                  </m:r>
                </m:sub>
              </m:sSub>
            </m:den>
          </m:f>
        </m:oMath>
      </m:oMathPara>
    </w:p>
    <w:p w:rsidR="00CA42AE" w:rsidRDefault="00CA42AE" w:rsidP="00893413">
      <w:pPr>
        <w:spacing w:line="240" w:lineRule="auto"/>
        <w:rPr>
          <w:rFonts w:eastAsiaTheme="minorEastAsia"/>
        </w:rPr>
      </w:pPr>
      <w:r>
        <w:rPr>
          <w:rFonts w:eastAsiaTheme="minorEastAsia"/>
        </w:rPr>
        <w:t xml:space="preserve">For simplicity, duct area does not depend on heating or cooling system size.  Return duct areas are 100 </w:t>
      </w:r>
      <w:proofErr w:type="spellStart"/>
      <w:r>
        <w:rPr>
          <w:rFonts w:eastAsiaTheme="minorEastAsia"/>
        </w:rPr>
        <w:t>sf</w:t>
      </w:r>
      <w:proofErr w:type="spellEnd"/>
      <w:r>
        <w:rPr>
          <w:rFonts w:eastAsiaTheme="minorEastAsia"/>
        </w:rPr>
        <w:t xml:space="preserve"> for all house sizes, except for HERS 50 houses, which have all return ductwork in conditioned space.</w:t>
      </w:r>
    </w:p>
    <w:p w:rsidR="00CA42AE" w:rsidRDefault="00CA42AE" w:rsidP="00CA42AE">
      <w:pPr>
        <w:keepNext/>
        <w:spacing w:line="240" w:lineRule="auto"/>
        <w:jc w:val="center"/>
      </w:pPr>
      <w:r w:rsidRPr="00CA42AE">
        <w:lastRenderedPageBreak/>
        <w:drawing>
          <wp:inline distT="0" distB="0" distL="0" distR="0">
            <wp:extent cx="3752850" cy="38195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3752850" cy="3819525"/>
                    </a:xfrm>
                    <a:prstGeom prst="rect">
                      <a:avLst/>
                    </a:prstGeom>
                    <a:noFill/>
                    <a:ln w="9525">
                      <a:noFill/>
                      <a:miter lim="800000"/>
                      <a:headEnd/>
                      <a:tailEnd/>
                    </a:ln>
                  </pic:spPr>
                </pic:pic>
              </a:graphicData>
            </a:graphic>
          </wp:inline>
        </w:drawing>
      </w:r>
    </w:p>
    <w:p w:rsidR="008B7EE7" w:rsidRPr="008B7EE7" w:rsidRDefault="00CA42AE" w:rsidP="00CA42AE">
      <w:pPr>
        <w:pStyle w:val="Caption"/>
        <w:jc w:val="center"/>
      </w:pPr>
      <w:r>
        <w:t xml:space="preserve">Figure </w:t>
      </w:r>
      <w:fldSimple w:instr=" SEQ Figure \* ARABIC ">
        <w:r>
          <w:rPr>
            <w:noProof/>
          </w:rPr>
          <w:t>8</w:t>
        </w:r>
      </w:fldSimple>
      <w:r>
        <w:t>: Supply Duct Areas</w:t>
      </w:r>
    </w:p>
    <w:sectPr w:rsidR="008B7EE7" w:rsidRPr="008B7EE7" w:rsidSect="001F5DF9">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563AC"/>
    <w:multiLevelType w:val="hybridMultilevel"/>
    <w:tmpl w:val="61C64D7C"/>
    <w:lvl w:ilvl="0" w:tplc="75F836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1975"/>
    <w:rsid w:val="002132E3"/>
    <w:rsid w:val="00251D40"/>
    <w:rsid w:val="00405267"/>
    <w:rsid w:val="005B6F39"/>
    <w:rsid w:val="00893413"/>
    <w:rsid w:val="008B7EE7"/>
    <w:rsid w:val="00991975"/>
    <w:rsid w:val="00C814AF"/>
    <w:rsid w:val="00CA42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9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F5DF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F5DF9"/>
    <w:rPr>
      <w:rFonts w:ascii="Consolas" w:hAnsi="Consolas"/>
      <w:sz w:val="21"/>
      <w:szCs w:val="21"/>
    </w:rPr>
  </w:style>
  <w:style w:type="paragraph" w:styleId="BalloonText">
    <w:name w:val="Balloon Text"/>
    <w:basedOn w:val="Normal"/>
    <w:link w:val="BalloonTextChar"/>
    <w:uiPriority w:val="99"/>
    <w:semiHidden/>
    <w:unhideWhenUsed/>
    <w:rsid w:val="00893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413"/>
    <w:rPr>
      <w:rFonts w:ascii="Tahoma" w:hAnsi="Tahoma" w:cs="Tahoma"/>
      <w:sz w:val="16"/>
      <w:szCs w:val="16"/>
    </w:rPr>
  </w:style>
  <w:style w:type="paragraph" w:styleId="Caption">
    <w:name w:val="caption"/>
    <w:basedOn w:val="Normal"/>
    <w:next w:val="Normal"/>
    <w:uiPriority w:val="35"/>
    <w:unhideWhenUsed/>
    <w:qFormat/>
    <w:rsid w:val="00893413"/>
    <w:pPr>
      <w:spacing w:line="240" w:lineRule="auto"/>
    </w:pPr>
    <w:rPr>
      <w:b/>
      <w:bCs/>
      <w:color w:val="4F81BD" w:themeColor="accent1"/>
      <w:sz w:val="18"/>
      <w:szCs w:val="18"/>
    </w:rPr>
  </w:style>
  <w:style w:type="paragraph" w:styleId="ListParagraph">
    <w:name w:val="List Paragraph"/>
    <w:basedOn w:val="Normal"/>
    <w:uiPriority w:val="34"/>
    <w:qFormat/>
    <w:rsid w:val="00251D40"/>
    <w:pPr>
      <w:ind w:left="720"/>
      <w:contextualSpacing/>
    </w:pPr>
  </w:style>
  <w:style w:type="character" w:styleId="PlaceholderText">
    <w:name w:val="Placeholder Text"/>
    <w:basedOn w:val="DefaultParagraphFont"/>
    <w:uiPriority w:val="99"/>
    <w:semiHidden/>
    <w:rsid w:val="00251D4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F12DE1-0B9B-4BD2-860A-E40D91A6B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Bergey</dc:creator>
  <cp:keywords/>
  <dc:description/>
  <cp:lastModifiedBy>Daniel Bergey</cp:lastModifiedBy>
  <cp:revision>2</cp:revision>
  <dcterms:created xsi:type="dcterms:W3CDTF">2012-11-02T16:33:00Z</dcterms:created>
  <dcterms:modified xsi:type="dcterms:W3CDTF">2012-11-02T16:33:00Z</dcterms:modified>
</cp:coreProperties>
</file>