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adugi" w:cs="Gadugi" w:eastAsia="Gadugi" w:hAnsi="Gadugi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sz w:val="52"/>
          <w:szCs w:val="52"/>
          <w:rtl w:val="0"/>
        </w:rPr>
        <w:t xml:space="preserve">Caso semestral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Gadugi" w:cs="Gadugi" w:eastAsia="Gadugi" w:hAnsi="Gadugi"/>
          <w:b w:val="1"/>
          <w:bCs w:val="1"/>
          <w:color w:val="000000"/>
          <w:sz w:val="36"/>
          <w:szCs w:val="36"/>
          <w:rtl w:val="0"/>
        </w:rPr>
        <w:t xml:space="preserve">Instrucciones - Caso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Caso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VidaSalud: Plataforma para gestión de atenciones en centros de salud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Contexto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Hoy cada centro agenda por WhatsApp, planilla o un sistema distinto. Se pierden cupos, el paciente no sabe si fue confirmado y no hay una vista única de la sala de espera. Una red de 20 centros de atención primaria y clínicas dentales necesita una plataforma unificada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Agendar atenciones por la web, administrar cupos de boxes y coordinar la llegada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Notificar al paciente (email/push) y al box clínico (ticket de admisión).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Generar un panel de operaciones en tiempo real (atenciones por hora, tiempo de espera, estados activos).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Auditar eventos clínicos-administrativos (quién solicitó, confirmó, atendió o cerró una atención).</w:t>
      </w:r>
    </w:p>
    <w:p w:rsidR="00000000" w:rsidDel="00000000" w:rsidP="00000000" w:rsidRDefault="00000000" w:rsidRPr="00000000" w14:paraId="0000000B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Lo que la red exige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Login corporativo con Azure AD (IDaaS).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Frontend Angular con MSAL y autorización por rol (Admin, Operador del dominio, Cliente del dominio).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Backend Spring Boot con microservicios detrás de AWS API Gateway, protegido con el JWT de Azure AD.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Despliegue en AWS EC2 con Docker / Docker Compose.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Mensajería asíncrona con RabbitMQ (tareas / colas de trabajo) y streaming con Kafka (con Zookeeper) para analítica y auditoría en tiempo real.</w:t>
      </w:r>
    </w:p>
    <w:p w:rsidR="00000000" w:rsidDel="00000000" w:rsidP="00000000" w:rsidRDefault="00000000" w:rsidRPr="00000000" w14:paraId="00000011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Actores y roles</w:t>
      </w:r>
      <w:r w:rsidDel="00000000" w:rsidR="00000000" w:rsidRPr="00000000">
        <w:rPr>
          <w:rtl w:val="0"/>
        </w:rPr>
      </w:r>
    </w:p>
    <w:sdt>
      <w:sdtPr>
        <w:lock w:val="contentLocked"/>
        <w:id w:val="-394241183"/>
        <w:tag w:val="goog_rdk_0"/>
      </w:sdtPr>
      <w:sdtContent>
        <w:tbl>
          <w:tblPr>
            <w:tblStyle w:val="Table1"/>
            <w:tblW w:w="130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805"/>
            <w:gridCol w:w="7200"/>
            <w:tblGridChange w:id="0">
              <w:tblGrid>
                <w:gridCol w:w="5805"/>
                <w:gridCol w:w="72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16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17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Coordina la red, el catálogo de prestaciones y ve KPIs globales.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Recepcionista (Operador)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Confirma, llama a box y cierra el flujo de la atención.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Paciente (Cliente)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1D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Solicita y sigue sus atenciones.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E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1F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Consulta el timeline. Solo lectura.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 Alcance funcional mínimo</w:t>
      </w:r>
      <w:r w:rsidDel="00000000" w:rsidR="00000000" w:rsidRPr="00000000">
        <w:rPr>
          <w:rtl w:val="0"/>
        </w:rPr>
      </w:r>
    </w:p>
    <w:sdt>
      <w:sdtPr>
        <w:lock w:val="contentLocked"/>
        <w:id w:val="-1317044606"/>
        <w:tag w:val="goog_rdk_1"/>
      </w:sdtPr>
      <w:sdtContent>
        <w:tbl>
          <w:tblPr>
            <w:tblStyle w:val="Table2"/>
            <w:tblW w:w="1303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60"/>
            <w:gridCol w:w="5400"/>
            <w:gridCol w:w="2070"/>
            <w:gridCol w:w="3405"/>
            <w:tblGridChange w:id="0">
              <w:tblGrid>
                <w:gridCol w:w="2160"/>
                <w:gridCol w:w="5400"/>
                <w:gridCol w:w="2070"/>
                <w:gridCol w:w="34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2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3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Actores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24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Reglas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Gestión de atenciones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CRUD de atenciones y cambio de estado (SOLICITADA → CONFIRMADA → EN_ESPERA → EN_ATENCIÓN → CERRADA / CANCELADA)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Paciente, Recepcionista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 se puede pasar a EN_ATENCIÓN sin CONFIRMAR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Catálogo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CRUD de prestaciones, boxes y cupos disponibles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2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El cupo del box disminuye al confirmar la atención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D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E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Email/push al paciente y ticket de admisión al box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2F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Recepcionista, Paciente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Envío asíncrono (cola)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Reportería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Panel de KPIs: atenciones por hora, tiempo de espera*, estados activos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3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Datos por streaming (Kafka) sin bloquear el 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Timeline de eventos de la atención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3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Solo lectura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spacing w:after="120" w:before="28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Seguridad e identidad (IDaaS Azure + API Gateway)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App Registration “vidasalud”: clientId, redirectUri, authority = https://login.microsoftonline.com/&lt;TENANT_ID&gt;/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MSAL Angular: proteger rutas y adjuntar Bearer &lt;access_token&gt; a cada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AWS API Gateway (HTTP API) con JWT Authorizer: issuer https://login.microsoftonline.com/&lt;TENANT_ID&gt;/v2.0 y audiences api://&lt;API_CLIENT_ID&gt;.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Spring Security: validar el JWT con security.oauth2.resourceserver.jwt.issuer-uri y comprobar que el rol puede usar el endpoint llamado.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 Microservicios de dominio</w:t>
      </w:r>
      <w:r w:rsidDel="00000000" w:rsidR="00000000" w:rsidRPr="00000000">
        <w:rPr>
          <w:rtl w:val="0"/>
        </w:rPr>
      </w:r>
    </w:p>
    <w:sdt>
      <w:sdtPr>
        <w:lock w:val="contentLocked"/>
        <w:id w:val="-281286732"/>
        <w:tag w:val="goog_rdk_2"/>
      </w:sdtPr>
      <w:sdtContent>
        <w:tbl>
          <w:tblPr>
            <w:tblStyle w:val="Table3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640"/>
            <w:gridCol w:w="1995"/>
            <w:gridCol w:w="1110"/>
            <w:gridCol w:w="3765"/>
            <w:gridCol w:w="3525"/>
            <w:tblGridChange w:id="0">
              <w:tblGrid>
                <w:gridCol w:w="2640"/>
                <w:gridCol w:w="1995"/>
                <w:gridCol w:w="1110"/>
                <w:gridCol w:w="3765"/>
                <w:gridCol w:w="3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3F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Servicio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Dominio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Responsabilidad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4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Exposición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ms-vidasalud-appointments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Atenciones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CRUD atenciones, estados, coordinación de cupos y notificación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/api/appointments/*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ms-vidasalud-catalog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Prestaciones / cupos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CRUD prestaciones, boxes, cupos y precios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4D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/api/catalog/*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E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ms-vidasalud-notify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4F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Notificaciones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sin 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Procesa envío email/webpush y ticket de box vía RabbitMQ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no público (consumidor RabbitMQ)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ms-vidasalud-audit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 / timeline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Consume Kafka y persiste eventos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5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/api/audit/* (read-only)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ms-vidasalud-report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KPIs / analytics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Oracle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Agregaciones y endpoints de lectura (consume Kafka)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5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/api/report/* (read-only)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D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Debes incluir además ms-vidasalud-bff (Spring Boot + Spring Security) como BFF detrás del API Gateway, más un microservicio administrador de RabbitMQ y otro de Kafka, según la pauta de cada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Endpoints esenciales (ejemplos)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16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ms-vidasalud-appointments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POST /api/appointments (crear atención)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/api/appointments/{id}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PUT /api/appointments/{id}/status  body: </w:t>
        <w:br w:type="textWrapping"/>
        <w:t xml:space="preserve">{ "status": "SOLICITADA|CONFIRMADA|EN_ESPERA|EN_ATENCIÓN|CERRADA|CANCELADA"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/api/appointments?status=...&amp;from=...&amp;to=...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ms-vidasalud-catalog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/api/catalog/services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POST /api/catalog/services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PUT /api/catalog/services/{id} (precio/cupo)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ms-vidasalud-report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/api/report/kpis?range=last24h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GET /api/report/top-services?range=last7d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 Pantallas propuestas</w:t>
      </w:r>
      <w:r w:rsidDel="00000000" w:rsidR="00000000" w:rsidRPr="00000000">
        <w:rPr>
          <w:rtl w:val="0"/>
        </w:rPr>
      </w:r>
    </w:p>
    <w:sdt>
      <w:sdtPr>
        <w:lock w:val="contentLocked"/>
        <w:id w:val="-1132654699"/>
        <w:tag w:val="goog_rdk_3"/>
      </w:sdtPr>
      <w:sdtContent>
        <w:tbl>
          <w:tblPr>
            <w:tblStyle w:val="Table4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50"/>
            <w:gridCol w:w="1815"/>
            <w:gridCol w:w="2970"/>
            <w:gridCol w:w="5700"/>
            <w:tblGridChange w:id="0">
              <w:tblGrid>
                <w:gridCol w:w="2550"/>
                <w:gridCol w:w="1815"/>
                <w:gridCol w:w="2970"/>
                <w:gridCol w:w="57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D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Pantalla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E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Ruta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6F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Roles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70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Función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/login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público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MSAL. Botón «Iniciar sesión con Microsoft».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todos los autenticados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Admin: KPIs de atenciones. Recepcionista: sala de espera y pendientes. Paciente: próximas atenciones y estado.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Atenciones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/appointments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Admin, Recepcionista, Paciente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7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Listar, crear (paciente o recepcionista) y cambiar estado (recepcionista/admin).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D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Catálogo de prestaciones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E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/catalog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7F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Admin, Recepcionista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Prestaciones, boxes y cupos.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Reportería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/reports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8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Atenciones por hora, tiempo de espera, prestaciones más demandadas.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/audit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Admin, Auditor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8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Trazabilidad de la atención. Filtros: usuario, fechas, tipo de evento.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El flujo de llamadas seguras es siempre: JWT → API Gateway → ms-vidasalud-bff → microservicio de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 Despliegue (EC2 + Docker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ec2-apps: appointments-svc, catalog-svc, notify-svc, report-svc, audit-svc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ec2-mq: RabbitMQ (clúster de 2 nodos para las evaluaciones) con Management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ec2-kafka: Zookeeper (3 nodos) + Kafka (3 brokers) + Kafka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Un compose.yml para apps, otro para mq y otro para kafka.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Security Groups: abrir solo los puertos necesarios (AMQP/5672, Kafka/9092, HTTP APIs internas).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Sugerencia de repositorios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/frontend-vidasalud (Angular + MSAL)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/ms-vidasalud-bff (Spring Boot, Spring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/ms-vidasalud-appointments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/ms-vidasalud-catalog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/ms-vidasalud-notify (Spring Boot, consumer RabbitMQ)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/ms-vidasalud-report (Spring Boot, consumer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/ms-vidasalud-audit (Spring Boot, consumer Kafka)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/infra  →  /apps/compose.yml  ·  /mq/compose.yml  ·  /kafka/compose.yml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40" w:line="276" w:lineRule="auto"/>
        <w:ind w:left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8. Topología RabbitMQ (6 colas: 3 flujos + 3 DLQ)</w:t>
      </w:r>
      <w:r w:rsidDel="00000000" w:rsidR="00000000" w:rsidRPr="00000000">
        <w:rPr>
          <w:rtl w:val="0"/>
        </w:rPr>
      </w:r>
    </w:p>
    <w:sdt>
      <w:sdtPr>
        <w:lock w:val="contentLocked"/>
        <w:id w:val="1667994266"/>
        <w:tag w:val="goog_rdk_4"/>
      </w:sdtPr>
      <w:sdtContent>
        <w:tbl>
          <w:tblPr>
            <w:tblStyle w:val="Table5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040"/>
            <w:gridCol w:w="3735"/>
            <w:gridCol w:w="2460"/>
            <w:gridCol w:w="2385"/>
            <w:gridCol w:w="2415"/>
            <w:tblGridChange w:id="0">
              <w:tblGrid>
                <w:gridCol w:w="2040"/>
                <w:gridCol w:w="3735"/>
                <w:gridCol w:w="2460"/>
                <w:gridCol w:w="2385"/>
                <w:gridCol w:w="2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B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Cola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C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D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E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Binding direct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9F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Binding topic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Email/push al paciente (cita confirmada, llamado a box, cierre)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q.cmd.email.dlq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email.send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email.*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q.cmd.admission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Ticket de admisión / llamado a box clínico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q.cmd.admission.dlq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admission.ticket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A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admission.#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q.cmd.record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Generación de PDF (comprobante o resumen de atención)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q.cmd.record.dlq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D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record.gen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AE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record.*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Exchanges: cmd.direct (direct), cmd.topic (topic) y cmd.dead.dlx (direct, para DLQ).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Buenas prácticas: envelope común (type, eventId, timestamp, traceId, correlationId), ACK/NACK explícitos, idempotencia y métricas de tasa de DLQ.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280" w:line="276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9. Topología Kafka</w:t>
      </w:r>
      <w:r w:rsidDel="00000000" w:rsidR="00000000" w:rsidRPr="00000000">
        <w:rPr>
          <w:rtl w:val="0"/>
        </w:rPr>
      </w:r>
    </w:p>
    <w:sdt>
      <w:sdtPr>
        <w:lock w:val="contentLocked"/>
        <w:id w:val="156544188"/>
        <w:tag w:val="goog_rdk_5"/>
      </w:sdtPr>
      <w:sdtContent>
        <w:tbl>
          <w:tblPr>
            <w:tblStyle w:val="Table6"/>
            <w:tblW w:w="130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35"/>
            <w:gridCol w:w="1425"/>
            <w:gridCol w:w="1425"/>
            <w:gridCol w:w="1695"/>
            <w:gridCol w:w="1695"/>
            <w:gridCol w:w="4560"/>
            <w:tblGridChange w:id="0">
              <w:tblGrid>
                <w:gridCol w:w="2235"/>
                <w:gridCol w:w="1425"/>
                <w:gridCol w:w="1425"/>
                <w:gridCol w:w="1695"/>
                <w:gridCol w:w="1695"/>
                <w:gridCol w:w="4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1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Tópico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2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Particiones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3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Réplicas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4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Política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5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Retención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b3a4b" w:space="0" w:sz="4" w:val="single"/>
                  <w:left w:color="1b3a4b" w:space="0" w:sz="4" w:val="single"/>
                  <w:bottom w:color="1b3a4b" w:space="0" w:sz="4" w:val="single"/>
                  <w:right w:color="1b3a4b" w:space="0" w:sz="4" w:val="single"/>
                </w:tcBorders>
                <w:shd w:fill="000000" w:val="clear"/>
              </w:tcPr>
              <w:p w:rsidR="00000000" w:rsidDel="00000000" w:rsidP="00000000" w:rsidRDefault="00000000" w:rsidRPr="00000000" w14:paraId="000000B6">
                <w:pPr>
                  <w:spacing w:after="40" w:before="40" w:lineRule="auto"/>
                  <w:jc w:val="center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appointments.events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9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A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B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3–7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BC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Fuente de verdad de eventos de la atención. Alimenta reportería y auditoría.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BD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audit.timeline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BE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BF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0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compact,delete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</w:tcPr>
              <w:p w:rsidR="00000000" w:rsidDel="00000000" w:rsidP="00000000" w:rsidRDefault="00000000" w:rsidRPr="00000000" w14:paraId="000000C1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14–30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4f1ec" w:val="clear"/>
              </w:tcPr>
              <w:p w:rsidR="00000000" w:rsidDel="00000000" w:rsidP="00000000" w:rsidRDefault="00000000" w:rsidRPr="00000000" w14:paraId="000000C2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Historial quién / qué / cuándo / desde dónde.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3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*.DLT (por consumidor)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4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5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6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delete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</w:tcPr>
              <w:p w:rsidR="00000000" w:rsidDel="00000000" w:rsidP="00000000" w:rsidRDefault="00000000" w:rsidRPr="00000000" w14:paraId="000000C7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7–14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d0d0d0" w:space="0" w:sz="4" w:val="single"/>
                  <w:left w:color="d0d0d0" w:space="0" w:sz="4" w:val="single"/>
                  <w:bottom w:color="d0d0d0" w:space="0" w:sz="4" w:val="single"/>
                  <w:right w:color="d0d0d0" w:space="0" w:sz="4" w:val="single"/>
                </w:tcBorders>
                <w:shd w:fill="ffffff" w:val="clear"/>
              </w:tcPr>
              <w:p w:rsidR="00000000" w:rsidDel="00000000" w:rsidP="00000000" w:rsidRDefault="00000000" w:rsidRPr="00000000" w14:paraId="000000C8">
                <w:pPr>
                  <w:spacing w:after="40" w:before="4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color w:val="2d2d2d"/>
                    <w:rtl w:val="0"/>
                  </w:rPr>
                  <w:t xml:space="preserve">Mensajes que fallaron tras N reintentos, con metadatos de error.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9">
      <w:pPr>
        <w:spacing w:after="160" w:before="40" w:line="288" w:lineRule="auto"/>
        <w:jc w:val="both"/>
        <w:rPr>
          <w:rFonts w:ascii="Calibri" w:cs="Calibri" w:eastAsia="Calibri" w:hAnsi="Calibri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dug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Subdirección de Diseño Instrucciona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l</w:t>
      <w:br w:type="textWrapping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b7b7b7"/>
        <w:sz w:val="18"/>
        <w:szCs w:val="18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Fonts w:ascii="Calibri" w:cs="Calibri" w:eastAsia="Calibri" w:hAnsi="Calibri"/>
        <w:color w:val="b7b7b7"/>
        <w:sz w:val="18"/>
        <w:szCs w:val="18"/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  <w:drawing>
        <wp:inline distB="0" distT="0" distL="0" distR="0">
          <wp:extent cx="1803964" cy="409866"/>
          <wp:effectExtent b="0" l="0" r="0" t="0"/>
          <wp:docPr id="194263249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3964" cy="4098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DefaultParagraphFont"/>
    <w:link w:val="Encabezado"/>
    <w:uiPriority w:val="1"/>
    <w:rsid w:val="00D62B64"/>
  </w:style>
  <w:style w:type="paragraph" w:styleId="Piedepgina">
    <w:name w:val="footer"/>
    <w:basedOn w:val="Normal"/>
    <w:link w:val="PiedepginaCar"/>
    <w:uiPriority w:val="99"/>
    <w:unhideWhenUsed w:val="1"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DefaultParagraphFont"/>
    <w:link w:val="Piedepgina"/>
    <w:uiPriority w:val="99"/>
    <w:rsid w:val="00D62B6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58AF"/>
    <w:rPr>
      <w:rFonts w:ascii="Tahoma" w:cs="Tahoma" w:hAnsi="Tahoma" w:eastAsiaTheme="minorHAnsi"/>
      <w:sz w:val="16"/>
      <w:szCs w:val="16"/>
      <w:lang w:eastAsia="en-US" w:val="es-CL"/>
    </w:rPr>
  </w:style>
  <w:style w:type="character" w:styleId="TextodegloboCar" w:customStyle="1">
    <w:name w:val="Texto de globo Car"/>
    <w:basedOn w:val="DefaultParagraphFont"/>
    <w:link w:val="Textodeglobo"/>
    <w:uiPriority w:val="99"/>
    <w:semiHidden w:val="1"/>
    <w:rsid w:val="00D62B64"/>
    <w:rPr>
      <w:rFonts w:ascii="Tahoma" w:cs="Tahoma" w:hAnsi="Tahoma"/>
      <w:sz w:val="16"/>
      <w:szCs w:val="16"/>
    </w:rPr>
  </w:style>
  <w:style w:type="character" w:styleId="Refdecomentario">
    <w:name w:val="annotation reference"/>
    <w:basedOn w:val="DefaultParagraphFont"/>
    <w:uiPriority w:val="99"/>
    <w:semiHidden w:val="1"/>
    <w:unhideWhenUsed w:val="1"/>
    <w:rsid w:val="00D62B6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206DF"/>
    <w:pPr>
      <w:spacing w:after="200"/>
    </w:pPr>
    <w:rPr>
      <w:rFonts w:asciiTheme="minorHAnsi" w:cstheme="minorBidi" w:eastAsiaTheme="minorHAnsi" w:hAnsiTheme="minorHAnsi"/>
      <w:lang w:eastAsia="en-US" w:val="es-CL"/>
    </w:rPr>
  </w:style>
  <w:style w:type="character" w:styleId="TextocomentarioCar" w:customStyle="1">
    <w:name w:val="Texto comentario Car"/>
    <w:basedOn w:val="DefaultParagraphFont"/>
    <w:link w:val="Textocomentario"/>
    <w:uiPriority w:val="99"/>
    <w:rsid w:val="00D62B64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DefaultParagraphFont"/>
    <w:link w:val="Textosinformato"/>
    <w:uiPriority w:val="1"/>
    <w:rsid w:val="00D62B64"/>
    <w:rPr>
      <w:rFonts w:ascii="Courier New" w:cs="Times New Roman" w:eastAsia="Times New Roman" w:hAnsi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after="0" w:before="40" w:line="240" w:lineRule="auto"/>
    </w:pPr>
    <w:rPr>
      <w:color w:val="595959" w:themeColor="text1" w:themeTint="0000A6"/>
      <w:sz w:val="20"/>
      <w:szCs w:val="20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206DF"/>
    <w:rPr>
      <w:rFonts w:asciiTheme="minorHAnsi" w:cstheme="minorBidi" w:eastAsiaTheme="minorHAnsi" w:hAnsiTheme="minorHAnsi"/>
      <w:noProof w:val="1"/>
      <w:lang w:eastAsia="en-US" w:val="es-CL"/>
    </w:rPr>
  </w:style>
  <w:style w:type="character" w:styleId="TextonotapieCar" w:customStyle="1">
    <w:name w:val="Texto nota pie Car"/>
    <w:basedOn w:val="DefaultParagraphFont"/>
    <w:link w:val="Textonotapie"/>
    <w:uiPriority w:val="99"/>
    <w:semiHidden w:val="1"/>
    <w:rsid w:val="00D62B64"/>
    <w:rPr>
      <w:noProof w:val="1"/>
      <w:sz w:val="20"/>
      <w:szCs w:val="20"/>
    </w:rPr>
  </w:style>
  <w:style w:type="character" w:styleId="Refdenotaalpie">
    <w:name w:val="footnote reference"/>
    <w:basedOn w:val="DefaultParagraphFont"/>
    <w:uiPriority w:val="99"/>
    <w:semiHidden w:val="1"/>
    <w:unhideWhenUsed w:val="1"/>
    <w:rsid w:val="00D62B64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 w:val="1"/>
    <w:qFormat w:val="1"/>
    <w:rsid w:val="00833E13"/>
    <w:pPr>
      <w:spacing w:after="160" w:before="40" w:line="288" w:lineRule="auto"/>
      <w:ind w:left="720"/>
      <w:contextualSpacing w:val="1"/>
    </w:pPr>
    <w:rPr>
      <w:rFonts w:asciiTheme="minorHAnsi" w:cstheme="minorBidi" w:eastAsiaTheme="minorHAnsi" w:hAnsiTheme="minorHAnsi"/>
      <w:color w:val="595959" w:themeColor="text1" w:themeTint="0000A6"/>
      <w:kern w:val="20"/>
      <w:lang w:eastAsia="ja-JP" w:val="en-US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0000A6"/>
      <w:kern w:val="20"/>
      <w:sz w:val="20"/>
      <w:szCs w:val="20"/>
      <w:lang w:eastAsia="ja-JP" w:val="en-US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34FAC"/>
    <w:pPr>
      <w:spacing w:after="0"/>
    </w:pPr>
    <w:rPr>
      <w:rFonts w:ascii="Times New Roman" w:cs="Times New Roman" w:eastAsia="Times New Roman" w:hAnsi="Times New Roman"/>
      <w:b w:val="1"/>
      <w:bCs w:val="1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34FAC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4485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table" w:styleId="Cuadrculadetab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ormaltextrun" w:customStyle="1">
    <w:name w:val="normaltextrun"/>
    <w:basedOn w:val="DefaultParagraphFont"/>
    <w:uiPriority w:val="1"/>
    <w:rsid w:val="00D62B64"/>
  </w:style>
  <w:style w:type="character" w:styleId="eop" w:customStyle="1">
    <w:name w:val="eop"/>
    <w:basedOn w:val="DefaultParagraphFont"/>
    <w:uiPriority w:val="1"/>
    <w:rsid w:val="00D62B64"/>
  </w:style>
  <w:style w:type="character" w:styleId="Hipervnculo">
    <w:name w:val="Hyperlink"/>
    <w:basedOn w:val="DefaultParagraphFont"/>
    <w:uiPriority w:val="99"/>
    <w:semiHidden w:val="1"/>
    <w:unhideWhenUsed w:val="1"/>
    <w:rsid w:val="00D62B64"/>
    <w:rPr>
      <w:color w:val="0000ff"/>
      <w:u w:val="single"/>
    </w:rPr>
  </w:style>
  <w:style w:type="paragraph" w:styleId="paragraph" w:customStyle="1">
    <w:name w:val="paragraph"/>
    <w:basedOn w:val="Normal"/>
    <w:rsid w:val="00CC6EAA"/>
    <w:pPr>
      <w:spacing w:after="100" w:afterAutospacing="1" w:before="100" w:beforeAutospacing="1"/>
    </w:pPr>
    <w:rPr>
      <w:sz w:val="24"/>
      <w:szCs w:val="24"/>
      <w:lang w:eastAsia="es-CL" w:val="es-CL"/>
    </w:rPr>
  </w:style>
  <w:style w:type="table" w:styleId="Tabladecuadrcula4-nfasis3">
    <w:name w:val="Grid Table 4 Accent 3"/>
    <w:basedOn w:val="Tablanormal"/>
    <w:uiPriority w:val="49"/>
    <w:rsid w:val="00B27652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cuadrcula1clara-nfasis3">
    <w:name w:val="Grid Table 1 Light Accent 3"/>
    <w:basedOn w:val="Tablanormal"/>
    <w:uiPriority w:val="46"/>
    <w:rsid w:val="00B27652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NormalWeb">
    <w:name w:val="Normal (Web)"/>
    <w:basedOn w:val="Normal"/>
    <w:uiPriority w:val="99"/>
    <w:semiHidden w:val="1"/>
    <w:unhideWhenUsed w:val="1"/>
    <w:rsid w:val="003F3CA7"/>
    <w:pPr>
      <w:spacing w:after="100" w:afterAutospacing="1" w:before="100" w:beforeAutospacing="1"/>
    </w:pPr>
    <w:rPr>
      <w:sz w:val="24"/>
      <w:szCs w:val="24"/>
      <w:lang w:eastAsia="en-US" w:val="en-US"/>
    </w:rPr>
  </w:style>
  <w:style w:type="character" w:styleId="Emphasis">
    <w:name w:val="Emphasis"/>
    <w:basedOn w:val="DefaultParagraphFont"/>
    <w:uiPriority w:val="20"/>
    <w:qFormat w:val="1"/>
    <w:rsid w:val="00D62B64"/>
    <w:rPr>
      <w:i w:val="1"/>
      <w:iCs w:val="1"/>
    </w:rPr>
  </w:style>
  <w:style w:type="table" w:styleId="ListTable4-Accent1">
    <w:name w:val="List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GridTable4-Accent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Ind w:w="0.0" w:type="dxa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f5bk5YayCXSQ/aE4xGhM/mG/w==">CgMxLjAaHwoBMBIaChgICVIUChJ0YWJsZS5yaGtlajVzZXVscWoaHwoBMRIaChgICVIUChJ0YWJsZS4zazBtbHM3bnl5MTgaHwoBMhIaChgICVIUChJ0YWJsZS5kbmNwdmgzOGF3aGMaHwoBMxIaChgICVIUChJ0YWJsZS41dXA3NXlzNGxpOGwaHwoBNBIaChgICVIUChJ0YWJsZS5vcmxzd3M4bDhpMG0aHwoBNRIaChgICVIUChJ0YWJsZS5raDJpdXZ3N2wyb2s4AHIhMVV4QkYtTmZJb2VveGlwYXJJeXZrcXE5dzBnTU15VF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2024-04-12T11:54:00Z</dcterms:created>
  <dc:creator>Maria Cristina Plaza M.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0x0101001EF7904F2152514DA8723AFD6C400489</vt:lpwstr>
  </property>
  <property fmtid="{D5CDD505-2E9C-101B-9397-08002B2CF9AE}" pid="3" name="MediaServiceImageTags">
    <vt:lpwstr/>
  </property>
  <property fmtid="{D5CDD505-2E9C-101B-9397-08002B2CF9AE}" pid="4" name="Order">
    <vt:r8>2900.0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