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23915" w14:textId="05B9E32E" w:rsidR="00CA0019" w:rsidRPr="004847EB" w:rsidRDefault="004847EB" w:rsidP="00442D4E">
      <w:pPr>
        <w:jc w:val="center"/>
        <w:rPr>
          <w:b/>
          <w:bCs/>
        </w:rPr>
      </w:pPr>
      <w:r w:rsidRPr="004847EB">
        <w:rPr>
          <w:b/>
          <w:bCs/>
        </w:rPr>
        <w:t xml:space="preserve">Foundation Models for Visual Place Recognition in Mid-Sized Anatolian Cities: A Systematic Evaluation of DINOv2-Based Pipelines on </w:t>
      </w:r>
      <w:proofErr w:type="spellStart"/>
      <w:r w:rsidRPr="004847EB">
        <w:rPr>
          <w:b/>
          <w:bCs/>
        </w:rPr>
        <w:t>Kırşehir</w:t>
      </w:r>
      <w:proofErr w:type="spellEnd"/>
    </w:p>
    <w:p w14:paraId="52E090DA" w14:textId="77777777" w:rsidR="001956F4" w:rsidRDefault="001956F4"/>
    <w:p w14:paraId="0BD38AF7" w14:textId="77777777" w:rsidR="001956F4" w:rsidRDefault="001956F4"/>
    <w:p w14:paraId="4CB4507B" w14:textId="77777777" w:rsidR="001956F4" w:rsidRDefault="001956F4"/>
    <w:p w14:paraId="241B6F7B" w14:textId="1A044C3B" w:rsidR="001956F4" w:rsidRPr="003E7F29" w:rsidRDefault="001956F4">
      <w:pPr>
        <w:rPr>
          <w:b/>
          <w:bCs/>
        </w:rPr>
      </w:pPr>
      <w:r w:rsidRPr="003E7F29">
        <w:rPr>
          <w:b/>
          <w:bCs/>
        </w:rPr>
        <w:t>Abstract</w:t>
      </w:r>
    </w:p>
    <w:p w14:paraId="73E61433" w14:textId="1348CF8F" w:rsidR="001956F4" w:rsidRDefault="00C4126F" w:rsidP="00E018DB">
      <w:pPr>
        <w:jc w:val="both"/>
      </w:pPr>
      <w:r w:rsidRPr="00C4126F">
        <w:t xml:space="preserve">Visual place recognition (VPR) has advanced rapidly with the rise of self-supervised foundation models, yet benchmarks remain geographically concentrated on large Western and East Asian cities. Whether the design choices established on these benchmarks transfer to mid-sized, architecturally homogeneous cities outside this distribution is an open question. This study presents a systematic empirical evaluation of a DINOv2-based two-stage VPR pipeline on </w:t>
      </w:r>
      <w:proofErr w:type="spellStart"/>
      <w:r w:rsidRPr="00C4126F">
        <w:t>Kırşehir</w:t>
      </w:r>
      <w:proofErr w:type="spellEnd"/>
      <w:r w:rsidRPr="00C4126F">
        <w:t xml:space="preserve">, a mid-sized Anatolian city in Central Turkey, and examines how its main design choices — partial fine-tuning, pooling strategy, local-feature re-ranking, and backbone size — behave under this visual regime. We constructed a Google Street View dataset of 26,220 images captured at 6,555 unique coordinate points on 654 streets with four cardinal headings per point, covering approximately 28.80 km². The dataset was partitioned via a 0.002°-resolution grid-based geographic split into 18,140 training, 6,060 database, and 2,020 query images. The pipeline combines a partially fine-tuned DINOv2 </w:t>
      </w:r>
      <w:proofErr w:type="spellStart"/>
      <w:r w:rsidRPr="00C4126F">
        <w:t>ViT</w:t>
      </w:r>
      <w:proofErr w:type="spellEnd"/>
      <w:r w:rsidRPr="00C4126F">
        <w:t>-B/14 backbone (last four Transformer blocks unfrozen) with Generalized Mean (</w:t>
      </w:r>
      <w:proofErr w:type="spellStart"/>
      <w:r w:rsidRPr="00C4126F">
        <w:t>GeM</w:t>
      </w:r>
      <w:proofErr w:type="spellEnd"/>
      <w:r w:rsidRPr="00C4126F">
        <w:t xml:space="preserve">) pooling and a 512-dimensional projection head, trained under Multi-Similarity Loss with hard negative mining, followed by an ALIKED + </w:t>
      </w:r>
      <w:proofErr w:type="spellStart"/>
      <w:r w:rsidRPr="00C4126F">
        <w:t>LightGlue</w:t>
      </w:r>
      <w:proofErr w:type="spellEnd"/>
      <w:r w:rsidRPr="00C4126F">
        <w:t xml:space="preserve"> local-matching re-ranking stage. Controlled ablations isolated the contributions of the loss function, the pooling strategy, the backbone size, and two re-ranking criteria. Partial fine-tuning improved </w:t>
      </w:r>
      <w:proofErr w:type="gramStart"/>
      <w:r w:rsidRPr="00C4126F">
        <w:t>Top-1</w:t>
      </w:r>
      <w:proofErr w:type="gramEnd"/>
      <w:r w:rsidRPr="00C4126F">
        <w:t xml:space="preserve"> street-name accuracy from 56.14% (frozen DINOv2) to 74.70% and reduced the median localization error from 49.8 m to 8.2 m. Contrary to the common assumption in the VPR literature, a CLS-token variant slightly outperformed the </w:t>
      </w:r>
      <w:proofErr w:type="spellStart"/>
      <w:r w:rsidRPr="00C4126F">
        <w:t>GeM</w:t>
      </w:r>
      <w:proofErr w:type="spellEnd"/>
      <w:r w:rsidRPr="00C4126F">
        <w:t xml:space="preserve">-pooled main model (76.58% vs. 74.70% street accuracy; 5.3 m vs. 8.2 m median error). </w:t>
      </w:r>
      <w:proofErr w:type="spellStart"/>
      <w:r w:rsidRPr="00C4126F">
        <w:t>LightGlue</w:t>
      </w:r>
      <w:proofErr w:type="spellEnd"/>
      <w:r w:rsidRPr="00C4126F">
        <w:t xml:space="preserve">-based re-ranking degraded the output of the global descriptor in every configuration tested — uniform application dropped street accuracy to 48.32–49.41%, and a conditional pipeline produced a monotonic performance decline across six confidence thresholds. The </w:t>
      </w:r>
      <w:proofErr w:type="spellStart"/>
      <w:r w:rsidRPr="00C4126F">
        <w:t>ViT</w:t>
      </w:r>
      <w:proofErr w:type="spellEnd"/>
      <w:r w:rsidRPr="00C4126F">
        <w:t xml:space="preserve">-S/14 variant retained 94.5% of the R@1&lt;100 m performance of </w:t>
      </w:r>
      <w:proofErr w:type="spellStart"/>
      <w:r w:rsidRPr="00C4126F">
        <w:t>ViT</w:t>
      </w:r>
      <w:proofErr w:type="spellEnd"/>
      <w:r w:rsidRPr="00C4126F">
        <w:t xml:space="preserve">-B/14 while using 25.6% of the parameters and 34.3% of the single-image inference time on an NVIDIA L4 GPU. A spatial error analysis attributed 16.2% of errors to high-confidence perceptual aliasing concentrated on repetitive residential streets and the long-tail errors to database-sparsity effects. </w:t>
      </w:r>
      <w:r w:rsidRPr="00C4126F">
        <w:rPr>
          <w:b/>
          <w:bCs/>
        </w:rPr>
        <w:t xml:space="preserve">Conclusions. </w:t>
      </w:r>
      <w:r w:rsidRPr="00C4126F">
        <w:t xml:space="preserve">Foundation-model-based VPR delivers strong single-city performance on this under-represented urban setting when the last few Transformer blocks are fine-tuned, but several design choices considered optimal on large Western benchmarks — </w:t>
      </w:r>
      <w:proofErr w:type="spellStart"/>
      <w:r w:rsidRPr="00C4126F">
        <w:t>GeM</w:t>
      </w:r>
      <w:proofErr w:type="spellEnd"/>
      <w:r w:rsidRPr="00C4126F">
        <w:t xml:space="preserve"> pooling over CLS aggregation and local-feature re-ranking as a </w:t>
      </w:r>
      <w:r w:rsidRPr="00C4126F">
        <w:lastRenderedPageBreak/>
        <w:t xml:space="preserve">default second stage — do not transfer. A single-stage </w:t>
      </w:r>
      <w:proofErr w:type="spellStart"/>
      <w:r w:rsidRPr="00C4126F">
        <w:t>ViT</w:t>
      </w:r>
      <w:proofErr w:type="spellEnd"/>
      <w:r w:rsidRPr="00C4126F">
        <w:t xml:space="preserve">-S/14 pipeline offers a favorable accuracy–efficiency trade-off for deployment-oriented systems. The reported negative result on </w:t>
      </w:r>
      <w:proofErr w:type="spellStart"/>
      <w:r w:rsidRPr="00C4126F">
        <w:t>LightGlue</w:t>
      </w:r>
      <w:proofErr w:type="spellEnd"/>
      <w:r w:rsidRPr="00C4126F">
        <w:t xml:space="preserve"> re-ranking highlights the need for city-specific empirical validation of standard VPR design patterns.</w:t>
      </w:r>
    </w:p>
    <w:p w14:paraId="727BB3D0" w14:textId="35EE6B33" w:rsidR="00C4126F" w:rsidRDefault="00C4126F" w:rsidP="002522CB">
      <w:pPr>
        <w:jc w:val="both"/>
      </w:pPr>
      <w:r>
        <w:t xml:space="preserve">Keywords: </w:t>
      </w:r>
      <w:r w:rsidRPr="00C4126F">
        <w:t xml:space="preserve">Visual place recognition; foundation models; DINOv2; fine-tuning; </w:t>
      </w:r>
      <w:proofErr w:type="spellStart"/>
      <w:r w:rsidRPr="00C4126F">
        <w:t>GeM</w:t>
      </w:r>
      <w:proofErr w:type="spellEnd"/>
      <w:r w:rsidRPr="00C4126F">
        <w:t xml:space="preserve"> pooling; </w:t>
      </w:r>
      <w:proofErr w:type="spellStart"/>
      <w:r w:rsidRPr="00C4126F">
        <w:t>LightGlue</w:t>
      </w:r>
      <w:proofErr w:type="spellEnd"/>
      <w:r w:rsidRPr="00C4126F">
        <w:t xml:space="preserve">; re-ranking; vision transformer; Google Street View; </w:t>
      </w:r>
      <w:r>
        <w:t>computer vision, machine learning</w:t>
      </w:r>
      <w:r w:rsidRPr="00C4126F">
        <w:t>.</w:t>
      </w:r>
    </w:p>
    <w:p w14:paraId="483998D3" w14:textId="77777777" w:rsidR="001956F4" w:rsidRDefault="001956F4"/>
    <w:p w14:paraId="3628C7B7" w14:textId="6A3B1F26" w:rsidR="001956F4" w:rsidRDefault="001956F4">
      <w:r>
        <w:t>Introduction</w:t>
      </w:r>
    </w:p>
    <w:p w14:paraId="1BFBB093" w14:textId="24E817B3" w:rsidR="004157DF" w:rsidRPr="004157DF" w:rsidRDefault="004157DF" w:rsidP="00C10BFF">
      <w:pPr>
        <w:jc w:val="both"/>
      </w:pPr>
      <w:r w:rsidRPr="004157DF">
        <w:t xml:space="preserve">Visual place recognition (VPR) is the task of estimating where an image was taken by matching it against a geo-referenced database </w:t>
      </w:r>
      <w:r w:rsidR="008D4C91">
        <w:fldChar w:fldCharType="begin"/>
      </w:r>
      <w:r w:rsidR="008D4C91">
        <w:instrText xml:space="preserve"> ADDIN EN.CITE &lt;EndNote&gt;&lt;Cite&gt;&lt;Author&gt;Lowry&lt;/Author&gt;&lt;Year&gt;2015&lt;/Year&gt;&lt;RecNum&gt;1349&lt;/RecNum&gt;&lt;DisplayText&gt;(Lowry et al. 2015)&lt;/DisplayText&gt;&lt;record&gt;&lt;rec-number&gt;1349&lt;/rec-number&gt;&lt;foreign-keys&gt;&lt;key app="EN" db-id="dx50w9txmzwp0uex5r95r20sfz029raapfrf" timestamp="1776429317"&gt;1349&lt;/key&gt;&lt;/foreign-keys&gt;&lt;ref-type name="Journal Article"&gt;17&lt;/ref-type&gt;&lt;contributors&gt;&lt;authors&gt;&lt;author&gt;Lowry, Stephanie&lt;/author&gt;&lt;author&gt;Sünderhauf, Niko&lt;/author&gt;&lt;author&gt;Newman, Paul&lt;/author&gt;&lt;author&gt;Leonard, John J&lt;/author&gt;&lt;author&gt;Cox, David&lt;/author&gt;&lt;author&gt;Corke, Peter&lt;/author&gt;&lt;author&gt;Milford, Michael J&lt;/author&gt;&lt;/authors&gt;&lt;/contributors&gt;&lt;titles&gt;&lt;title&gt;Visual place recognition: A survey&lt;/title&gt;&lt;secondary-title&gt;ieee transactions on robotics&lt;/secondary-title&gt;&lt;/titles&gt;&lt;periodical&gt;&lt;full-title&gt;ieee transactions on robotics&lt;/full-title&gt;&lt;/periodical&gt;&lt;pages&gt;1-19&lt;/pages&gt;&lt;volume&gt;32&lt;/volume&gt;&lt;number&gt;1&lt;/number&gt;&lt;dates&gt;&lt;year&gt;2015&lt;/year&gt;&lt;/dates&gt;&lt;isbn&gt;1552-3098&lt;/isbn&gt;&lt;urls&gt;&lt;/urls&gt;&lt;/record&gt;&lt;/Cite&gt;&lt;/EndNote&gt;</w:instrText>
      </w:r>
      <w:r w:rsidR="008D4C91">
        <w:fldChar w:fldCharType="separate"/>
      </w:r>
      <w:r w:rsidR="008D4C91">
        <w:rPr>
          <w:noProof/>
        </w:rPr>
        <w:t>(Lowry et al. 2015)</w:t>
      </w:r>
      <w:r w:rsidR="008D4C91">
        <w:fldChar w:fldCharType="end"/>
      </w:r>
      <w:r w:rsidRPr="004157DF">
        <w:t xml:space="preserve">. It is a core component of mobile robotics, autonomous driving, augmented reality, and geo-referenced media indexing, and it is one of the few localization modalities that can function in GPS-denied environments such as dense urban canyons, indoor spaces, and tunnels. The last decade has seen a rapid evolution of VPR methods, from bag-of-words and VLAD aggregation of hand-crafted descriptors </w:t>
      </w:r>
      <w:r w:rsidR="00D469BC">
        <w:fldChar w:fldCharType="begin"/>
      </w:r>
      <w:r w:rsidR="00D469BC">
        <w:instrText xml:space="preserve"> ADDIN EN.CITE &lt;EndNote&gt;&lt;Cite&gt;&lt;Author&gt;Cummins&lt;/Author&gt;&lt;Year&gt;2008&lt;/Year&gt;&lt;RecNum&gt;1350&lt;/RecNum&gt;&lt;DisplayText&gt;(Cummins &amp;amp; Newman 2008)&lt;/DisplayText&gt;&lt;record&gt;&lt;rec-number&gt;1350&lt;/rec-number&gt;&lt;foreign-keys&gt;&lt;key app="EN" db-id="dx50w9txmzwp0uex5r95r20sfz029raapfrf" timestamp="1776429449"&gt;1350&lt;/key&gt;&lt;/foreign-keys&gt;&lt;ref-type name="Journal Article"&gt;17&lt;/ref-type&gt;&lt;contributors&gt;&lt;authors&gt;&lt;author&gt;Cummins, Mark&lt;/author&gt;&lt;author&gt;Newman, Paul&lt;/author&gt;&lt;/authors&gt;&lt;/contributors&gt;&lt;titles&gt;&lt;title&gt;FAB-MAP: Probabilistic localization and mapping in the space of appearance&lt;/title&gt;&lt;secondary-title&gt;The International journal of robotics research&lt;/secondary-title&gt;&lt;/titles&gt;&lt;periodical&gt;&lt;full-title&gt;The International journal of robotics research&lt;/full-title&gt;&lt;/periodical&gt;&lt;pages&gt;647-665&lt;/pages&gt;&lt;volume&gt;27&lt;/volume&gt;&lt;number&gt;6&lt;/number&gt;&lt;dates&gt;&lt;year&gt;2008&lt;/year&gt;&lt;/dates&gt;&lt;isbn&gt;0278-3649&lt;/isbn&gt;&lt;urls&gt;&lt;/urls&gt;&lt;/record&gt;&lt;/Cite&gt;&lt;/EndNote&gt;</w:instrText>
      </w:r>
      <w:r w:rsidR="00D469BC">
        <w:fldChar w:fldCharType="separate"/>
      </w:r>
      <w:r w:rsidR="00D469BC">
        <w:rPr>
          <w:noProof/>
        </w:rPr>
        <w:t>(Cummins &amp; Newman 2008)</w:t>
      </w:r>
      <w:r w:rsidR="00D469BC">
        <w:fldChar w:fldCharType="end"/>
      </w:r>
      <w:r w:rsidRPr="004157DF">
        <w:t xml:space="preserve">, through learned CNN-based global descriptors such as </w:t>
      </w:r>
      <w:proofErr w:type="spellStart"/>
      <w:r w:rsidRPr="004157DF">
        <w:t>NetVLAD</w:t>
      </w:r>
      <w:proofErr w:type="spellEnd"/>
      <w:r w:rsidRPr="004157DF">
        <w:t xml:space="preserve"> </w:t>
      </w:r>
      <w:r w:rsidR="00D469BC">
        <w:fldChar w:fldCharType="begin"/>
      </w:r>
      <w:r w:rsidR="00D469BC">
        <w:instrText xml:space="preserve"> ADDIN EN.CITE &lt;EndNote&gt;&lt;Cite&gt;&lt;Author&gt;Arandjelovic&lt;/Author&gt;&lt;Year&gt;2016&lt;/Year&gt;&lt;RecNum&gt;1351&lt;/RecNum&gt;&lt;DisplayText&gt;(Arandjelovic et al. 2016)&lt;/DisplayText&gt;&lt;record&gt;&lt;rec-number&gt;1351&lt;/rec-number&gt;&lt;foreign-keys&gt;&lt;key app="EN" db-id="dx50w9txmzwp0uex5r95r20sfz029raapfrf" timestamp="1776429567"&gt;1351&lt;/key&gt;&lt;/foreign-keys&gt;&lt;ref-type name="Conference Proceedings"&gt;10&lt;/ref-type&gt;&lt;contributors&gt;&lt;authors&gt;&lt;author&gt;Arandjelovic, Relja&lt;/author&gt;&lt;author&gt;Gronat, Petr&lt;/author&gt;&lt;author&gt;Torii, Akihiko&lt;/author&gt;&lt;author&gt;Pajdla, Tomas&lt;/author&gt;&lt;author&gt;Sivic, Josef&lt;/author&gt;&lt;/authors&gt;&lt;/contributors&gt;&lt;titles&gt;&lt;title&gt;NetVLAD: CNN architecture for weakly supervised place recognition&lt;/title&gt;&lt;secondary-title&gt;Proceedings of the IEEE conference on computer vision and pattern recognition&lt;/secondary-title&gt;&lt;/titles&gt;&lt;pages&gt;5297-5307&lt;/pages&gt;&lt;dates&gt;&lt;year&gt;2016&lt;/year&gt;&lt;/dates&gt;&lt;urls&gt;&lt;/urls&gt;&lt;/record&gt;&lt;/Cite&gt;&lt;/EndNote&gt;</w:instrText>
      </w:r>
      <w:r w:rsidR="00D469BC">
        <w:fldChar w:fldCharType="separate"/>
      </w:r>
      <w:r w:rsidR="00D469BC">
        <w:rPr>
          <w:noProof/>
        </w:rPr>
        <w:t>(Arandjelovic et al. 2016)</w:t>
      </w:r>
      <w:r w:rsidR="00D469BC">
        <w:fldChar w:fldCharType="end"/>
      </w:r>
      <w:r w:rsidRPr="004157DF">
        <w:t xml:space="preserve">, to large-scale classification-based training schemes </w:t>
      </w:r>
      <w:r w:rsidR="00A625B7">
        <w:fldChar w:fldCharType="begin"/>
      </w:r>
      <w:r w:rsidR="00A625B7">
        <w:instrText xml:space="preserve"> ADDIN EN.CITE &lt;EndNote&gt;&lt;Cite&gt;&lt;Author&gt;Berton&lt;/Author&gt;&lt;Year&gt;2022&lt;/Year&gt;&lt;RecNum&gt;1352&lt;/RecNum&gt;&lt;DisplayText&gt;(Berton et al. 2022)&lt;/DisplayText&gt;&lt;record&gt;&lt;rec-number&gt;1352&lt;/rec-number&gt;&lt;foreign-keys&gt;&lt;key app="EN" db-id="dx50w9txmzwp0uex5r95r20sfz029raapfrf" timestamp="1776429643"&gt;1352&lt;/key&gt;&lt;/foreign-keys&gt;&lt;ref-type name="Conference Proceedings"&gt;10&lt;/ref-type&gt;&lt;contributors&gt;&lt;authors&gt;&lt;author&gt;Berton, Gabriele&lt;/author&gt;&lt;author&gt;Masone, Carlo&lt;/author&gt;&lt;author&gt;Caputo, Barbara&lt;/author&gt;&lt;/authors&gt;&lt;/contributors&gt;&lt;titles&gt;&lt;title&gt;Rethinking visual geo-localization for large-scale applications&lt;/title&gt;&lt;secondary-title&gt;Proceedings of the IEEE/CVF Conference on Computer Vision and Pattern Recognition&lt;/secondary-title&gt;&lt;/titles&gt;&lt;pages&gt;4878-4888&lt;/pages&gt;&lt;dates&gt;&lt;year&gt;2022&lt;/year&gt;&lt;/dates&gt;&lt;urls&gt;&lt;/urls&gt;&lt;/record&gt;&lt;/Cite&gt;&lt;/EndNote&gt;</w:instrText>
      </w:r>
      <w:r w:rsidR="00A625B7">
        <w:fldChar w:fldCharType="separate"/>
      </w:r>
      <w:r w:rsidR="00A625B7">
        <w:rPr>
          <w:noProof/>
        </w:rPr>
        <w:t>(Berton et al. 2022)</w:t>
      </w:r>
      <w:r w:rsidR="00A625B7">
        <w:fldChar w:fldCharType="end"/>
      </w:r>
      <w:r w:rsidRPr="004157DF">
        <w:t xml:space="preserve"> and, most recently, the adoption of foundation models as backbones </w:t>
      </w:r>
      <w:r w:rsidR="00A625B7">
        <w:fldChar w:fldCharType="begin"/>
      </w:r>
      <w:r w:rsidR="00A625B7">
        <w:instrText xml:space="preserve"> ADDIN EN.CITE &lt;EndNote&gt;&lt;Cite&gt;&lt;Author&gt;Oquab&lt;/Author&gt;&lt;Year&gt;2023&lt;/Year&gt;&lt;RecNum&gt;1353&lt;/RecNum&gt;&lt;DisplayText&gt;(Oquab et al. 2023)&lt;/DisplayText&gt;&lt;record&gt;&lt;rec-number&gt;1353&lt;/rec-number&gt;&lt;foreign-keys&gt;&lt;key app="EN" db-id="dx50w9txmzwp0uex5r95r20sfz029raapfrf" timestamp="1776429744"&gt;1353&lt;/key&gt;&lt;/foreign-keys&gt;&lt;ref-type name="Journal Article"&gt;17&lt;/ref-type&gt;&lt;contributors&gt;&lt;authors&gt;&lt;author&gt;Oquab, Maxime&lt;/author&gt;&lt;author&gt;Darcet, Timothée&lt;/author&gt;&lt;author&gt;Moutakanni, Théo&lt;/author&gt;&lt;author&gt;Vo, Huy&lt;/author&gt;&lt;author&gt;Szafraniec, Marc&lt;/author&gt;&lt;author&gt;Khalidov, Vasil&lt;/author&gt;&lt;author&gt;Fernandez, Pierre&lt;/author&gt;&lt;author&gt;Haziza, Daniel&lt;/author&gt;&lt;author&gt;Massa, Francisco&lt;/author&gt;&lt;author&gt;El-Nouby, Alaaeldin&lt;/author&gt;&lt;/authors&gt;&lt;/contributors&gt;&lt;titles&gt;&lt;title&gt;Dinov2: Learning robust visual features without supervision&lt;/title&gt;&lt;secondary-title&gt;arXiv preprint arXiv:2304.07193&lt;/secondary-title&gt;&lt;/titles&gt;&lt;periodical&gt;&lt;full-title&gt;arXiv preprint arXiv:2304.07193&lt;/full-title&gt;&lt;/periodical&gt;&lt;dates&gt;&lt;year&gt;2023&lt;/year&gt;&lt;/dates&gt;&lt;urls&gt;&lt;/urls&gt;&lt;/record&gt;&lt;/Cite&gt;&lt;/EndNote&gt;</w:instrText>
      </w:r>
      <w:r w:rsidR="00A625B7">
        <w:fldChar w:fldCharType="separate"/>
      </w:r>
      <w:r w:rsidR="00A625B7">
        <w:rPr>
          <w:noProof/>
        </w:rPr>
        <w:t>(Oquab et al. 2023)</w:t>
      </w:r>
      <w:r w:rsidR="00A625B7">
        <w:fldChar w:fldCharType="end"/>
      </w:r>
      <w:r w:rsidRPr="004157DF">
        <w:t>.</w:t>
      </w:r>
    </w:p>
    <w:p w14:paraId="21B1CAA6" w14:textId="631A8D88" w:rsidR="004157DF" w:rsidRPr="004157DF" w:rsidRDefault="004157DF" w:rsidP="00C10BFF">
      <w:pPr>
        <w:jc w:val="both"/>
      </w:pPr>
      <w:r w:rsidRPr="004157DF">
        <w:t xml:space="preserve">Despite this progress, VPR benchmarks have remained geographically concentrated. The widely used Pittsburgh30k, Tokyo24/7, and </w:t>
      </w:r>
      <w:proofErr w:type="spellStart"/>
      <w:r w:rsidRPr="004157DF">
        <w:t>Mapillary</w:t>
      </w:r>
      <w:proofErr w:type="spellEnd"/>
      <w:r w:rsidRPr="004157DF">
        <w:t xml:space="preserve"> Street-Level Sequences (MSLS) datasets cover predominantly North American, Japanese, and globally distributed but photographer-curated urban imagery</w:t>
      </w:r>
      <w:r w:rsidR="00A625B7">
        <w:t xml:space="preserve"> </w:t>
      </w:r>
      <w:r w:rsidR="00A625B7">
        <w:fldChar w:fldCharType="begin">
          <w:fldData xml:space="preserve">PEVuZE5vdGU+PENpdGU+PEF1dGhvcj5Ub3JpaTwvQXV0aG9yPjxZZWFyPjIwMTU8L1llYXI+PFJl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</w:fldData>
        </w:fldChar>
      </w:r>
      <w:r w:rsidR="00A625B7">
        <w:instrText xml:space="preserve"> ADDIN EN.CITE </w:instrText>
      </w:r>
      <w:r w:rsidR="00A625B7">
        <w:fldChar w:fldCharType="begin">
          <w:fldData xml:space="preserve">PEVuZE5vdGU+PENpdGU+PEF1dGhvcj5Ub3JpaTwvQXV0aG9yPjxZZWFyPjIwMTU8L1llYXI+PFJl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</w:fldData>
        </w:fldChar>
      </w:r>
      <w:r w:rsidR="00A625B7">
        <w:instrText xml:space="preserve"> ADDIN EN.CITE.DATA </w:instrText>
      </w:r>
      <w:r w:rsidR="00A625B7">
        <w:fldChar w:fldCharType="end"/>
      </w:r>
      <w:r w:rsidR="00A625B7">
        <w:fldChar w:fldCharType="separate"/>
      </w:r>
      <w:r w:rsidR="00A625B7">
        <w:rPr>
          <w:noProof/>
        </w:rPr>
        <w:t>(Arandjelovic et al. 2016; Torii et al. 2015; Warburg et al. 2020)</w:t>
      </w:r>
      <w:r w:rsidR="00A625B7">
        <w:fldChar w:fldCharType="end"/>
      </w:r>
      <w:r w:rsidRPr="004157DF">
        <w:t xml:space="preserve">, and the main large-scale training datasets — San Francisco </w:t>
      </w:r>
      <w:proofErr w:type="spellStart"/>
      <w:r w:rsidRPr="004157DF">
        <w:t>eXtra</w:t>
      </w:r>
      <w:proofErr w:type="spellEnd"/>
      <w:r w:rsidRPr="004157DF">
        <w:t xml:space="preserve"> Large (SF-XL) and GSV-Cities — center on North American and major-city imagery </w:t>
      </w:r>
      <w:r w:rsidR="00155910">
        <w:fldChar w:fldCharType="begin"/>
      </w:r>
      <w:r w:rsidR="00155910">
        <w:instrText xml:space="preserve"> ADDIN EN.CITE &lt;EndNote&gt;&lt;Cite&gt;&lt;Author&gt;Berton&lt;/Author&gt;&lt;Year&gt;2022&lt;/Year&gt;&lt;RecNum&gt;1352&lt;/RecNum&gt;&lt;DisplayText&gt;(Berton et al. 2022)&lt;/DisplayText&gt;&lt;record&gt;&lt;rec-number&gt;1352&lt;/rec-number&gt;&lt;foreign-keys&gt;&lt;key app="EN" db-id="dx50w9txmzwp0uex5r95r20sfz029raapfrf" timestamp="1776429643"&gt;1352&lt;/key&gt;&lt;/foreign-keys&gt;&lt;ref-type name="Conference Proceedings"&gt;10&lt;/ref-type&gt;&lt;contributors&gt;&lt;authors&gt;&lt;author&gt;Berton, Gabriele&lt;/author&gt;&lt;author&gt;Masone, Carlo&lt;/author&gt;&lt;author&gt;Caputo, Barbara&lt;/author&gt;&lt;/authors&gt;&lt;/contributors&gt;&lt;titles&gt;&lt;title&gt;Rethinking visual geo-localization for large-scale applications&lt;/title&gt;&lt;secondary-title&gt;Proceedings of the IEEE/CVF Conference on Computer Vision and Pattern Recognition&lt;/secondary-title&gt;&lt;/titles&gt;&lt;pages&gt;4878-4888&lt;/pages&gt;&lt;dates&gt;&lt;year&gt;2022&lt;/year&gt;&lt;/dates&gt;&lt;urls&gt;&lt;/urls&gt;&lt;/record&gt;&lt;/Cite&gt;&lt;/EndNote&gt;</w:instrText>
      </w:r>
      <w:r w:rsidR="00155910">
        <w:fldChar w:fldCharType="separate"/>
      </w:r>
      <w:r w:rsidR="00155910">
        <w:rPr>
          <w:noProof/>
        </w:rPr>
        <w:t>(Berton et al. 2022)</w:t>
      </w:r>
      <w:r w:rsidR="00155910">
        <w:fldChar w:fldCharType="end"/>
      </w:r>
      <w:r w:rsidRPr="004157DF">
        <w:t xml:space="preserve">. Studies that validate VPR methods on mid-sized, non-Western, architecturally homogeneous cities remain scarce, which </w:t>
      </w:r>
      <w:proofErr w:type="gramStart"/>
      <w:r w:rsidRPr="004157DF">
        <w:t>has</w:t>
      </w:r>
      <w:proofErr w:type="gramEnd"/>
      <w:r w:rsidRPr="004157DF">
        <w:t xml:space="preserve"> two related consequences. First, it is difficult to assess how well the design choices established on these benchmarks generalize to the urban distribution in which many practical deployments would occur — Anatolian, Balkan, Middle Eastern, or Central Asian cities that share a distinctive built-environment profile. Second, negative or contradictory results on such cities are largely invisible, which can produce an inflated sense of how well standard two-stage pipelines transfer across contexts.</w:t>
      </w:r>
    </w:p>
    <w:p w14:paraId="3CB81494" w14:textId="77777777" w:rsidR="004157DF" w:rsidRPr="004157DF" w:rsidRDefault="004157DF" w:rsidP="00C10BFF">
      <w:pPr>
        <w:jc w:val="both"/>
      </w:pPr>
      <w:r w:rsidRPr="004157DF">
        <w:t xml:space="preserve">This paper contributes a systematic empirical study of foundation-model-based visual place recognition on </w:t>
      </w:r>
      <w:proofErr w:type="spellStart"/>
      <w:r w:rsidRPr="004157DF">
        <w:t>Kırşehir</w:t>
      </w:r>
      <w:proofErr w:type="spellEnd"/>
      <w:r w:rsidRPr="004157DF">
        <w:t>, a mid-sized Anatolian city in Central Turkey, with three characteristic properties that make it a useful stress test for standard VPR methodology: (</w:t>
      </w:r>
      <w:proofErr w:type="spellStart"/>
      <w:r w:rsidRPr="004157DF">
        <w:t>i</w:t>
      </w:r>
      <w:proofErr w:type="spellEnd"/>
      <w:r w:rsidRPr="004157DF">
        <w:t xml:space="preserve">) a compact urban core of approximately 28.80 km² with limited topographic variation, (ii) a building stock dominated by repetitive low-to-mid-rise residential facades, sharing a </w:t>
      </w:r>
      <w:r w:rsidRPr="004157DF">
        <w:lastRenderedPageBreak/>
        <w:t xml:space="preserve">narrow stylistic vocabulary, and (iii) dense narrow-street geometry in which cross-street visual differences are fine-grained rather than categorical. These properties amplify the fine-grained retrieval problem and make </w:t>
      </w:r>
      <w:proofErr w:type="spellStart"/>
      <w:r w:rsidRPr="004157DF">
        <w:t>Kırşehir</w:t>
      </w:r>
      <w:proofErr w:type="spellEnd"/>
      <w:r w:rsidRPr="004157DF">
        <w:t xml:space="preserve"> a challenging test bed for a class of methods that were designed and validated under considerably different visual statistics.</w:t>
      </w:r>
    </w:p>
    <w:p w14:paraId="5D40B425" w14:textId="77777777" w:rsidR="007C7770" w:rsidRPr="007C7770" w:rsidRDefault="007C7770" w:rsidP="00CB1E03">
      <w:pPr>
        <w:jc w:val="both"/>
      </w:pPr>
      <w:r w:rsidRPr="007C7770">
        <w:t>Motivated by the observations above, the present study is organized around four research questions.</w:t>
      </w:r>
    </w:p>
    <w:p w14:paraId="164BDBB7" w14:textId="77777777" w:rsidR="007C7770" w:rsidRPr="007C7770" w:rsidRDefault="007C7770" w:rsidP="00CB1E03">
      <w:pPr>
        <w:jc w:val="both"/>
      </w:pPr>
      <w:r w:rsidRPr="007C7770">
        <w:t>RQ1 — Adaptation. How much of the performance of a DINOv2-based VPR pipeline on a mid-sized, architecturally homogeneous Anatolian city is contributed by the pre-trained foundation model itself, and how much by fine-tuning on a city-specific dataset? Specifically, what is the gap between a frozen DINOv2 feature extractor and a partially fine-tuned one, and is the gap uniform across recall thresholds?</w:t>
      </w:r>
    </w:p>
    <w:p w14:paraId="7738C103" w14:textId="77777777" w:rsidR="007C7770" w:rsidRPr="007C7770" w:rsidRDefault="007C7770" w:rsidP="00CB1E03">
      <w:pPr>
        <w:jc w:val="both"/>
      </w:pPr>
      <w:r w:rsidRPr="007C7770">
        <w:t xml:space="preserve">RQ2 — Design Choices. On such a dataset, do the default design choices of foundation-model-based VPR — patch-level </w:t>
      </w:r>
      <w:proofErr w:type="spellStart"/>
      <w:r w:rsidRPr="007C7770">
        <w:t>GeM</w:t>
      </w:r>
      <w:proofErr w:type="spellEnd"/>
      <w:r w:rsidRPr="007C7770">
        <w:t xml:space="preserve"> pooling and Multi-Similarity Loss — dominate alternatives in a controlled ablation? </w:t>
      </w:r>
      <w:proofErr w:type="gramStart"/>
      <w:r w:rsidRPr="007C7770">
        <w:t>In particular, how</w:t>
      </w:r>
      <w:proofErr w:type="gramEnd"/>
      <w:r w:rsidRPr="007C7770">
        <w:t xml:space="preserve"> does CLS-token aggregation compare with </w:t>
      </w:r>
      <w:proofErr w:type="spellStart"/>
      <w:r w:rsidRPr="007C7770">
        <w:t>GeM</w:t>
      </w:r>
      <w:proofErr w:type="spellEnd"/>
      <w:r w:rsidRPr="007C7770">
        <w:t xml:space="preserve"> pooling when both are trained under identical conditions?</w:t>
      </w:r>
    </w:p>
    <w:p w14:paraId="57517F82" w14:textId="77777777" w:rsidR="007C7770" w:rsidRPr="007C7770" w:rsidRDefault="007C7770" w:rsidP="00CB1E03">
      <w:pPr>
        <w:jc w:val="both"/>
      </w:pPr>
      <w:r w:rsidRPr="007C7770">
        <w:t xml:space="preserve">RQ3 — Re-Ranking. Does a standard </w:t>
      </w:r>
      <w:proofErr w:type="spellStart"/>
      <w:r w:rsidRPr="007C7770">
        <w:t>LightGlue</w:t>
      </w:r>
      <w:proofErr w:type="spellEnd"/>
      <w:r w:rsidRPr="007C7770">
        <w:t>-based re-ranking stage improve upon a well-adapted global descriptor on Google Street View imagery of a small Anatolian city, and if not, what are the structural reasons for the discrepancy with results reported on large urban benchmarks?</w:t>
      </w:r>
    </w:p>
    <w:p w14:paraId="6C957BF6" w14:textId="77777777" w:rsidR="007C7770" w:rsidRPr="007C7770" w:rsidRDefault="007C7770" w:rsidP="00CB1E03">
      <w:pPr>
        <w:jc w:val="both"/>
      </w:pPr>
      <w:r w:rsidRPr="007C7770">
        <w:t xml:space="preserve">RQ4 — Efficiency. What is the accuracy–efficiency trade-off between the </w:t>
      </w:r>
      <w:proofErr w:type="spellStart"/>
      <w:r w:rsidRPr="007C7770">
        <w:t>ViT</w:t>
      </w:r>
      <w:proofErr w:type="spellEnd"/>
      <w:r w:rsidRPr="007C7770">
        <w:t xml:space="preserve">-S/14 and </w:t>
      </w:r>
      <w:proofErr w:type="spellStart"/>
      <w:r w:rsidRPr="007C7770">
        <w:t>ViT</w:t>
      </w:r>
      <w:proofErr w:type="spellEnd"/>
      <w:r w:rsidRPr="007C7770">
        <w:t>-B/14 variants of DINOv2 under the identical fine-tuning protocol, and does the smaller backbone preserve the dominant patterns observed with the larger one?</w:t>
      </w:r>
    </w:p>
    <w:p w14:paraId="5480F89D" w14:textId="77777777" w:rsidR="007C7770" w:rsidRPr="007C7770" w:rsidRDefault="007C7770" w:rsidP="00CB1E03">
      <w:pPr>
        <w:jc w:val="both"/>
      </w:pPr>
      <w:r w:rsidRPr="007C7770">
        <w:t>This paper makes the following contributions.</w:t>
      </w:r>
    </w:p>
    <w:p w14:paraId="72CE7B6B" w14:textId="77777777" w:rsidR="007C7770" w:rsidRPr="007C7770" w:rsidRDefault="007C7770" w:rsidP="00CB1E03">
      <w:pPr>
        <w:jc w:val="both"/>
      </w:pPr>
      <w:r w:rsidRPr="007C7770">
        <w:t>(</w:t>
      </w:r>
      <w:proofErr w:type="spellStart"/>
      <w:r w:rsidRPr="007C7770">
        <w:t>i</w:t>
      </w:r>
      <w:proofErr w:type="spellEnd"/>
      <w:r w:rsidRPr="007C7770">
        <w:t xml:space="preserve">) We construct and analyze a dedicated Google Street View dataset of </w:t>
      </w:r>
      <w:proofErr w:type="spellStart"/>
      <w:r w:rsidRPr="007C7770">
        <w:t>Kırşehir</w:t>
      </w:r>
      <w:proofErr w:type="spellEnd"/>
      <w:r w:rsidRPr="007C7770">
        <w:t xml:space="preserve"> comprising 26,220 images captured at 6,555 unique coordinate points across 654 streets, with four cardinal headings per point and an approximately 28.80 km² coverage area. The dataset is partitioned into training, database, and query sets using a grid-based geographic split that guards against spatial leakage between train and test.</w:t>
      </w:r>
    </w:p>
    <w:p w14:paraId="7661B6A6" w14:textId="77777777" w:rsidR="007C7770" w:rsidRPr="007C7770" w:rsidRDefault="007C7770" w:rsidP="00CB1E03">
      <w:pPr>
        <w:jc w:val="both"/>
      </w:pPr>
      <w:r w:rsidRPr="007C7770">
        <w:t xml:space="preserve">(ii) We present a systematic evaluation of a two-stage DINOv2-based VPR pipeline on this dataset, including ablations over the loss function (Triplet vs. Multi-Similarity), the pooling strategy (patch-level </w:t>
      </w:r>
      <w:proofErr w:type="spellStart"/>
      <w:r w:rsidRPr="007C7770">
        <w:t>GeM</w:t>
      </w:r>
      <w:proofErr w:type="spellEnd"/>
      <w:r w:rsidRPr="007C7770">
        <w:t xml:space="preserve"> vs. CLS token), the backbone size (</w:t>
      </w:r>
      <w:proofErr w:type="spellStart"/>
      <w:r w:rsidRPr="007C7770">
        <w:t>ViT</w:t>
      </w:r>
      <w:proofErr w:type="spellEnd"/>
      <w:r w:rsidRPr="007C7770">
        <w:t xml:space="preserve">-S/14 vs. </w:t>
      </w:r>
      <w:proofErr w:type="spellStart"/>
      <w:r w:rsidRPr="007C7770">
        <w:t>ViT</w:t>
      </w:r>
      <w:proofErr w:type="spellEnd"/>
      <w:r w:rsidRPr="007C7770">
        <w:t xml:space="preserve">-B/14), and two criteria for </w:t>
      </w:r>
      <w:proofErr w:type="spellStart"/>
      <w:r w:rsidRPr="007C7770">
        <w:t>LightGlue</w:t>
      </w:r>
      <w:proofErr w:type="spellEnd"/>
      <w:r w:rsidRPr="007C7770">
        <w:t>-based re-ranking (match count vs. a hybrid score).</w:t>
      </w:r>
    </w:p>
    <w:p w14:paraId="1DA8E509" w14:textId="77777777" w:rsidR="007C7770" w:rsidRPr="007C7770" w:rsidRDefault="007C7770" w:rsidP="00CB1E03">
      <w:pPr>
        <w:jc w:val="both"/>
      </w:pPr>
      <w:r w:rsidRPr="007C7770">
        <w:t xml:space="preserve">(iii) We report and analyze a concrete negative result: on this dataset, </w:t>
      </w:r>
      <w:proofErr w:type="spellStart"/>
      <w:r w:rsidRPr="007C7770">
        <w:t>LightGlue</w:t>
      </w:r>
      <w:proofErr w:type="spellEnd"/>
      <w:r w:rsidRPr="007C7770">
        <w:t>-based re-ranking consistently degrades the output of the fine-tuned global descriptor, whether applied uniformly or selectively to low-confidence queries. We identify three structural causes grounded in the properties of the imagery and the pipeline, and we position this finding as a domain-specific limitation of an otherwise well-established design pattern.</w:t>
      </w:r>
    </w:p>
    <w:p w14:paraId="73673EF1" w14:textId="77777777" w:rsidR="007C7770" w:rsidRPr="007C7770" w:rsidRDefault="007C7770" w:rsidP="00CB1E03">
      <w:pPr>
        <w:jc w:val="both"/>
      </w:pPr>
      <w:r w:rsidRPr="007C7770">
        <w:lastRenderedPageBreak/>
        <w:t xml:space="preserve">(iv) We show that the </w:t>
      </w:r>
      <w:proofErr w:type="spellStart"/>
      <w:r w:rsidRPr="007C7770">
        <w:t>ViT</w:t>
      </w:r>
      <w:proofErr w:type="spellEnd"/>
      <w:r w:rsidRPr="007C7770">
        <w:t xml:space="preserve">-S/14 variant of DINOv2 retains 94.5% of the R@1&lt;100 m performance of </w:t>
      </w:r>
      <w:proofErr w:type="spellStart"/>
      <w:r w:rsidRPr="007C7770">
        <w:t>ViT</w:t>
      </w:r>
      <w:proofErr w:type="spellEnd"/>
      <w:r w:rsidRPr="007C7770">
        <w:t>-B/14 while using only 25.6% of the parameters and 34.3% of the single-image inference time, and we argue that this configuration is a defensible default for embedded and mobile deployment scenarios.</w:t>
      </w:r>
    </w:p>
    <w:p w14:paraId="5AE697FD" w14:textId="77777777" w:rsidR="007C7770" w:rsidRPr="007C7770" w:rsidRDefault="007C7770" w:rsidP="00CB1E03">
      <w:pPr>
        <w:jc w:val="both"/>
      </w:pPr>
      <w:r w:rsidRPr="007C7770">
        <w:t>(v) We provide a detailed spatial and perceptual aliasing analysis that disentangles two distinct error regimes — high-confidence aliasing on repetitive residential streets, and long-tail errors driven by database sparsity — and we quantify their relative contributions to overall error.</w:t>
      </w:r>
    </w:p>
    <w:p w14:paraId="51F36C3D" w14:textId="77777777" w:rsidR="007C7770" w:rsidRPr="007C7770" w:rsidRDefault="007C7770" w:rsidP="00CB1E03">
      <w:pPr>
        <w:jc w:val="both"/>
      </w:pPr>
      <w:r w:rsidRPr="007C7770">
        <w:t xml:space="preserve">The remainder of this paper is organized as follows. Section 2 describes the dataset and the train/database/query split protocol. Section 3 details the two-stage methodology, including the DINOv2 backbone, the fine-tuning procedure, the </w:t>
      </w:r>
      <w:proofErr w:type="spellStart"/>
      <w:r w:rsidRPr="007C7770">
        <w:t>GeM</w:t>
      </w:r>
      <w:proofErr w:type="spellEnd"/>
      <w:r w:rsidRPr="007C7770">
        <w:t xml:space="preserve">-pooled projection head, the Multi-Similarity Loss training, and the ALIKED + </w:t>
      </w:r>
      <w:proofErr w:type="spellStart"/>
      <w:r w:rsidRPr="007C7770">
        <w:t>LightGlue</w:t>
      </w:r>
      <w:proofErr w:type="spellEnd"/>
      <w:r w:rsidRPr="007C7770">
        <w:t xml:space="preserve"> re-ranking stage. Section 4 presents the experimental results, including the main comparison, the conditional re-ranking pipeline, the </w:t>
      </w:r>
      <w:proofErr w:type="spellStart"/>
      <w:r w:rsidRPr="007C7770">
        <w:t>ViT</w:t>
      </w:r>
      <w:proofErr w:type="spellEnd"/>
      <w:r w:rsidRPr="007C7770">
        <w:t xml:space="preserve">-S vs. </w:t>
      </w:r>
      <w:proofErr w:type="spellStart"/>
      <w:r w:rsidRPr="007C7770">
        <w:t>ViT</w:t>
      </w:r>
      <w:proofErr w:type="spellEnd"/>
      <w:r w:rsidRPr="007C7770">
        <w:t>-B comparison, the confidence-rejection analysis, the computational cost, and the spatial and perceptual aliasing analyses. Section 5 discusses the findings in the context of existing literature and analyzes their probable causes. Section 6 concludes the paper with a summary of contributions and directions for future work.</w:t>
      </w:r>
    </w:p>
    <w:p w14:paraId="632846B6" w14:textId="77777777" w:rsidR="001956F4" w:rsidRDefault="001956F4"/>
    <w:p w14:paraId="2B92D933" w14:textId="77777777" w:rsidR="001956F4" w:rsidRDefault="001956F4"/>
    <w:p w14:paraId="416616BD" w14:textId="2E360980" w:rsidR="001956F4" w:rsidRDefault="001956F4">
      <w:r>
        <w:t>Literature Review</w:t>
      </w:r>
    </w:p>
    <w:p w14:paraId="28F4EA16" w14:textId="5DCBDE31" w:rsidR="004157DF" w:rsidRPr="004157DF" w:rsidRDefault="004157DF" w:rsidP="00F14130">
      <w:pPr>
        <w:jc w:val="both"/>
      </w:pPr>
      <w:r w:rsidRPr="004157DF">
        <w:t>Visual place recognition and its close relative visual geo-localization have been surveyed comprehensively</w:t>
      </w:r>
      <w:r w:rsidR="00155910">
        <w:t xml:space="preserve"> in</w:t>
      </w:r>
      <w:r w:rsidRPr="004157DF">
        <w:t xml:space="preserve"> </w:t>
      </w:r>
      <w:r w:rsidR="00155910">
        <w:fldChar w:fldCharType="begin"/>
      </w:r>
      <w:r w:rsidR="00155910">
        <w:instrText xml:space="preserve"> ADDIN EN.CITE &lt;EndNote&gt;&lt;Cite&gt;&lt;Author&gt;Lowry&lt;/Author&gt;&lt;Year&gt;2015&lt;/Year&gt;&lt;RecNum&gt;1349&lt;/RecNum&gt;&lt;DisplayText&gt;(Lowry et al. 2015)&lt;/DisplayText&gt;&lt;record&gt;&lt;rec-number&gt;1349&lt;/rec-number&gt;&lt;foreign-keys&gt;&lt;key app="EN" db-id="dx50w9txmzwp0uex5r95r20sfz029raapfrf" timestamp="1776429317"&gt;1349&lt;/key&gt;&lt;/foreign-keys&gt;&lt;ref-type name="Journal Article"&gt;17&lt;/ref-type&gt;&lt;contributors&gt;&lt;authors&gt;&lt;author&gt;Lowry, Stephanie&lt;/author&gt;&lt;author&gt;Sünderhauf, Niko&lt;/author&gt;&lt;author&gt;Newman, Paul&lt;/author&gt;&lt;author&gt;Leonard, John J&lt;/author&gt;&lt;author&gt;Cox, David&lt;/author&gt;&lt;author&gt;Corke, Peter&lt;/author&gt;&lt;author&gt;Milford, Michael J&lt;/author&gt;&lt;/authors&gt;&lt;/contributors&gt;&lt;titles&gt;&lt;title&gt;Visual place recognition: A survey&lt;/title&gt;&lt;secondary-title&gt;ieee transactions on robotics&lt;/secondary-title&gt;&lt;/titles&gt;&lt;periodical&gt;&lt;full-title&gt;ieee transactions on robotics&lt;/full-title&gt;&lt;/periodical&gt;&lt;pages&gt;1-19&lt;/pages&gt;&lt;volume&gt;32&lt;/volume&gt;&lt;number&gt;1&lt;/number&gt;&lt;dates&gt;&lt;year&gt;2015&lt;/year&gt;&lt;/dates&gt;&lt;isbn&gt;1552-3098&lt;/isbn&gt;&lt;urls&gt;&lt;/urls&gt;&lt;/record&gt;&lt;/Cite&gt;&lt;/EndNote&gt;</w:instrText>
      </w:r>
      <w:r w:rsidR="00155910">
        <w:fldChar w:fldCharType="separate"/>
      </w:r>
      <w:r w:rsidR="00155910">
        <w:rPr>
          <w:noProof/>
        </w:rPr>
        <w:t>(Lowry et al. 2015)</w:t>
      </w:r>
      <w:r w:rsidR="00155910">
        <w:fldChar w:fldCharType="end"/>
      </w:r>
      <w:r w:rsidRPr="004157DF">
        <w:t>. The field is typically organized around two design axes: the representation used to describe each place, and the matching strategy used to compare a query against the database. We briefly review progress along each axis, with an emphasis on developments relevant to the present study.</w:t>
      </w:r>
    </w:p>
    <w:p w14:paraId="56C51B04" w14:textId="39619762" w:rsidR="004157DF" w:rsidRPr="004157DF" w:rsidRDefault="004157DF" w:rsidP="00F14130">
      <w:pPr>
        <w:jc w:val="both"/>
      </w:pPr>
      <w:r w:rsidRPr="004157DF">
        <w:t xml:space="preserve">Early appearance-based approaches represented each place by a bag-of-words vector over hand-crafted local descriptors such as SIFT or SURF, with perceptual aliasing handled probabilistically </w:t>
      </w:r>
      <w:r w:rsidR="00AE204E">
        <w:fldChar w:fldCharType="begin"/>
      </w:r>
      <w:r w:rsidR="00AE204E">
        <w:instrText xml:space="preserve"> ADDIN EN.CITE &lt;EndNote&gt;&lt;Cite&gt;&lt;Author&gt;Cummins&lt;/Author&gt;&lt;Year&gt;2008&lt;/Year&gt;&lt;RecNum&gt;1350&lt;/RecNum&gt;&lt;DisplayText&gt;(Cummins &amp;amp; Newman 2008)&lt;/DisplayText&gt;&lt;record&gt;&lt;rec-number&gt;1350&lt;/rec-number&gt;&lt;foreign-keys&gt;&lt;key app="EN" db-id="dx50w9txmzwp0uex5r95r20sfz029raapfrf" timestamp="1776429449"&gt;1350&lt;/key&gt;&lt;/foreign-keys&gt;&lt;ref-type name="Journal Article"&gt;17&lt;/ref-type&gt;&lt;contributors&gt;&lt;authors&gt;&lt;author&gt;Cummins, Mark&lt;/author&gt;&lt;author&gt;Newman, Paul&lt;/author&gt;&lt;/authors&gt;&lt;/contributors&gt;&lt;titles&gt;&lt;title&gt;FAB-MAP: Probabilistic localization and mapping in the space of appearance&lt;/title&gt;&lt;secondary-title&gt;The International journal of robotics research&lt;/secondary-title&gt;&lt;/titles&gt;&lt;periodical&gt;&lt;full-title&gt;The International journal of robotics research&lt;/full-title&gt;&lt;/periodical&gt;&lt;pages&gt;647-665&lt;/pages&gt;&lt;volume&gt;27&lt;/volume&gt;&lt;number&gt;6&lt;/number&gt;&lt;dates&gt;&lt;year&gt;2008&lt;/year&gt;&lt;/dates&gt;&lt;isbn&gt;0278-3649&lt;/isbn&gt;&lt;urls&gt;&lt;/urls&gt;&lt;/record&gt;&lt;/Cite&gt;&lt;/EndNote&gt;</w:instrText>
      </w:r>
      <w:r w:rsidR="00AE204E">
        <w:fldChar w:fldCharType="separate"/>
      </w:r>
      <w:r w:rsidR="00AE204E">
        <w:rPr>
          <w:noProof/>
        </w:rPr>
        <w:t>(Cummins &amp; Newman 2008)</w:t>
      </w:r>
      <w:r w:rsidR="00AE204E">
        <w:fldChar w:fldCharType="end"/>
      </w:r>
      <w:r w:rsidRPr="004157DF">
        <w:t xml:space="preserve">. The introduction of learnable global descriptors, most notably </w:t>
      </w:r>
      <w:proofErr w:type="spellStart"/>
      <w:r w:rsidRPr="004157DF">
        <w:t>NetVLAD</w:t>
      </w:r>
      <w:proofErr w:type="spellEnd"/>
      <w:r w:rsidRPr="004157DF">
        <w:t xml:space="preserve"> </w:t>
      </w:r>
      <w:r w:rsidR="00AE204E">
        <w:fldChar w:fldCharType="begin"/>
      </w:r>
      <w:r w:rsidR="00AE204E">
        <w:instrText xml:space="preserve"> ADDIN EN.CITE &lt;EndNote&gt;&lt;Cite&gt;&lt;Author&gt;Arandjelovic&lt;/Author&gt;&lt;Year&gt;2016&lt;/Year&gt;&lt;RecNum&gt;1351&lt;/RecNum&gt;&lt;DisplayText&gt;(Arandjelovic et al. 2016)&lt;/DisplayText&gt;&lt;record&gt;&lt;rec-number&gt;1351&lt;/rec-number&gt;&lt;foreign-keys&gt;&lt;key app="EN" db-id="dx50w9txmzwp0uex5r95r20sfz029raapfrf" timestamp="1776429567"&gt;1351&lt;/key&gt;&lt;/foreign-keys&gt;&lt;ref-type name="Conference Proceedings"&gt;10&lt;/ref-type&gt;&lt;contributors&gt;&lt;authors&gt;&lt;author&gt;Arandjelovic, Relja&lt;/author&gt;&lt;author&gt;Gronat, Petr&lt;/author&gt;&lt;author&gt;Torii, Akihiko&lt;/author&gt;&lt;author&gt;Pajdla, Tomas&lt;/author&gt;&lt;author&gt;Sivic, Josef&lt;/author&gt;&lt;/authors&gt;&lt;/contributors&gt;&lt;titles&gt;&lt;title&gt;NetVLAD: CNN architecture for weakly supervised place recognition&lt;/title&gt;&lt;secondary-title&gt;Proceedings of the IEEE conference on computer vision and pattern recognition&lt;/secondary-title&gt;&lt;/titles&gt;&lt;pages&gt;5297-5307&lt;/pages&gt;&lt;dates&gt;&lt;year&gt;2016&lt;/year&gt;&lt;/dates&gt;&lt;urls&gt;&lt;/urls&gt;&lt;/record&gt;&lt;/Cite&gt;&lt;/EndNote&gt;</w:instrText>
      </w:r>
      <w:r w:rsidR="00AE204E">
        <w:fldChar w:fldCharType="separate"/>
      </w:r>
      <w:r w:rsidR="00AE204E">
        <w:rPr>
          <w:noProof/>
        </w:rPr>
        <w:t>(Arandjelovic et al. 2016)</w:t>
      </w:r>
      <w:r w:rsidR="00AE204E">
        <w:fldChar w:fldCharType="end"/>
      </w:r>
      <w:r w:rsidRPr="004157DF">
        <w:t>, enabled end-to-end training from weakly supervised Street View tuples and produced substantial accuracy gains across standard benchmarks. Subsequent developments along this line include patch-level extensions that retain local spatial information</w:t>
      </w:r>
      <w:r w:rsidR="00AE204E">
        <w:t xml:space="preserve"> </w:t>
      </w:r>
      <w:r w:rsidR="00AC62EC">
        <w:fldChar w:fldCharType="begin"/>
      </w:r>
      <w:r w:rsidR="00AC62EC">
        <w:instrText xml:space="preserve"> ADDIN EN.CITE &lt;EndNote&gt;&lt;Cite&gt;&lt;Author&gt;Hausler&lt;/Author&gt;&lt;Year&gt;2021&lt;/Year&gt;&lt;RecNum&gt;1356&lt;/RecNum&gt;&lt;DisplayText&gt;(Hausler et al. 2021)&lt;/DisplayText&gt;&lt;record&gt;&lt;rec-number&gt;1356&lt;/rec-number&gt;&lt;foreign-keys&gt;&lt;key app="EN" db-id="dx50w9txmzwp0uex5r95r20sfz029raapfrf" timestamp="1776430036"&gt;1356&lt;/key&gt;&lt;/foreign-keys&gt;&lt;ref-type name="Conference Proceedings"&gt;10&lt;/ref-type&gt;&lt;contributors&gt;&lt;authors&gt;&lt;author&gt;Hausler, Stephen&lt;/author&gt;&lt;author&gt;Garg, Sourav&lt;/author&gt;&lt;author&gt;Xu, Ming&lt;/author&gt;&lt;author&gt;Milford, Michael&lt;/author&gt;&lt;author&gt;Fischer, Tobias&lt;/author&gt;&lt;/authors&gt;&lt;/contributors&gt;&lt;titles&gt;&lt;title&gt;Patch-netvlad: Multi-scale fusion of locally-global descriptors for place recognition&lt;/title&gt;&lt;secondary-title&gt;Proceedings of the IEEE/CVF conference on computer vision and pattern recognition&lt;/secondary-title&gt;&lt;/titles&gt;&lt;pages&gt;14141-14152&lt;/pages&gt;&lt;dates&gt;&lt;year&gt;2021&lt;/year&gt;&lt;/dates&gt;&lt;urls&gt;&lt;/urls&gt;&lt;/record&gt;&lt;/Cite&gt;&lt;/EndNote&gt;</w:instrText>
      </w:r>
      <w:r w:rsidR="00AC62EC">
        <w:fldChar w:fldCharType="separate"/>
      </w:r>
      <w:r w:rsidR="00AC62EC">
        <w:rPr>
          <w:noProof/>
        </w:rPr>
        <w:t>(Hausler et al. 2021)</w:t>
      </w:r>
      <w:r w:rsidR="00AC62EC">
        <w:fldChar w:fldCharType="end"/>
      </w:r>
      <w:r w:rsidRPr="004157DF">
        <w:t xml:space="preserve"> </w:t>
      </w:r>
      <w:r w:rsidR="00AC62EC">
        <w:t>(</w:t>
      </w:r>
      <w:r w:rsidRPr="00AC62EC">
        <w:rPr>
          <w:color w:val="EE0000"/>
        </w:rPr>
        <w:t>Patch-</w:t>
      </w:r>
      <w:proofErr w:type="spellStart"/>
      <w:r w:rsidRPr="00AC62EC">
        <w:rPr>
          <w:color w:val="EE0000"/>
        </w:rPr>
        <w:t>NetVLAD</w:t>
      </w:r>
      <w:proofErr w:type="spellEnd"/>
      <w:r w:rsidRPr="004157DF">
        <w:t>), feature-mixing aggregators that replace VLAD with all-MLP modules</w:t>
      </w:r>
      <w:r w:rsidR="009E0C64">
        <w:t xml:space="preserve"> </w:t>
      </w:r>
      <w:r w:rsidR="009E0C64">
        <w:fldChar w:fldCharType="begin"/>
      </w:r>
      <w:r w:rsidR="009E0C64">
        <w:instrText xml:space="preserve"> ADDIN EN.CITE &lt;EndNote&gt;&lt;Cite&gt;&lt;Author&gt;Ali-Bey&lt;/Author&gt;&lt;Year&gt;2023&lt;/Year&gt;&lt;RecNum&gt;1357&lt;/RecNum&gt;&lt;DisplayText&gt;(Ali-Bey et al. 2023)&lt;/DisplayText&gt;&lt;record&gt;&lt;rec-number&gt;1357&lt;/rec-number&gt;&lt;foreign-keys&gt;&lt;key app="EN" db-id="dx50w9txmzwp0uex5r95r20sfz029raapfrf" timestamp="1776430143"&gt;1357&lt;/key&gt;&lt;/foreign-keys&gt;&lt;ref-type name="Conference Proceedings"&gt;10&lt;/ref-type&gt;&lt;contributors&gt;&lt;authors&gt;&lt;author&gt;Ali-Bey, Amar&lt;/author&gt;&lt;author&gt;Chaib-Draa, Brahim&lt;/author&gt;&lt;author&gt;Giguere, Philippe&lt;/author&gt;&lt;/authors&gt;&lt;/contributors&gt;&lt;titles&gt;&lt;title&gt;Mixvpr: Feature mixing for visual place recognition&lt;/title&gt;&lt;secondary-title&gt;Proceedings of the IEEE/CVF winter conference on applications of computer vision&lt;/secondary-title&gt;&lt;/titles&gt;&lt;pages&gt;2998-3007&lt;/pages&gt;&lt;dates&gt;&lt;year&gt;2023&lt;/year&gt;&lt;/dates&gt;&lt;urls&gt;&lt;/urls&gt;&lt;/record&gt;&lt;/Cite&gt;&lt;/EndNote&gt;</w:instrText>
      </w:r>
      <w:r w:rsidR="009E0C64">
        <w:fldChar w:fldCharType="separate"/>
      </w:r>
      <w:r w:rsidR="009E0C64">
        <w:rPr>
          <w:noProof/>
        </w:rPr>
        <w:t>(Ali-Bey et al. 2023)</w:t>
      </w:r>
      <w:r w:rsidR="009E0C64">
        <w:fldChar w:fldCharType="end"/>
      </w:r>
      <w:r w:rsidRPr="004157DF">
        <w:t xml:space="preserve"> (</w:t>
      </w:r>
      <w:proofErr w:type="spellStart"/>
      <w:r w:rsidRPr="009E0C64">
        <w:rPr>
          <w:color w:val="EE0000"/>
        </w:rPr>
        <w:t>MixVPR</w:t>
      </w:r>
      <w:proofErr w:type="spellEnd"/>
      <w:r w:rsidRPr="004157DF">
        <w:t>), and large-scale classification-based training that avoids expensive mining</w:t>
      </w:r>
      <w:r w:rsidR="009E0C64">
        <w:t xml:space="preserve"> </w:t>
      </w:r>
      <w:r w:rsidR="009E0C64">
        <w:fldChar w:fldCharType="begin"/>
      </w:r>
      <w:r w:rsidR="009E0C64">
        <w:instrText xml:space="preserve"> ADDIN EN.CITE &lt;EndNote&gt;&lt;Cite&gt;&lt;Author&gt;Berton&lt;/Author&gt;&lt;Year&gt;2022&lt;/Year&gt;&lt;RecNum&gt;1352&lt;/RecNum&gt;&lt;DisplayText&gt;(Berton et al. 2022)&lt;/DisplayText&gt;&lt;record&gt;&lt;rec-number&gt;1352&lt;/rec-number&gt;&lt;foreign-keys&gt;&lt;key app="EN" db-id="dx50w9txmzwp0uex5r95r20sfz029raapfrf" timestamp="1776429643"&gt;1352&lt;/key&gt;&lt;/foreign-keys&gt;&lt;ref-type name="Conference Proceedings"&gt;10&lt;/ref-type&gt;&lt;contributors&gt;&lt;authors&gt;&lt;author&gt;Berton, Gabriele&lt;/author&gt;&lt;author&gt;Masone, Carlo&lt;/author&gt;&lt;author&gt;Caputo, Barbara&lt;/author&gt;&lt;/authors&gt;&lt;/contributors&gt;&lt;titles&gt;&lt;title&gt;Rethinking visual geo-localization for large-scale applications&lt;/title&gt;&lt;secondary-title&gt;Proceedings of the IEEE/CVF Conference on Computer Vision and Pattern Recognition&lt;/secondary-title&gt;&lt;/titles&gt;&lt;pages&gt;4878-4888&lt;/pages&gt;&lt;dates&gt;&lt;year&gt;2022&lt;/year&gt;&lt;/dates&gt;&lt;urls&gt;&lt;/urls&gt;&lt;/record&gt;&lt;/Cite&gt;&lt;/EndNote&gt;</w:instrText>
      </w:r>
      <w:r w:rsidR="009E0C64">
        <w:fldChar w:fldCharType="separate"/>
      </w:r>
      <w:r w:rsidR="009E0C64">
        <w:rPr>
          <w:noProof/>
        </w:rPr>
        <w:t>(Berton et al. 2022)</w:t>
      </w:r>
      <w:r w:rsidR="009E0C64">
        <w:fldChar w:fldCharType="end"/>
      </w:r>
      <w:r w:rsidR="009E0C64">
        <w:t xml:space="preserve"> </w:t>
      </w:r>
      <w:r w:rsidRPr="004157DF">
        <w:t xml:space="preserve"> (</w:t>
      </w:r>
      <w:proofErr w:type="spellStart"/>
      <w:r w:rsidRPr="009E0C64">
        <w:rPr>
          <w:color w:val="EE0000"/>
        </w:rPr>
        <w:t>CosPlace</w:t>
      </w:r>
      <w:proofErr w:type="spellEnd"/>
      <w:r w:rsidRPr="004157DF">
        <w:t>). Generalized Mean (</w:t>
      </w:r>
      <w:proofErr w:type="spellStart"/>
      <w:r w:rsidRPr="004157DF">
        <w:t>GeM</w:t>
      </w:r>
      <w:proofErr w:type="spellEnd"/>
      <w:r w:rsidRPr="004157DF">
        <w:t xml:space="preserve">) pooling </w:t>
      </w:r>
      <w:r w:rsidR="009E0C64">
        <w:fldChar w:fldCharType="begin"/>
      </w:r>
      <w:r w:rsidR="009E0C64">
        <w:instrText xml:space="preserve"> ADDIN EN.CITE &lt;EndNote&gt;&lt;Cite&gt;&lt;Author&gt;Radenović&lt;/Author&gt;&lt;Year&gt;2018&lt;/Year&gt;&lt;RecNum&gt;1358&lt;/RecNum&gt;&lt;DisplayText&gt;(Radenović et al. 2018)&lt;/DisplayText&gt;&lt;record&gt;&lt;rec-number&gt;1358&lt;/rec-number&gt;&lt;foreign-keys&gt;&lt;key app="EN" db-id="dx50w9txmzwp0uex5r95r20sfz029raapfrf" timestamp="1776430244"&gt;1358&lt;/key&gt;&lt;/foreign-keys&gt;&lt;ref-type name="Journal Article"&gt;17&lt;/ref-type&gt;&lt;contributors&gt;&lt;authors&gt;&lt;author&gt;Radenović, Filip&lt;/author&gt;&lt;author&gt;Tolias, Giorgos&lt;/author&gt;&lt;author&gt;Chum, Ondřej&lt;/author&gt;&lt;/authors&gt;&lt;/contributors&gt;&lt;titles&gt;&lt;title&gt;Fine-tuning CNN image retrieval with no human annotation&lt;/title&gt;&lt;secondary-title&gt;IEEE transactions on pattern analysis and machine intelligence&lt;/secondary-title&gt;&lt;/titles&gt;&lt;periodical&gt;&lt;full-title&gt;IEEE transactions on pattern analysis and machine intelligence&lt;/full-title&gt;&lt;/periodical&gt;&lt;pages&gt;1655-1668&lt;/pages&gt;&lt;volume&gt;41&lt;/volume&gt;&lt;number&gt;7&lt;/number&gt;&lt;dates&gt;&lt;year&gt;2018&lt;/year&gt;&lt;/dates&gt;&lt;isbn&gt;0162-8828&lt;/isbn&gt;&lt;urls&gt;&lt;/urls&gt;&lt;/record&gt;&lt;/Cite&gt;&lt;/EndNote&gt;</w:instrText>
      </w:r>
      <w:r w:rsidR="009E0C64">
        <w:fldChar w:fldCharType="separate"/>
      </w:r>
      <w:r w:rsidR="009E0C64">
        <w:rPr>
          <w:noProof/>
        </w:rPr>
        <w:t>(Radenović et al. 2018)</w:t>
      </w:r>
      <w:r w:rsidR="009E0C64">
        <w:fldChar w:fldCharType="end"/>
      </w:r>
      <w:r w:rsidRPr="004157DF">
        <w:t xml:space="preserve"> provides a learnable trade-off between average and max pooling over patch </w:t>
      </w:r>
      <w:r w:rsidRPr="004157DF">
        <w:lastRenderedPageBreak/>
        <w:t>features and has become the dominant pooling choice for transformer-based VPR models.</w:t>
      </w:r>
    </w:p>
    <w:p w14:paraId="62AA5E2A" w14:textId="6908299E" w:rsidR="004157DF" w:rsidRPr="004157DF" w:rsidRDefault="004157DF" w:rsidP="00F14130">
      <w:pPr>
        <w:jc w:val="both"/>
      </w:pPr>
      <w:r w:rsidRPr="004157DF">
        <w:t xml:space="preserve">Local feature matching has followed a parallel trajectory, from hand-crafted detectors and descriptors to learned </w:t>
      </w:r>
      <w:proofErr w:type="spellStart"/>
      <w:r w:rsidRPr="004157DF">
        <w:t>keypoint</w:t>
      </w:r>
      <w:proofErr w:type="spellEnd"/>
      <w:r w:rsidRPr="004157DF">
        <w:t xml:space="preserve">–descriptor combinations such as ALIKED </w:t>
      </w:r>
      <w:r w:rsidR="009E0C64">
        <w:fldChar w:fldCharType="begin"/>
      </w:r>
      <w:r w:rsidR="009E0C64">
        <w:instrText xml:space="preserve"> ADDIN EN.CITE &lt;EndNote&gt;&lt;Cite&gt;&lt;Author&gt;Zhao&lt;/Author&gt;&lt;Year&gt;2023&lt;/Year&gt;&lt;RecNum&gt;1359&lt;/RecNum&gt;&lt;DisplayText&gt;(Zhao et al. 2023)&lt;/DisplayText&gt;&lt;record&gt;&lt;rec-number&gt;1359&lt;/rec-number&gt;&lt;foreign-keys&gt;&lt;key app="EN" db-id="dx50w9txmzwp0uex5r95r20sfz029raapfrf" timestamp="1776430282"&gt;1359&lt;/key&gt;&lt;/foreign-keys&gt;&lt;ref-type name="Journal Article"&gt;17&lt;/ref-type&gt;&lt;contributors&gt;&lt;authors&gt;&lt;author&gt;Zhao, Xiaoming&lt;/author&gt;&lt;author&gt;Wu, Xingming&lt;/author&gt;&lt;author&gt;Chen, Weihai&lt;/author&gt;&lt;author&gt;Chen, Peter CY&lt;/author&gt;&lt;author&gt;Xu, Qingsong&lt;/author&gt;&lt;author&gt;Li, Zhengguo&lt;/author&gt;&lt;/authors&gt;&lt;/contributors&gt;&lt;titles&gt;&lt;title&gt;Aliked: A lighter keypoint and descriptor extraction network via deformable transformation&lt;/title&gt;&lt;secondary-title&gt;IEEE Transactions on Instrumentation and Measurement&lt;/secondary-title&gt;&lt;/titles&gt;&lt;periodical&gt;&lt;full-title&gt;IEEE Transactions on Instrumentation and Measurement&lt;/full-title&gt;&lt;/periodical&gt;&lt;pages&gt;1-16&lt;/pages&gt;&lt;volume&gt;72&lt;/volume&gt;&lt;dates&gt;&lt;year&gt;2023&lt;/year&gt;&lt;/dates&gt;&lt;isbn&gt;0018-9456&lt;/isbn&gt;&lt;urls&gt;&lt;/urls&gt;&lt;/record&gt;&lt;/Cite&gt;&lt;/EndNote&gt;</w:instrText>
      </w:r>
      <w:r w:rsidR="009E0C64">
        <w:fldChar w:fldCharType="separate"/>
      </w:r>
      <w:r w:rsidR="009E0C64">
        <w:rPr>
          <w:noProof/>
        </w:rPr>
        <w:t>(Zhao et al. 2023)</w:t>
      </w:r>
      <w:r w:rsidR="009E0C64">
        <w:fldChar w:fldCharType="end"/>
      </w:r>
      <w:r w:rsidRPr="004157DF">
        <w:t xml:space="preserve"> and graph-neural-network-based matchers such as </w:t>
      </w:r>
      <w:proofErr w:type="spellStart"/>
      <w:r w:rsidRPr="004157DF">
        <w:t>LightGlue</w:t>
      </w:r>
      <w:proofErr w:type="spellEnd"/>
      <w:r w:rsidRPr="004157DF">
        <w:t xml:space="preserve"> </w:t>
      </w:r>
      <w:r w:rsidR="009E0C64">
        <w:fldChar w:fldCharType="begin"/>
      </w:r>
      <w:r w:rsidR="009E0C64">
        <w:instrText xml:space="preserve"> ADDIN EN.CITE &lt;EndNote&gt;&lt;Cite&gt;&lt;Author&gt;Lindenberger&lt;/Author&gt;&lt;Year&gt;2023&lt;/Year&gt;&lt;RecNum&gt;1360&lt;/RecNum&gt;&lt;DisplayText&gt;(Lindenberger et al. 2023)&lt;/DisplayText&gt;&lt;record&gt;&lt;rec-number&gt;1360&lt;/rec-number&gt;&lt;foreign-keys&gt;&lt;key app="EN" db-id="dx50w9txmzwp0uex5r95r20sfz029raapfrf" timestamp="1776430326"&gt;1360&lt;/key&gt;&lt;/foreign-keys&gt;&lt;ref-type name="Conference Proceedings"&gt;10&lt;/ref-type&gt;&lt;contributors&gt;&lt;authors&gt;&lt;author&gt;Lindenberger, Philipp&lt;/author&gt;&lt;author&gt;Sarlin, Paul-Edouard&lt;/author&gt;&lt;author&gt;Pollefeys, Marc&lt;/author&gt;&lt;/authors&gt;&lt;/contributors&gt;&lt;titles&gt;&lt;title&gt;Lightglue: Local feature matching at light speed&lt;/title&gt;&lt;secondary-title&gt;Proceedings of the IEEE/CVF international conference on computer vision&lt;/secondary-title&gt;&lt;/titles&gt;&lt;pages&gt;17627-17638&lt;/pages&gt;&lt;dates&gt;&lt;year&gt;2023&lt;/year&gt;&lt;/dates&gt;&lt;urls&gt;&lt;/urls&gt;&lt;/record&gt;&lt;/Cite&gt;&lt;/EndNote&gt;</w:instrText>
      </w:r>
      <w:r w:rsidR="009E0C64">
        <w:fldChar w:fldCharType="separate"/>
      </w:r>
      <w:r w:rsidR="009E0C64">
        <w:rPr>
          <w:noProof/>
        </w:rPr>
        <w:t>(Lindenberger et al. 2023)</w:t>
      </w:r>
      <w:r w:rsidR="009E0C64">
        <w:fldChar w:fldCharType="end"/>
      </w:r>
      <w:r w:rsidRPr="004157DF">
        <w:t xml:space="preserve">. In two-stage VPR, a global descriptor is used to retrieve the Top-N candidates and a local matcher is then applied to re-rank them via geometric verification </w:t>
      </w:r>
      <w:r w:rsidR="009E0C64">
        <w:fldChar w:fldCharType="begin"/>
      </w:r>
      <w:r w:rsidR="009E0C64">
        <w:instrText xml:space="preserve"> ADDIN EN.CITE &lt;EndNote&gt;&lt;Cite&gt;&lt;Author&gt;Hausler&lt;/Author&gt;&lt;Year&gt;2021&lt;/Year&gt;&lt;RecNum&gt;1356&lt;/RecNum&gt;&lt;DisplayText&gt;(Hausler et al. 2021)&lt;/DisplayText&gt;&lt;record&gt;&lt;rec-number&gt;1356&lt;/rec-number&gt;&lt;foreign-keys&gt;&lt;key app="EN" db-id="dx50w9txmzwp0uex5r95r20sfz029raapfrf" timestamp="1776430036"&gt;1356&lt;/key&gt;&lt;/foreign-keys&gt;&lt;ref-type name="Conference Proceedings"&gt;10&lt;/ref-type&gt;&lt;contributors&gt;&lt;authors&gt;&lt;author&gt;Hausler, Stephen&lt;/author&gt;&lt;author&gt;Garg, Sourav&lt;/author&gt;&lt;author&gt;Xu, Ming&lt;/author&gt;&lt;author&gt;Milford, Michael&lt;/author&gt;&lt;author&gt;Fischer, Tobias&lt;/author&gt;&lt;/authors&gt;&lt;/contributors&gt;&lt;titles&gt;&lt;title&gt;Patch-netvlad: Multi-scale fusion of locally-global descriptors for place recognition&lt;/title&gt;&lt;secondary-title&gt;Proceedings of the IEEE/CVF conference on computer vision and pattern recognition&lt;/secondary-title&gt;&lt;/titles&gt;&lt;pages&gt;14141-14152&lt;/pages&gt;&lt;dates&gt;&lt;year&gt;2021&lt;/year&gt;&lt;/dates&gt;&lt;urls&gt;&lt;/urls&gt;&lt;/record&gt;&lt;/Cite&gt;&lt;/EndNote&gt;</w:instrText>
      </w:r>
      <w:r w:rsidR="009E0C64">
        <w:fldChar w:fldCharType="separate"/>
      </w:r>
      <w:r w:rsidR="009E0C64">
        <w:rPr>
          <w:noProof/>
        </w:rPr>
        <w:t>(Hausler et al. 2021)</w:t>
      </w:r>
      <w:r w:rsidR="009E0C64">
        <w:fldChar w:fldCharType="end"/>
      </w:r>
      <w:r w:rsidRPr="004157DF">
        <w:t>. This global-then-local pipeline has become a de facto standard on benchmarks that exhibit strong viewpoint or appearance change</w:t>
      </w:r>
      <w:r w:rsidR="009E0C64">
        <w:t xml:space="preserve"> </w:t>
      </w:r>
      <w:r w:rsidR="009E0C64">
        <w:fldChar w:fldCharType="begin"/>
      </w:r>
      <w:r w:rsidR="009E0C64">
        <w:instrText xml:space="preserve"> ADDIN EN.CITE &lt;EndNote&gt;&lt;Cite&gt;&lt;Author&gt;Sattler&lt;/Author&gt;&lt;Year&gt;2018&lt;/Year&gt;&lt;RecNum&gt;1361&lt;/RecNum&gt;&lt;DisplayText&gt;(Sattler et al. 2018; Warburg et al. 2020)&lt;/DisplayText&gt;&lt;record&gt;&lt;rec-number&gt;1361&lt;/rec-number&gt;&lt;foreign-keys&gt;&lt;key app="EN" db-id="dx50w9txmzwp0uex5r95r20sfz029raapfrf" timestamp="1776430380"&gt;1361&lt;/key&gt;&lt;/foreign-keys&gt;&lt;ref-type name="Conference Proceedings"&gt;10&lt;/ref-type&gt;&lt;contributors&gt;&lt;authors&gt;&lt;author&gt;Sattler, Torsten&lt;/author&gt;&lt;author&gt;Maddern, Will&lt;/author&gt;&lt;author&gt;Toft, Carl&lt;/author&gt;&lt;author&gt;Torii, Akihiko&lt;/author&gt;&lt;author&gt;Hammarstrand, Lars&lt;/author&gt;&lt;author&gt;Stenborg, Erik&lt;/author&gt;&lt;author&gt;Safari, Daniel&lt;/author&gt;&lt;author&gt;Okutomi, Masatoshi&lt;/author&gt;&lt;author&gt;Pollefeys, Marc&lt;/author&gt;&lt;author&gt;Sivic, Josef&lt;/author&gt;&lt;/authors&gt;&lt;/contributors&gt;&lt;titles&gt;&lt;title&gt;Benchmarking 6dof outdoor visual localization in changing conditions&lt;/title&gt;&lt;secondary-title&gt;Proceedings of the IEEE conference on computer vision and pattern recognition&lt;/secondary-title&gt;&lt;/titles&gt;&lt;pages&gt;8601-8610&lt;/pages&gt;&lt;dates&gt;&lt;year&gt;2018&lt;/year&gt;&lt;/dates&gt;&lt;urls&gt;&lt;/urls&gt;&lt;/record&gt;&lt;/Cite&gt;&lt;Cite&gt;&lt;Author&gt;Warburg&lt;/Author&gt;&lt;Year&gt;2020&lt;/Year&gt;&lt;RecNum&gt;1355&lt;/RecNum&gt;&lt;record&gt;&lt;rec-number&gt;1355&lt;/rec-number&gt;&lt;foreign-keys&gt;&lt;key app="EN" db-id="dx50w9txmzwp0uex5r95r20sfz029raapfrf" timestamp="1776429883"&gt;1355&lt;/key&gt;&lt;/foreign-keys&gt;&lt;ref-type name="Conference Proceedings"&gt;10&lt;/ref-type&gt;&lt;contributors&gt;&lt;authors&gt;&lt;author&gt;Warburg, Frederik&lt;/author&gt;&lt;author&gt;Hauberg, Soren&lt;/author&gt;&lt;author&gt;Lopez-Antequera, Manuel&lt;/author&gt;&lt;author&gt;Gargallo, Pau&lt;/author&gt;&lt;author&gt;Kuang, Yubin&lt;/author&gt;&lt;author&gt;Civera, Javier&lt;/author&gt;&lt;/authors&gt;&lt;/contributors&gt;&lt;titles&gt;&lt;title&gt;Mapillary street-level sequences: A dataset for lifelong place recognition&lt;/title&gt;&lt;secondary-title&gt;Proceedings of the IEEE/CVF conference on computer vision and pattern recognition&lt;/secondary-title&gt;&lt;/titles&gt;&lt;pages&gt;2626-2635&lt;/pages&gt;&lt;dates&gt;&lt;year&gt;2020&lt;/year&gt;&lt;/dates&gt;&lt;urls&gt;&lt;/urls&gt;&lt;/record&gt;&lt;/Cite&gt;&lt;/EndNote&gt;</w:instrText>
      </w:r>
      <w:r w:rsidR="009E0C64">
        <w:fldChar w:fldCharType="separate"/>
      </w:r>
      <w:r w:rsidR="009E0C64">
        <w:rPr>
          <w:noProof/>
        </w:rPr>
        <w:t>(Sattler et al. 2018; Warburg et al. 2020)</w:t>
      </w:r>
      <w:r w:rsidR="009E0C64">
        <w:fldChar w:fldCharType="end"/>
      </w:r>
      <w:r w:rsidRPr="004157DF">
        <w:t>, under the assumption that local matching can filter out candidates that are globally similar but geometrically inconsistent.</w:t>
      </w:r>
    </w:p>
    <w:p w14:paraId="3CEB58CF" w14:textId="605759D0" w:rsidR="004157DF" w:rsidRPr="004157DF" w:rsidRDefault="004157DF" w:rsidP="00F14130">
      <w:pPr>
        <w:jc w:val="both"/>
      </w:pPr>
      <w:r w:rsidRPr="004157DF">
        <w:t xml:space="preserve">The most recent development relevant to this study is the emergence of visual foundation models — large self-supervised vision models pre-trained on broad data and adapted to a range of downstream tasks </w:t>
      </w:r>
      <w:r w:rsidR="00C70C8F">
        <w:fldChar w:fldCharType="begin"/>
      </w:r>
      <w:r w:rsidR="00C70C8F">
        <w:instrText xml:space="preserve"> ADDIN EN.CITE &lt;EndNote&gt;&lt;Cite&gt;&lt;Author&gt;Bommasani&lt;/Author&gt;&lt;Year&gt;2021&lt;/Year&gt;&lt;RecNum&gt;1362&lt;/RecNum&gt;&lt;DisplayText&gt;(Bommasani et al. 2021)&lt;/DisplayText&gt;&lt;record&gt;&lt;rec-number&gt;1362&lt;/rec-number&gt;&lt;foreign-keys&gt;&lt;key app="EN" db-id="dx50w9txmzwp0uex5r95r20sfz029raapfrf" timestamp="1776430466"&gt;1362&lt;/key&gt;&lt;/foreign-keys&gt;&lt;ref-type name="Journal Article"&gt;17&lt;/ref-type&gt;&lt;contributors&gt;&lt;authors&gt;&lt;author&gt;Bommasani, Rishi&lt;/author&gt;&lt;author&gt;Hudson, Drew A&lt;/author&gt;&lt;author&gt;Adeli, Ehsan&lt;/author&gt;&lt;author&gt;Altman, Russ&lt;/author&gt;&lt;author&gt;Arora, Simran&lt;/author&gt;&lt;author&gt;von Arx, Sydney&lt;/author&gt;&lt;author&gt;Bernstein, Michael S&lt;/author&gt;&lt;author&gt;Bohg, Jeannette&lt;/author&gt;&lt;author&gt;Bosselut, Antoine&lt;/author&gt;&lt;author&gt;Brunskill, Emma&lt;/author&gt;&lt;/authors&gt;&lt;/contributors&gt;&lt;titles&gt;&lt;title&gt;On the opportunities and risks of foundation models&lt;/title&gt;&lt;secondary-title&gt;arXiv preprint arXiv:2108.07258&lt;/secondary-title&gt;&lt;/titles&gt;&lt;periodical&gt;&lt;full-title&gt;arXiv preprint arXiv:2108.07258&lt;/full-title&gt;&lt;/periodical&gt;&lt;dates&gt;&lt;year&gt;2021&lt;/year&gt;&lt;/dates&gt;&lt;urls&gt;&lt;/urls&gt;&lt;/record&gt;&lt;/Cite&gt;&lt;/EndNote&gt;</w:instrText>
      </w:r>
      <w:r w:rsidR="00C70C8F">
        <w:fldChar w:fldCharType="separate"/>
      </w:r>
      <w:r w:rsidR="00C70C8F">
        <w:rPr>
          <w:noProof/>
        </w:rPr>
        <w:t>(Bommasani et al. 2021)</w:t>
      </w:r>
      <w:r w:rsidR="00C70C8F">
        <w:fldChar w:fldCharType="end"/>
      </w:r>
      <w:r w:rsidRPr="004157DF">
        <w:t xml:space="preserve">. The Vision Transformer architecture </w:t>
      </w:r>
      <w:r w:rsidR="00C70C8F">
        <w:fldChar w:fldCharType="begin"/>
      </w:r>
      <w:r w:rsidR="00C70C8F">
        <w:instrText xml:space="preserve"> ADDIN EN.CITE &lt;EndNote&gt;&lt;Cite&gt;&lt;Author&gt;Dosovitskiy&lt;/Author&gt;&lt;Year&gt;2020&lt;/Year&gt;&lt;RecNum&gt;1363&lt;/RecNum&gt;&lt;DisplayText&gt;(Dosovitskiy et al. 2020)&lt;/DisplayText&gt;&lt;record&gt;&lt;rec-number&gt;1363&lt;/rec-number&gt;&lt;foreign-keys&gt;&lt;key app="EN" db-id="dx50w9txmzwp0uex5r95r20sfz029raapfrf" timestamp="1776430495"&gt;1363&lt;/key&gt;&lt;/foreign-keys&gt;&lt;ref-type name="Journal Article"&gt;17&lt;/ref-type&gt;&lt;contributors&gt;&lt;authors&gt;&lt;author&gt;Dosovitskiy, Alexey&lt;/author&gt;&lt;author&gt;Beyer, Lucas&lt;/author&gt;&lt;author&gt;Kolesnikov, Alexander&lt;/author&gt;&lt;author&gt;Weissenborn, Dirk&lt;/author&gt;&lt;author&gt;Zhai, Xiaohua&lt;/author&gt;&lt;author&gt;Unterthiner, Thomas&lt;/author&gt;&lt;author&gt;Dehghani, Mostafa&lt;/author&gt;&lt;author&gt;Minderer, Matthias&lt;/author&gt;&lt;author&gt;Heigold, Georg&lt;/author&gt;&lt;author&gt;Gelly, Sylvain&lt;/author&gt;&lt;/authors&gt;&lt;/contributors&gt;&lt;titles&gt;&lt;title&gt;An image is worth 16x16 words: Transformers for image recognition at scale&lt;/title&gt;&lt;secondary-title&gt;arXiv preprint arXiv:2010.11929&lt;/secondary-title&gt;&lt;/titles&gt;&lt;periodical&gt;&lt;full-title&gt;arXiv preprint arXiv:2010.11929&lt;/full-title&gt;&lt;/periodical&gt;&lt;dates&gt;&lt;year&gt;2020&lt;/year&gt;&lt;/dates&gt;&lt;urls&gt;&lt;/urls&gt;&lt;/record&gt;&lt;/Cite&gt;&lt;/EndNote&gt;</w:instrText>
      </w:r>
      <w:r w:rsidR="00C70C8F">
        <w:fldChar w:fldCharType="separate"/>
      </w:r>
      <w:r w:rsidR="00C70C8F">
        <w:rPr>
          <w:noProof/>
        </w:rPr>
        <w:t>(Dosovitskiy et al. 2020)</w:t>
      </w:r>
      <w:r w:rsidR="00C70C8F">
        <w:fldChar w:fldCharType="end"/>
      </w:r>
      <w:r w:rsidRPr="004157DF">
        <w:t xml:space="preserve"> provides the backbone for most of these models, and DINOv2 </w:t>
      </w:r>
      <w:r w:rsidR="00C70C8F">
        <w:fldChar w:fldCharType="begin"/>
      </w:r>
      <w:r w:rsidR="00C70C8F">
        <w:instrText xml:space="preserve"> ADDIN EN.CITE &lt;EndNote&gt;&lt;Cite&gt;&lt;Author&gt;Oquab&lt;/Author&gt;&lt;Year&gt;2023&lt;/Year&gt;&lt;RecNum&gt;1353&lt;/RecNum&gt;&lt;DisplayText&gt;(Oquab et al. 2023)&lt;/DisplayText&gt;&lt;record&gt;&lt;rec-number&gt;1353&lt;/rec-number&gt;&lt;foreign-keys&gt;&lt;key app="EN" db-id="dx50w9txmzwp0uex5r95r20sfz029raapfrf" timestamp="1776429744"&gt;1353&lt;/key&gt;&lt;/foreign-keys&gt;&lt;ref-type name="Journal Article"&gt;17&lt;/ref-type&gt;&lt;contributors&gt;&lt;authors&gt;&lt;author&gt;Oquab, Maxime&lt;/author&gt;&lt;author&gt;Darcet, Timothée&lt;/author&gt;&lt;author&gt;Moutakanni, Théo&lt;/author&gt;&lt;author&gt;Vo, Huy&lt;/author&gt;&lt;author&gt;Szafraniec, Marc&lt;/author&gt;&lt;author&gt;Khalidov, Vasil&lt;/author&gt;&lt;author&gt;Fernandez, Pierre&lt;/author&gt;&lt;author&gt;Haziza, Daniel&lt;/author&gt;&lt;author&gt;Massa, Francisco&lt;/author&gt;&lt;author&gt;El-Nouby, Alaaeldin&lt;/author&gt;&lt;/authors&gt;&lt;/contributors&gt;&lt;titles&gt;&lt;title&gt;Dinov2: Learning robust visual features without supervision&lt;/title&gt;&lt;secondary-title&gt;arXiv preprint arXiv:2304.07193&lt;/secondary-title&gt;&lt;/titles&gt;&lt;periodical&gt;&lt;full-title&gt;arXiv preprint arXiv:2304.07193&lt;/full-title&gt;&lt;/periodical&gt;&lt;dates&gt;&lt;year&gt;2023&lt;/year&gt;&lt;/dates&gt;&lt;urls&gt;&lt;/urls&gt;&lt;/record&gt;&lt;/Cite&gt;&lt;/EndNote&gt;</w:instrText>
      </w:r>
      <w:r w:rsidR="00C70C8F">
        <w:fldChar w:fldCharType="separate"/>
      </w:r>
      <w:r w:rsidR="00C70C8F">
        <w:rPr>
          <w:noProof/>
        </w:rPr>
        <w:t>(Oquab et al. 2023)</w:t>
      </w:r>
      <w:r w:rsidR="00C70C8F">
        <w:fldChar w:fldCharType="end"/>
      </w:r>
      <w:r w:rsidRPr="004157DF">
        <w:t xml:space="preserve"> has recently been established as a particularly strong self-supervised vision backbone, delivering competitive or state-of-the-art results across classification, segmentation, depth estimation, and retrieval. A growing body of work shows that adapting DINOv2 to VPR via partial fine-tuning, adapters, or lightweight projection heads yields strong performance on standard benchmarks </w:t>
      </w:r>
      <w:r w:rsidR="00C70C8F">
        <w:fldChar w:fldCharType="begin"/>
      </w:r>
      <w:r w:rsidR="00C70C8F">
        <w:instrText xml:space="preserve"> ADDIN EN.CITE &lt;EndNote&gt;&lt;Cite&gt;&lt;Author&gt;Oquab&lt;/Author&gt;&lt;Year&gt;2023&lt;/Year&gt;&lt;RecNum&gt;1353&lt;/RecNum&gt;&lt;DisplayText&gt;(Berton et al. 2022; Oquab et al. 2023)&lt;/DisplayText&gt;&lt;record&gt;&lt;rec-number&gt;1353&lt;/rec-number&gt;&lt;foreign-keys&gt;&lt;key app="EN" db-id="dx50w9txmzwp0uex5r95r20sfz029raapfrf" timestamp="1776429744"&gt;1353&lt;/key&gt;&lt;/foreign-keys&gt;&lt;ref-type name="Journal Article"&gt;17&lt;/ref-type&gt;&lt;contributors&gt;&lt;authors&gt;&lt;author&gt;Oquab, Maxime&lt;/author&gt;&lt;author&gt;Darcet, Timothée&lt;/author&gt;&lt;author&gt;Moutakanni, Théo&lt;/author&gt;&lt;author&gt;Vo, Huy&lt;/author&gt;&lt;author&gt;Szafraniec, Marc&lt;/author&gt;&lt;author&gt;Khalidov, Vasil&lt;/author&gt;&lt;author&gt;Fernandez, Pierre&lt;/author&gt;&lt;author&gt;Haziza, Daniel&lt;/author&gt;&lt;author&gt;Massa, Francisco&lt;/author&gt;&lt;author&gt;El-Nouby, Alaaeldin&lt;/author&gt;&lt;/authors&gt;&lt;/contributors&gt;&lt;titles&gt;&lt;title&gt;Dinov2: Learning robust visual features without supervision&lt;/title&gt;&lt;secondary-title&gt;arXiv preprint arXiv:2304.07193&lt;/secondary-title&gt;&lt;/titles&gt;&lt;periodical&gt;&lt;full-title&gt;arXiv preprint arXiv:2304.07193&lt;/full-title&gt;&lt;/periodical&gt;&lt;dates&gt;&lt;year&gt;2023&lt;/year&gt;&lt;/dates&gt;&lt;urls&gt;&lt;/urls&gt;&lt;/record&gt;&lt;/Cite&gt;&lt;Cite&gt;&lt;Author&gt;Berton&lt;/Author&gt;&lt;Year&gt;2022&lt;/Year&gt;&lt;RecNum&gt;1352&lt;/RecNum&gt;&lt;record&gt;&lt;rec-number&gt;1352&lt;/rec-number&gt;&lt;foreign-keys&gt;&lt;key app="EN" db-id="dx50w9txmzwp0uex5r95r20sfz029raapfrf" timestamp="1776429643"&gt;1352&lt;/key&gt;&lt;/foreign-keys&gt;&lt;ref-type name="Conference Proceedings"&gt;10&lt;/ref-type&gt;&lt;contributors&gt;&lt;authors&gt;&lt;author&gt;Berton, Gabriele&lt;/author&gt;&lt;author&gt;Masone, Carlo&lt;/author&gt;&lt;author&gt;Caputo, Barbara&lt;/author&gt;&lt;/authors&gt;&lt;/contributors&gt;&lt;titles&gt;&lt;title&gt;Rethinking visual geo-localization for large-scale applications&lt;/title&gt;&lt;secondary-title&gt;Proceedings of the IEEE/CVF Conference on Computer Vision and Pattern Recognition&lt;/secondary-title&gt;&lt;/titles&gt;&lt;pages&gt;4878-4888&lt;/pages&gt;&lt;dates&gt;&lt;year&gt;2022&lt;/year&gt;&lt;/dates&gt;&lt;urls&gt;&lt;/urls&gt;&lt;/record&gt;&lt;/Cite&gt;&lt;/EndNote&gt;</w:instrText>
      </w:r>
      <w:r w:rsidR="00C70C8F">
        <w:fldChar w:fldCharType="separate"/>
      </w:r>
      <w:r w:rsidR="00C70C8F">
        <w:rPr>
          <w:noProof/>
        </w:rPr>
        <w:t>(Berton et al. 2022; Oquab et al. 2023)</w:t>
      </w:r>
      <w:r w:rsidR="00C70C8F">
        <w:fldChar w:fldCharType="end"/>
      </w:r>
      <w:r w:rsidRPr="004157DF">
        <w:t xml:space="preserve">. However, the question of how such adaptation behaves </w:t>
      </w:r>
      <w:proofErr w:type="gramStart"/>
      <w:r w:rsidRPr="004157DF">
        <w:t>on</w:t>
      </w:r>
      <w:proofErr w:type="gramEnd"/>
      <w:r w:rsidRPr="004157DF">
        <w:t xml:space="preserve"> small, architecturally homogeneous, non-Western cities — the setting of interest here — has received comparatively little attention.</w:t>
      </w:r>
    </w:p>
    <w:p w14:paraId="2BBAD817" w14:textId="0BCCB239" w:rsidR="004157DF" w:rsidRPr="004157DF" w:rsidRDefault="004157DF" w:rsidP="00F14130">
      <w:pPr>
        <w:jc w:val="both"/>
      </w:pPr>
      <w:r w:rsidRPr="004157DF">
        <w:t xml:space="preserve">Alongside accuracy, practical VPR deployments are constrained by compute and memory </w:t>
      </w:r>
      <w:r w:rsidR="00C70C8F">
        <w:fldChar w:fldCharType="begin"/>
      </w:r>
      <w:r w:rsidR="00C70C8F">
        <w:instrText xml:space="preserve"> ADDIN EN.CITE &lt;EndNote&gt;&lt;Cite&gt;&lt;Author&gt;Lowry&lt;/Author&gt;&lt;Year&gt;2015&lt;/Year&gt;&lt;RecNum&gt;1349&lt;/RecNum&gt;&lt;DisplayText&gt;(Lowry et al. 2015)&lt;/DisplayText&gt;&lt;record&gt;&lt;rec-number&gt;1349&lt;/rec-number&gt;&lt;foreign-keys&gt;&lt;key app="EN" db-id="dx50w9txmzwp0uex5r95r20sfz029raapfrf" timestamp="1776429317"&gt;1349&lt;/key&gt;&lt;/foreign-keys&gt;&lt;ref-type name="Journal Article"&gt;17&lt;/ref-type&gt;&lt;contributors&gt;&lt;authors&gt;&lt;author&gt;Lowry, Stephanie&lt;/author&gt;&lt;author&gt;Sünderhauf, Niko&lt;/author&gt;&lt;author&gt;Newman, Paul&lt;/author&gt;&lt;author&gt;Leonard, John J&lt;/author&gt;&lt;author&gt;Cox, David&lt;/author&gt;&lt;author&gt;Corke, Peter&lt;/author&gt;&lt;author&gt;Milford, Michael J&lt;/author&gt;&lt;/authors&gt;&lt;/contributors&gt;&lt;titles&gt;&lt;title&gt;Visual place recognition: A survey&lt;/title&gt;&lt;secondary-title&gt;ieee transactions on robotics&lt;/secondary-title&gt;&lt;/titles&gt;&lt;periodical&gt;&lt;full-title&gt;ieee transactions on robotics&lt;/full-title&gt;&lt;/periodical&gt;&lt;pages&gt;1-19&lt;/pages&gt;&lt;volume&gt;32&lt;/volume&gt;&lt;number&gt;1&lt;/number&gt;&lt;dates&gt;&lt;year&gt;2015&lt;/year&gt;&lt;/dates&gt;&lt;isbn&gt;1552-3098&lt;/isbn&gt;&lt;urls&gt;&lt;/urls&gt;&lt;/record&gt;&lt;/Cite&gt;&lt;/EndNote&gt;</w:instrText>
      </w:r>
      <w:r w:rsidR="00C70C8F">
        <w:fldChar w:fldCharType="separate"/>
      </w:r>
      <w:r w:rsidR="00C70C8F">
        <w:rPr>
          <w:noProof/>
        </w:rPr>
        <w:t>(Lowry et al. 2015)</w:t>
      </w:r>
      <w:r w:rsidR="00C70C8F">
        <w:fldChar w:fldCharType="end"/>
      </w:r>
      <w:r w:rsidRPr="004157DF">
        <w:t xml:space="preserve">, and a large body of work on parameter-efficient adaptation has emerged to address these constraints, including Low-Rank Adaptation </w:t>
      </w:r>
      <w:r w:rsidR="00C70C8F">
        <w:fldChar w:fldCharType="begin"/>
      </w:r>
      <w:r w:rsidR="00C70C8F">
        <w:instrText xml:space="preserve"> ADDIN EN.CITE &lt;EndNote&gt;&lt;Cite&gt;&lt;Author&gt;Hu&lt;/Author&gt;&lt;Year&gt;2022&lt;/Year&gt;&lt;RecNum&gt;1364&lt;/RecNum&gt;&lt;DisplayText&gt;(Hu et al. 2022)&lt;/DisplayText&gt;&lt;record&gt;&lt;rec-number&gt;1364&lt;/rec-number&gt;&lt;foreign-keys&gt;&lt;key app="EN" db-id="dx50w9txmzwp0uex5r95r20sfz029raapfrf" timestamp="1776430567"&gt;1364&lt;/key&gt;&lt;/foreign-keys&gt;&lt;ref-type name="Journal Article"&gt;17&lt;/ref-type&gt;&lt;contributors&gt;&lt;authors&gt;&lt;author&gt;Hu, Edward J&lt;/author&gt;&lt;author&gt;Shen, Yelong&lt;/author&gt;&lt;author&gt;Wallis, Phillip&lt;/author&gt;&lt;author&gt;Allen-Zhu, Zeyuan&lt;/author&gt;&lt;author&gt;Li, Yuanzhi&lt;/author&gt;&lt;author&gt;Wang, Shean&lt;/author&gt;&lt;author&gt;Wang, Liang&lt;/author&gt;&lt;author&gt;Chen, Weizhu&lt;/author&gt;&lt;/authors&gt;&lt;/contributors&gt;&lt;titles&gt;&lt;title&gt;Lora: Low-rank adaptation of large language models&lt;/title&gt;&lt;secondary-title&gt;Iclr&lt;/secondary-title&gt;&lt;/titles&gt;&lt;periodical&gt;&lt;full-title&gt;Iclr&lt;/full-title&gt;&lt;/periodical&gt;&lt;pages&gt;3&lt;/pages&gt;&lt;volume&gt;1&lt;/volume&gt;&lt;number&gt;2&lt;/number&gt;&lt;dates&gt;&lt;year&gt;2022&lt;/year&gt;&lt;/dates&gt;&lt;urls&gt;&lt;/urls&gt;&lt;/record&gt;&lt;/Cite&gt;&lt;/EndNote&gt;</w:instrText>
      </w:r>
      <w:r w:rsidR="00C70C8F">
        <w:fldChar w:fldCharType="separate"/>
      </w:r>
      <w:r w:rsidR="00C70C8F">
        <w:rPr>
          <w:noProof/>
        </w:rPr>
        <w:t>(Hu et al. 2022)</w:t>
      </w:r>
      <w:r w:rsidR="00C70C8F">
        <w:fldChar w:fldCharType="end"/>
      </w:r>
      <w:r w:rsidRPr="004157DF">
        <w:t xml:space="preserve"> and lightweight adapter modules. The trade-off between backbone capacity and deployment feasibility — studied here through a direct comparison of the </w:t>
      </w:r>
      <w:proofErr w:type="spellStart"/>
      <w:r w:rsidRPr="004157DF">
        <w:t>ViT</w:t>
      </w:r>
      <w:proofErr w:type="spellEnd"/>
      <w:r w:rsidRPr="004157DF">
        <w:t xml:space="preserve">-S/14 and </w:t>
      </w:r>
      <w:proofErr w:type="spellStart"/>
      <w:r w:rsidRPr="004157DF">
        <w:t>ViT</w:t>
      </w:r>
      <w:proofErr w:type="spellEnd"/>
      <w:r w:rsidRPr="004157DF">
        <w:t xml:space="preserve">-B/14 variants of DINOv2 — is therefore relevant both for production systems and for reducing the computational footprint of ongoing research. A parallel concern is the calibration of retrieval confidence, which remains poorly understood for deep models </w:t>
      </w:r>
      <w:r w:rsidR="00936835">
        <w:fldChar w:fldCharType="begin"/>
      </w:r>
      <w:r w:rsidR="00936835">
        <w:instrText xml:space="preserve"> ADDIN EN.CITE &lt;EndNote&gt;&lt;Cite&gt;&lt;Author&gt;Guo&lt;/Author&gt;&lt;Year&gt;2017&lt;/Year&gt;&lt;RecNum&gt;1365&lt;/RecNum&gt;&lt;DisplayText&gt;(Guo et al. 2017)&lt;/DisplayText&gt;&lt;record&gt;&lt;rec-number&gt;1365&lt;/rec-number&gt;&lt;foreign-keys&gt;&lt;key app="EN" db-id="dx50w9txmzwp0uex5r95r20sfz029raapfrf" timestamp="1776430648"&gt;1365&lt;/key&gt;&lt;/foreign-keys&gt;&lt;ref-type name="Conference Proceedings"&gt;10&lt;/ref-type&gt;&lt;contributors&gt;&lt;authors&gt;&lt;author&gt;Guo, Chuan&lt;/author&gt;&lt;author&gt;Pleiss, Geoff&lt;/author&gt;&lt;author&gt;Sun, Yu&lt;/author&gt;&lt;author&gt;Weinberger, Kilian Q&lt;/author&gt;&lt;/authors&gt;&lt;/contributors&gt;&lt;titles&gt;&lt;title&gt;On calibration of modern neural networks&lt;/title&gt;&lt;secondary-title&gt;International conference on machine learning&lt;/secondary-title&gt;&lt;/titles&gt;&lt;pages&gt;1321-1330&lt;/pages&gt;&lt;dates&gt;&lt;year&gt;2017&lt;/year&gt;&lt;/dates&gt;&lt;publisher&gt;PMLR&lt;/publisher&gt;&lt;isbn&gt;2640-3498&lt;/isbn&gt;&lt;urls&gt;&lt;/urls&gt;&lt;/record&gt;&lt;/Cite&gt;&lt;/EndNote&gt;</w:instrText>
      </w:r>
      <w:r w:rsidR="00936835">
        <w:fldChar w:fldCharType="separate"/>
      </w:r>
      <w:r w:rsidR="00936835">
        <w:rPr>
          <w:noProof/>
        </w:rPr>
        <w:t>(Guo et al. 2017)</w:t>
      </w:r>
      <w:r w:rsidR="00936835">
        <w:fldChar w:fldCharType="end"/>
      </w:r>
      <w:r w:rsidRPr="004157DF">
        <w:t xml:space="preserve"> and has direct implications for safety-critical deployment.</w:t>
      </w:r>
    </w:p>
    <w:p w14:paraId="4D93596E" w14:textId="77777777" w:rsidR="001956F4" w:rsidRDefault="001956F4"/>
    <w:p w14:paraId="330610B8" w14:textId="77777777" w:rsidR="001956F4" w:rsidRDefault="001956F4"/>
    <w:p w14:paraId="6A4FAFB1" w14:textId="6B8E0E4D" w:rsidR="001956F4" w:rsidRDefault="001956F4">
      <w:r>
        <w:t>Method</w:t>
      </w:r>
    </w:p>
    <w:p w14:paraId="78289E33" w14:textId="77777777" w:rsidR="00227E57" w:rsidRDefault="00227E57" w:rsidP="00227E57">
      <w:pPr>
        <w:pStyle w:val="Balk2"/>
        <w:spacing w:after="150"/>
      </w:pPr>
      <w:r>
        <w:rPr>
          <w:rFonts w:ascii="Times New Roman" w:eastAsia="Times New Roman" w:hAnsi="Times New Roman" w:cs="Times New Roman"/>
          <w:b/>
          <w:bCs/>
          <w:sz w:val="24"/>
          <w:szCs w:val="24"/>
        </w:rPr>
        <w:lastRenderedPageBreak/>
        <w:t>3.1. System Overview</w:t>
      </w:r>
    </w:p>
    <w:p w14:paraId="494A0556" w14:textId="42EC2195" w:rsidR="00227E57" w:rsidRDefault="00227E57" w:rsidP="00227E57">
      <w:pPr>
        <w:spacing w:after="12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This study proposes a two-stage Visual Place Recognition (VPR) system for the city center of </w:t>
      </w:r>
      <w:proofErr w:type="spellStart"/>
      <w:r>
        <w:rPr>
          <w:rFonts w:ascii="Times New Roman" w:eastAsia="Times New Roman" w:hAnsi="Times New Roman" w:cs="Times New Roman"/>
          <w:sz w:val="22"/>
          <w:szCs w:val="22"/>
        </w:rPr>
        <w:t>Kırşehir</w:t>
      </w:r>
      <w:proofErr w:type="spellEnd"/>
      <w:r>
        <w:rPr>
          <w:rFonts w:ascii="Times New Roman" w:eastAsia="Times New Roman" w:hAnsi="Times New Roman" w:cs="Times New Roman"/>
          <w:sz w:val="22"/>
          <w:szCs w:val="22"/>
        </w:rPr>
        <w:t xml:space="preserve">, Türkiye. The first stage is a retrieval module that extracts a global descriptor from a query image and performs vector search to obtain candidate locations. In this stage, the self-supervised vision foundation model DINOv2 </w:t>
      </w:r>
      <w:r w:rsidR="005554CD">
        <w:rPr>
          <w:rFonts w:ascii="Times New Roman" w:eastAsia="Times New Roman" w:hAnsi="Times New Roman" w:cs="Times New Roman"/>
          <w:sz w:val="22"/>
          <w:szCs w:val="22"/>
        </w:rPr>
        <w:fldChar w:fldCharType="begin"/>
      </w:r>
      <w:r w:rsidR="005554CD">
        <w:rPr>
          <w:rFonts w:ascii="Times New Roman" w:eastAsia="Times New Roman" w:hAnsi="Times New Roman" w:cs="Times New Roman"/>
          <w:sz w:val="22"/>
          <w:szCs w:val="22"/>
        </w:rPr>
        <w:instrText xml:space="preserve"> ADDIN EN.CITE &lt;EndNote&gt;&lt;Cite&gt;&lt;Author&gt;Oquab&lt;/Author&gt;&lt;Year&gt;2023&lt;/Year&gt;&lt;RecNum&gt;1353&lt;/RecNum&gt;&lt;DisplayText&gt;(Oquab et al. 2023)&lt;/DisplayText&gt;&lt;record&gt;&lt;rec-number&gt;1353&lt;/rec-number&gt;&lt;foreign-keys&gt;&lt;key app="EN" db-id="dx50w9txmzwp0uex5r95r20sfz029raapfrf" timestamp="1776429744"&gt;1353&lt;/key&gt;&lt;/foreign-keys&gt;&lt;ref-type name="Journal Article"&gt;17&lt;/ref-type&gt;&lt;contributors&gt;&lt;authors&gt;&lt;author&gt;Oquab, Maxime&lt;/author&gt;&lt;author&gt;Darcet, Timothée&lt;/author&gt;&lt;author&gt;Moutakanni, Théo&lt;/author&gt;&lt;author&gt;Vo, Huy&lt;/author&gt;&lt;author&gt;Szafraniec, Marc&lt;/author&gt;&lt;author&gt;Khalidov, Vasil&lt;/author&gt;&lt;author&gt;Fernandez, Pierre&lt;/author&gt;&lt;author&gt;Haziza, Daniel&lt;/author&gt;&lt;author&gt;Massa, Francisco&lt;/author&gt;&lt;author&gt;El-Nouby, Alaaeldin&lt;/author&gt;&lt;/authors&gt;&lt;/contributors&gt;&lt;titles&gt;&lt;title&gt;Dinov2: Learning robust visual features without supervision&lt;/title&gt;&lt;secondary-title&gt;arXiv preprint arXiv:2304.07193&lt;/secondary-title&gt;&lt;/titles&gt;&lt;periodical&gt;&lt;full-title&gt;arXiv preprint arXiv:2304.07193&lt;/full-title&gt;&lt;/periodical&gt;&lt;dates&gt;&lt;year&gt;2023&lt;/year&gt;&lt;/dates&gt;&lt;urls&gt;&lt;/urls&gt;&lt;/record&gt;&lt;/Cite&gt;&lt;/EndNote&gt;</w:instrText>
      </w:r>
      <w:r w:rsidR="005554CD">
        <w:rPr>
          <w:rFonts w:ascii="Times New Roman" w:eastAsia="Times New Roman" w:hAnsi="Times New Roman" w:cs="Times New Roman"/>
          <w:sz w:val="22"/>
          <w:szCs w:val="22"/>
        </w:rPr>
        <w:fldChar w:fldCharType="separate"/>
      </w:r>
      <w:r w:rsidR="005554CD">
        <w:rPr>
          <w:rFonts w:ascii="Times New Roman" w:eastAsia="Times New Roman" w:hAnsi="Times New Roman" w:cs="Times New Roman"/>
          <w:noProof/>
          <w:sz w:val="22"/>
          <w:szCs w:val="22"/>
        </w:rPr>
        <w:t>(Oquab et al. 2023)</w:t>
      </w:r>
      <w:r w:rsidR="005554CD">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xml:space="preserve"> is used as the backbone and is fine-tuned under a metric learning framework to capture the visual characteristics specific to </w:t>
      </w:r>
      <w:proofErr w:type="spellStart"/>
      <w:r>
        <w:rPr>
          <w:rFonts w:ascii="Times New Roman" w:eastAsia="Times New Roman" w:hAnsi="Times New Roman" w:cs="Times New Roman"/>
          <w:sz w:val="22"/>
          <w:szCs w:val="22"/>
        </w:rPr>
        <w:t>Kırşehir</w:t>
      </w:r>
      <w:proofErr w:type="spellEnd"/>
      <w:r>
        <w:rPr>
          <w:rFonts w:ascii="Times New Roman" w:eastAsia="Times New Roman" w:hAnsi="Times New Roman" w:cs="Times New Roman"/>
          <w:sz w:val="22"/>
          <w:szCs w:val="22"/>
        </w:rPr>
        <w:t xml:space="preserve">. The second stage is designed to re-rank the Top-N candidates returned by the first stage using the local feature matcher </w:t>
      </w:r>
      <w:proofErr w:type="spellStart"/>
      <w:r>
        <w:rPr>
          <w:rFonts w:ascii="Times New Roman" w:eastAsia="Times New Roman" w:hAnsi="Times New Roman" w:cs="Times New Roman"/>
          <w:sz w:val="22"/>
          <w:szCs w:val="22"/>
        </w:rPr>
        <w:t>LightGlue</w:t>
      </w:r>
      <w:proofErr w:type="spellEnd"/>
      <w:r>
        <w:rPr>
          <w:rFonts w:ascii="Times New Roman" w:eastAsia="Times New Roman" w:hAnsi="Times New Roman" w:cs="Times New Roman"/>
          <w:sz w:val="22"/>
          <w:szCs w:val="22"/>
        </w:rPr>
        <w:t xml:space="preserve"> </w:t>
      </w:r>
      <w:r w:rsidR="008C6A90">
        <w:rPr>
          <w:rFonts w:ascii="Times New Roman" w:eastAsia="Times New Roman" w:hAnsi="Times New Roman" w:cs="Times New Roman"/>
          <w:sz w:val="22"/>
          <w:szCs w:val="22"/>
        </w:rPr>
        <w:fldChar w:fldCharType="begin"/>
      </w:r>
      <w:r w:rsidR="008C6A90">
        <w:rPr>
          <w:rFonts w:ascii="Times New Roman" w:eastAsia="Times New Roman" w:hAnsi="Times New Roman" w:cs="Times New Roman"/>
          <w:sz w:val="22"/>
          <w:szCs w:val="22"/>
        </w:rPr>
        <w:instrText xml:space="preserve"> ADDIN EN.CITE &lt;EndNote&gt;&lt;Cite&gt;&lt;Author&gt;Lindenberger&lt;/Author&gt;&lt;Year&gt;2023&lt;/Year&gt;&lt;RecNum&gt;1360&lt;/RecNum&gt;&lt;DisplayText&gt;(Lindenberger et al. 2023)&lt;/DisplayText&gt;&lt;record&gt;&lt;rec-number&gt;1360&lt;/rec-number&gt;&lt;foreign-keys&gt;&lt;key app="EN" db-id="dx50w9txmzwp0uex5r95r20sfz029raapfrf" timestamp="1776430326"&gt;1360&lt;/key&gt;&lt;/foreign-keys&gt;&lt;ref-type name="Conference Proceedings"&gt;10&lt;/ref-type&gt;&lt;contributors&gt;&lt;authors&gt;&lt;author&gt;Lindenberger, Philipp&lt;/author&gt;&lt;author&gt;Sarlin, Paul-Edouard&lt;/author&gt;&lt;author&gt;Pollefeys, Marc&lt;/author&gt;&lt;/authors&gt;&lt;/contributors&gt;&lt;titles&gt;&lt;title&gt;Lightglue: Local feature matching at light speed&lt;/title&gt;&lt;secondary-title&gt;Proceedings of the IEEE/CVF international conference on computer vision&lt;/secondary-title&gt;&lt;/titles&gt;&lt;pages&gt;17627-17638&lt;/pages&gt;&lt;dates&gt;&lt;year&gt;2023&lt;/year&gt;&lt;/dates&gt;&lt;urls&gt;&lt;/urls&gt;&lt;/record&gt;&lt;/Cite&gt;&lt;/EndNote&gt;</w:instrText>
      </w:r>
      <w:r w:rsidR="008C6A90">
        <w:rPr>
          <w:rFonts w:ascii="Times New Roman" w:eastAsia="Times New Roman" w:hAnsi="Times New Roman" w:cs="Times New Roman"/>
          <w:sz w:val="22"/>
          <w:szCs w:val="22"/>
        </w:rPr>
        <w:fldChar w:fldCharType="separate"/>
      </w:r>
      <w:r w:rsidR="008C6A90">
        <w:rPr>
          <w:rFonts w:ascii="Times New Roman" w:eastAsia="Times New Roman" w:hAnsi="Times New Roman" w:cs="Times New Roman"/>
          <w:noProof/>
          <w:sz w:val="22"/>
          <w:szCs w:val="22"/>
        </w:rPr>
        <w:t>(Lindenberger et al. 2023)</w:t>
      </w:r>
      <w:r w:rsidR="008C6A90">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An overview of the proposed pipeline is shown in Figure 1.</w:t>
      </w:r>
    </w:p>
    <w:p w14:paraId="0C082D87" w14:textId="497C93A0" w:rsidR="007C0C22" w:rsidRPr="007C0C22" w:rsidRDefault="007C0C22" w:rsidP="00227E57">
      <w:pPr>
        <w:spacing w:after="120" w:line="360" w:lineRule="auto"/>
        <w:jc w:val="both"/>
        <w:rPr>
          <w:lang w:val="pt-PT"/>
        </w:rPr>
      </w:pPr>
      <w:r>
        <w:rPr>
          <w:noProof/>
          <w:lang w:val="pt-PT"/>
        </w:rPr>
        <w:drawing>
          <wp:inline distT="0" distB="0" distL="0" distR="0" wp14:anchorId="25FCA8C8" wp14:editId="769EE9CF">
            <wp:extent cx="5749925" cy="4201795"/>
            <wp:effectExtent l="0" t="0" r="3175" b="8255"/>
            <wp:docPr id="45427661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49925" cy="4201795"/>
                    </a:xfrm>
                    <a:prstGeom prst="rect">
                      <a:avLst/>
                    </a:prstGeom>
                    <a:noFill/>
                    <a:ln>
                      <a:noFill/>
                    </a:ln>
                  </pic:spPr>
                </pic:pic>
              </a:graphicData>
            </a:graphic>
          </wp:inline>
        </w:drawing>
      </w:r>
    </w:p>
    <w:p w14:paraId="2F9D2071" w14:textId="77777777" w:rsidR="00227E57" w:rsidRDefault="00227E57" w:rsidP="00227E57">
      <w:pPr>
        <w:spacing w:before="120" w:after="240"/>
        <w:jc w:val="center"/>
      </w:pPr>
      <w:r>
        <w:rPr>
          <w:rFonts w:ascii="Times New Roman" w:eastAsia="Times New Roman" w:hAnsi="Times New Roman" w:cs="Times New Roman"/>
          <w:i/>
          <w:iCs/>
          <w:sz w:val="20"/>
          <w:szCs w:val="20"/>
        </w:rPr>
        <w:t xml:space="preserve">Figure 1. Overall pipeline of the proposed two-stage VPR system. Stage 1: DINOv2-based global descriptor extraction followed by FAISS-based </w:t>
      </w:r>
      <w:proofErr w:type="gramStart"/>
      <w:r>
        <w:rPr>
          <w:rFonts w:ascii="Times New Roman" w:eastAsia="Times New Roman" w:hAnsi="Times New Roman" w:cs="Times New Roman"/>
          <w:i/>
          <w:iCs/>
          <w:sz w:val="20"/>
          <w:szCs w:val="20"/>
        </w:rPr>
        <w:t>Top-K</w:t>
      </w:r>
      <w:proofErr w:type="gramEnd"/>
      <w:r>
        <w:rPr>
          <w:rFonts w:ascii="Times New Roman" w:eastAsia="Times New Roman" w:hAnsi="Times New Roman" w:cs="Times New Roman"/>
          <w:i/>
          <w:iCs/>
          <w:sz w:val="20"/>
          <w:szCs w:val="20"/>
        </w:rPr>
        <w:t xml:space="preserve"> retrieval. Stage 2: Local feature matching-based re-ranking with </w:t>
      </w:r>
      <w:proofErr w:type="spellStart"/>
      <w:r>
        <w:rPr>
          <w:rFonts w:ascii="Times New Roman" w:eastAsia="Times New Roman" w:hAnsi="Times New Roman" w:cs="Times New Roman"/>
          <w:i/>
          <w:iCs/>
          <w:sz w:val="20"/>
          <w:szCs w:val="20"/>
        </w:rPr>
        <w:t>LightGlue</w:t>
      </w:r>
      <w:proofErr w:type="spellEnd"/>
      <w:r>
        <w:rPr>
          <w:rFonts w:ascii="Times New Roman" w:eastAsia="Times New Roman" w:hAnsi="Times New Roman" w:cs="Times New Roman"/>
          <w:i/>
          <w:iCs/>
          <w:sz w:val="20"/>
          <w:szCs w:val="20"/>
        </w:rPr>
        <w:t>.</w:t>
      </w:r>
    </w:p>
    <w:p w14:paraId="39F2648B" w14:textId="77777777" w:rsidR="00227E57" w:rsidRDefault="00227E57" w:rsidP="00227E57">
      <w:pPr>
        <w:pStyle w:val="Balk2"/>
        <w:spacing w:after="150"/>
      </w:pPr>
      <w:r>
        <w:rPr>
          <w:rFonts w:ascii="Times New Roman" w:eastAsia="Times New Roman" w:hAnsi="Times New Roman" w:cs="Times New Roman"/>
          <w:b/>
          <w:bCs/>
          <w:sz w:val="24"/>
          <w:szCs w:val="24"/>
        </w:rPr>
        <w:t>3.2. Dataset</w:t>
      </w:r>
    </w:p>
    <w:p w14:paraId="23080C01" w14:textId="77777777" w:rsidR="00227E57" w:rsidRDefault="00227E57" w:rsidP="00227E57">
      <w:pPr>
        <w:pStyle w:val="Balk3"/>
      </w:pPr>
      <w:r>
        <w:rPr>
          <w:rFonts w:ascii="Times New Roman" w:eastAsia="Times New Roman" w:hAnsi="Times New Roman" w:cs="Times New Roman"/>
          <w:b/>
          <w:bCs/>
          <w:i/>
          <w:iCs/>
          <w:sz w:val="22"/>
          <w:szCs w:val="22"/>
        </w:rPr>
        <w:t>3.2.1. Data Collection</w:t>
      </w:r>
    </w:p>
    <w:p w14:paraId="06C13E3C" w14:textId="77777777" w:rsidR="00227E57" w:rsidRDefault="00227E57" w:rsidP="00227E57">
      <w:pPr>
        <w:spacing w:after="12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dataset used in this study was constructed from the city center of </w:t>
      </w:r>
      <w:proofErr w:type="spellStart"/>
      <w:r>
        <w:rPr>
          <w:rFonts w:ascii="Times New Roman" w:eastAsia="Times New Roman" w:hAnsi="Times New Roman" w:cs="Times New Roman"/>
          <w:sz w:val="22"/>
          <w:szCs w:val="22"/>
        </w:rPr>
        <w:t>Kırşehir</w:t>
      </w:r>
      <w:proofErr w:type="spellEnd"/>
      <w:r>
        <w:rPr>
          <w:rFonts w:ascii="Times New Roman" w:eastAsia="Times New Roman" w:hAnsi="Times New Roman" w:cs="Times New Roman"/>
          <w:sz w:val="22"/>
          <w:szCs w:val="22"/>
        </w:rPr>
        <w:t xml:space="preserve"> using the Google Street View API. During acquisition, the street network was sampled at approximately 50-meter intervals, and at each sampled point four images were obtained corresponding to the four cardinal headings (North, 0°; East, 90°; South, 180°; West, 270°). Each image filename was structured to encode the geographic coordinates (latitude and longitude) and the heading angle, yielding a directly retrievable location label </w:t>
      </w:r>
      <w:r>
        <w:rPr>
          <w:rFonts w:ascii="Times New Roman" w:eastAsia="Times New Roman" w:hAnsi="Times New Roman" w:cs="Times New Roman"/>
          <w:sz w:val="22"/>
          <w:szCs w:val="22"/>
        </w:rPr>
        <w:lastRenderedPageBreak/>
        <w:t>for every image. The resulting dataset covers 6,555 unique geographic points distributed across 654 distinct streets/avenues. The image resolution is fixed at 640 × 640 pixels. The spatial coverage is approximately 28.80 km² (6.10 km north–south and 4.72 km east–west). The geographic distribution of the dataset is shown in Figure 2.</w:t>
      </w:r>
    </w:p>
    <w:p w14:paraId="59D9ECB0" w14:textId="18AD254E" w:rsidR="00B1054A" w:rsidRDefault="000707F2" w:rsidP="00227E57">
      <w:pPr>
        <w:spacing w:after="120" w:line="360" w:lineRule="auto"/>
        <w:jc w:val="both"/>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0" distB="0" distL="0" distR="0" wp14:anchorId="4952795D" wp14:editId="79500A81">
            <wp:extent cx="5744210" cy="2614295"/>
            <wp:effectExtent l="0" t="0" r="8890" b="0"/>
            <wp:docPr id="12234236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44210" cy="2614295"/>
                    </a:xfrm>
                    <a:prstGeom prst="rect">
                      <a:avLst/>
                    </a:prstGeom>
                    <a:noFill/>
                    <a:ln>
                      <a:noFill/>
                    </a:ln>
                  </pic:spPr>
                </pic:pic>
              </a:graphicData>
            </a:graphic>
          </wp:inline>
        </w:drawing>
      </w:r>
    </w:p>
    <w:p w14:paraId="657EE16F" w14:textId="77777777" w:rsidR="00227E57" w:rsidRDefault="00227E57" w:rsidP="00227E57">
      <w:pPr>
        <w:spacing w:before="120" w:after="240"/>
        <w:jc w:val="center"/>
      </w:pPr>
      <w:r>
        <w:rPr>
          <w:rFonts w:ascii="Times New Roman" w:eastAsia="Times New Roman" w:hAnsi="Times New Roman" w:cs="Times New Roman"/>
          <w:i/>
          <w:iCs/>
          <w:sz w:val="20"/>
          <w:szCs w:val="20"/>
        </w:rPr>
        <w:t xml:space="preserve">Figure 2. Geographic distribution of the </w:t>
      </w:r>
      <w:proofErr w:type="spellStart"/>
      <w:r>
        <w:rPr>
          <w:rFonts w:ascii="Times New Roman" w:eastAsia="Times New Roman" w:hAnsi="Times New Roman" w:cs="Times New Roman"/>
          <w:i/>
          <w:iCs/>
          <w:sz w:val="20"/>
          <w:szCs w:val="20"/>
        </w:rPr>
        <w:t>Kırşehir</w:t>
      </w:r>
      <w:proofErr w:type="spellEnd"/>
      <w:r>
        <w:rPr>
          <w:rFonts w:ascii="Times New Roman" w:eastAsia="Times New Roman" w:hAnsi="Times New Roman" w:cs="Times New Roman"/>
          <w:i/>
          <w:iCs/>
          <w:sz w:val="20"/>
          <w:szCs w:val="20"/>
        </w:rPr>
        <w:t xml:space="preserve"> VPR dataset. The left panel illustrates the grid-based train/test split (train in blue, test in red); the right panel shows the per-street image density across the city.</w:t>
      </w:r>
    </w:p>
    <w:p w14:paraId="4F9B5782" w14:textId="77777777" w:rsidR="00227E57" w:rsidRDefault="00227E57" w:rsidP="00227E57">
      <w:pPr>
        <w:pStyle w:val="Balk3"/>
      </w:pPr>
      <w:r>
        <w:rPr>
          <w:rFonts w:ascii="Times New Roman" w:eastAsia="Times New Roman" w:hAnsi="Times New Roman" w:cs="Times New Roman"/>
          <w:b/>
          <w:bCs/>
          <w:i/>
          <w:iCs/>
          <w:sz w:val="22"/>
          <w:szCs w:val="22"/>
        </w:rPr>
        <w:t>3.2.2. Train/Test Split</w:t>
      </w:r>
    </w:p>
    <w:p w14:paraId="1578FD8E" w14:textId="77777777" w:rsidR="00227E57" w:rsidRDefault="00227E57" w:rsidP="00227E57">
      <w:pPr>
        <w:spacing w:after="120" w:line="360" w:lineRule="auto"/>
        <w:jc w:val="both"/>
      </w:pPr>
      <w:r>
        <w:rPr>
          <w:rFonts w:ascii="Times New Roman" w:eastAsia="Times New Roman" w:hAnsi="Times New Roman" w:cs="Times New Roman"/>
          <w:sz w:val="22"/>
          <w:szCs w:val="22"/>
        </w:rPr>
        <w:t>To eliminate the data leakage risk commonly encountered in VPR studies, images were partitioned into training and test sets using a geographic block-based (grid-based) scheme rather than random sampling. Each image was assigned to a grid cell of 0.002° side length (approximately 222 m). Of the 444 resulting grid blocks, 70% (310 blocks) were assigned to training and 30% (134 blocks) to testing. To ensure reproducibility, the assignment was performed with a fixed random seed (seed = 42). This strategy guarantees that the model is evaluated on geographic regions it has never seen during training.</w:t>
      </w:r>
    </w:p>
    <w:p w14:paraId="5DA3F691" w14:textId="77777777" w:rsidR="00227E57" w:rsidRDefault="00227E57" w:rsidP="00227E57">
      <w:pPr>
        <w:spacing w:after="120" w:line="360" w:lineRule="auto"/>
        <w:jc w:val="both"/>
      </w:pPr>
      <w:r>
        <w:rPr>
          <w:rFonts w:ascii="Times New Roman" w:eastAsia="Times New Roman" w:hAnsi="Times New Roman" w:cs="Times New Roman"/>
          <w:sz w:val="22"/>
          <w:szCs w:val="22"/>
        </w:rPr>
        <w:t>Within the test set, a realistic VPR scenario was emulated by separating, at each coordinate point, the last recorded heading as the query and the remaining headings as database (DB) entries. The model is therefore required to retrieve a single-</w:t>
      </w:r>
      <w:proofErr w:type="gramStart"/>
      <w:r>
        <w:rPr>
          <w:rFonts w:ascii="Times New Roman" w:eastAsia="Times New Roman" w:hAnsi="Times New Roman" w:cs="Times New Roman"/>
          <w:sz w:val="22"/>
          <w:szCs w:val="22"/>
        </w:rPr>
        <w:t>heading</w:t>
      </w:r>
      <w:proofErr w:type="gramEnd"/>
      <w:r>
        <w:rPr>
          <w:rFonts w:ascii="Times New Roman" w:eastAsia="Times New Roman" w:hAnsi="Times New Roman" w:cs="Times New Roman"/>
          <w:sz w:val="22"/>
          <w:szCs w:val="22"/>
        </w:rPr>
        <w:t xml:space="preserve"> query against DB images taken at different headings of the same location. Points with fewer than two images were excluded from evaluation. After these operations, the final dataset consists of 18,140 training, 6,060 DB, and 2,020 query images. A summary of dataset statistics is provided in Table 1.</w:t>
      </w:r>
    </w:p>
    <w:p w14:paraId="76370B8A" w14:textId="77777777" w:rsidR="00227E57" w:rsidRDefault="00227E57" w:rsidP="00227E57">
      <w:pPr>
        <w:spacing w:before="120" w:after="240"/>
        <w:jc w:val="center"/>
      </w:pPr>
      <w:r>
        <w:rPr>
          <w:rFonts w:ascii="Times New Roman" w:eastAsia="Times New Roman" w:hAnsi="Times New Roman" w:cs="Times New Roman"/>
          <w:i/>
          <w:iCs/>
          <w:sz w:val="20"/>
          <w:szCs w:val="20"/>
        </w:rPr>
        <w:t xml:space="preserve">Table 1. Summary statistics of the </w:t>
      </w:r>
      <w:proofErr w:type="spellStart"/>
      <w:r>
        <w:rPr>
          <w:rFonts w:ascii="Times New Roman" w:eastAsia="Times New Roman" w:hAnsi="Times New Roman" w:cs="Times New Roman"/>
          <w:i/>
          <w:iCs/>
          <w:sz w:val="20"/>
          <w:szCs w:val="20"/>
        </w:rPr>
        <w:t>Kırşehir</w:t>
      </w:r>
      <w:proofErr w:type="spellEnd"/>
      <w:r>
        <w:rPr>
          <w:rFonts w:ascii="Times New Roman" w:eastAsia="Times New Roman" w:hAnsi="Times New Roman" w:cs="Times New Roman"/>
          <w:i/>
          <w:iCs/>
          <w:sz w:val="20"/>
          <w:szCs w:val="20"/>
        </w:rPr>
        <w:t xml:space="preserve"> VPR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600"/>
      </w:tblGrid>
      <w:tr w:rsidR="00227E57" w14:paraId="7313BBE6" w14:textId="77777777" w:rsidTr="0017460A">
        <w:tc>
          <w:tcPr>
            <w:tcW w:w="54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8C2986E" w14:textId="77777777" w:rsidR="00227E57" w:rsidRDefault="00227E57" w:rsidP="005D5DC6">
            <w:pPr>
              <w:spacing w:after="0" w:line="240" w:lineRule="auto"/>
            </w:pPr>
            <w:r>
              <w:rPr>
                <w:rFonts w:ascii="Times New Roman" w:eastAsia="Times New Roman" w:hAnsi="Times New Roman" w:cs="Times New Roman"/>
                <w:b/>
                <w:bCs/>
                <w:sz w:val="20"/>
                <w:szCs w:val="20"/>
              </w:rPr>
              <w:t>Property</w:t>
            </w:r>
          </w:p>
        </w:tc>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C5E9200" w14:textId="77777777" w:rsidR="00227E57" w:rsidRDefault="00227E57" w:rsidP="005D5DC6">
            <w:pPr>
              <w:spacing w:after="0" w:line="240" w:lineRule="auto"/>
              <w:jc w:val="center"/>
            </w:pPr>
            <w:r>
              <w:rPr>
                <w:rFonts w:ascii="Times New Roman" w:eastAsia="Times New Roman" w:hAnsi="Times New Roman" w:cs="Times New Roman"/>
                <w:b/>
                <w:bCs/>
                <w:sz w:val="20"/>
                <w:szCs w:val="20"/>
              </w:rPr>
              <w:t>Value</w:t>
            </w:r>
          </w:p>
        </w:tc>
      </w:tr>
      <w:tr w:rsidR="00227E57" w14:paraId="1FE58A99" w14:textId="77777777" w:rsidTr="0017460A">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1C65B5" w14:textId="77777777" w:rsidR="00227E57" w:rsidRDefault="00227E57" w:rsidP="005D5DC6">
            <w:pPr>
              <w:spacing w:after="0" w:line="240" w:lineRule="auto"/>
            </w:pPr>
            <w:r>
              <w:rPr>
                <w:rFonts w:ascii="Times New Roman" w:eastAsia="Times New Roman" w:hAnsi="Times New Roman" w:cs="Times New Roman"/>
                <w:sz w:val="20"/>
                <w:szCs w:val="20"/>
              </w:rPr>
              <w:t>Total number of images</w:t>
            </w:r>
          </w:p>
        </w:tc>
        <w:tc>
          <w:tcPr>
            <w:tcW w:w="3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76B408" w14:textId="77777777" w:rsidR="00227E57" w:rsidRDefault="00227E57" w:rsidP="005D5DC6">
            <w:pPr>
              <w:spacing w:after="0" w:line="240" w:lineRule="auto"/>
              <w:jc w:val="center"/>
            </w:pPr>
            <w:r>
              <w:rPr>
                <w:rFonts w:ascii="Times New Roman" w:eastAsia="Times New Roman" w:hAnsi="Times New Roman" w:cs="Times New Roman"/>
                <w:sz w:val="20"/>
                <w:szCs w:val="20"/>
              </w:rPr>
              <w:t>26,220</w:t>
            </w:r>
          </w:p>
        </w:tc>
      </w:tr>
      <w:tr w:rsidR="00227E57" w14:paraId="0902BD4A" w14:textId="77777777" w:rsidTr="0017460A">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402D471" w14:textId="77777777" w:rsidR="00227E57" w:rsidRDefault="00227E57" w:rsidP="005D5DC6">
            <w:pPr>
              <w:spacing w:after="0" w:line="240" w:lineRule="auto"/>
            </w:pPr>
            <w:r>
              <w:rPr>
                <w:rFonts w:ascii="Times New Roman" w:eastAsia="Times New Roman" w:hAnsi="Times New Roman" w:cs="Times New Roman"/>
                <w:sz w:val="20"/>
                <w:szCs w:val="20"/>
              </w:rPr>
              <w:t>Unique geographic points</w:t>
            </w:r>
          </w:p>
        </w:tc>
        <w:tc>
          <w:tcPr>
            <w:tcW w:w="3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9CCA1E" w14:textId="77777777" w:rsidR="00227E57" w:rsidRDefault="00227E57" w:rsidP="005D5DC6">
            <w:pPr>
              <w:spacing w:after="0" w:line="240" w:lineRule="auto"/>
              <w:jc w:val="center"/>
            </w:pPr>
            <w:r>
              <w:rPr>
                <w:rFonts w:ascii="Times New Roman" w:eastAsia="Times New Roman" w:hAnsi="Times New Roman" w:cs="Times New Roman"/>
                <w:sz w:val="20"/>
                <w:szCs w:val="20"/>
              </w:rPr>
              <w:t>6,555</w:t>
            </w:r>
          </w:p>
        </w:tc>
      </w:tr>
      <w:tr w:rsidR="00227E57" w14:paraId="5B08302F" w14:textId="77777777" w:rsidTr="0017460A">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2471EF" w14:textId="77777777" w:rsidR="00227E57" w:rsidRDefault="00227E57" w:rsidP="005D5DC6">
            <w:pPr>
              <w:spacing w:after="0" w:line="240" w:lineRule="auto"/>
            </w:pPr>
            <w:r>
              <w:rPr>
                <w:rFonts w:ascii="Times New Roman" w:eastAsia="Times New Roman" w:hAnsi="Times New Roman" w:cs="Times New Roman"/>
                <w:sz w:val="20"/>
                <w:szCs w:val="20"/>
              </w:rPr>
              <w:lastRenderedPageBreak/>
              <w:t>Unique streets/avenues</w:t>
            </w:r>
          </w:p>
        </w:tc>
        <w:tc>
          <w:tcPr>
            <w:tcW w:w="3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33C48E" w14:textId="77777777" w:rsidR="00227E57" w:rsidRDefault="00227E57" w:rsidP="005D5DC6">
            <w:pPr>
              <w:spacing w:after="0" w:line="240" w:lineRule="auto"/>
              <w:jc w:val="center"/>
            </w:pPr>
            <w:r>
              <w:rPr>
                <w:rFonts w:ascii="Times New Roman" w:eastAsia="Times New Roman" w:hAnsi="Times New Roman" w:cs="Times New Roman"/>
                <w:sz w:val="20"/>
                <w:szCs w:val="20"/>
              </w:rPr>
              <w:t>654</w:t>
            </w:r>
          </w:p>
        </w:tc>
      </w:tr>
      <w:tr w:rsidR="00227E57" w14:paraId="3DC359F4" w14:textId="77777777" w:rsidTr="0017460A">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2D688B" w14:textId="77777777" w:rsidR="00227E57" w:rsidRDefault="00227E57" w:rsidP="005D5DC6">
            <w:pPr>
              <w:spacing w:after="0" w:line="240" w:lineRule="auto"/>
            </w:pPr>
            <w:r>
              <w:rPr>
                <w:rFonts w:ascii="Times New Roman" w:eastAsia="Times New Roman" w:hAnsi="Times New Roman" w:cs="Times New Roman"/>
                <w:sz w:val="20"/>
                <w:szCs w:val="20"/>
              </w:rPr>
              <w:t>Images per point (N/E/S/W)</w:t>
            </w:r>
          </w:p>
        </w:tc>
        <w:tc>
          <w:tcPr>
            <w:tcW w:w="3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1084CC" w14:textId="77777777" w:rsidR="00227E57" w:rsidRDefault="00227E57" w:rsidP="005D5DC6">
            <w:pPr>
              <w:spacing w:after="0" w:line="240" w:lineRule="auto"/>
              <w:jc w:val="center"/>
            </w:pPr>
            <w:r>
              <w:rPr>
                <w:rFonts w:ascii="Times New Roman" w:eastAsia="Times New Roman" w:hAnsi="Times New Roman" w:cs="Times New Roman"/>
                <w:sz w:val="20"/>
                <w:szCs w:val="20"/>
              </w:rPr>
              <w:t>4</w:t>
            </w:r>
          </w:p>
        </w:tc>
      </w:tr>
      <w:tr w:rsidR="00227E57" w14:paraId="1F63E321" w14:textId="77777777" w:rsidTr="0017460A">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5EC94D" w14:textId="77777777" w:rsidR="00227E57" w:rsidRDefault="00227E57" w:rsidP="005D5DC6">
            <w:pPr>
              <w:spacing w:after="0" w:line="240" w:lineRule="auto"/>
            </w:pPr>
            <w:r>
              <w:rPr>
                <w:rFonts w:ascii="Times New Roman" w:eastAsia="Times New Roman" w:hAnsi="Times New Roman" w:cs="Times New Roman"/>
                <w:sz w:val="20"/>
                <w:szCs w:val="20"/>
              </w:rPr>
              <w:t>Image resolution</w:t>
            </w:r>
          </w:p>
        </w:tc>
        <w:tc>
          <w:tcPr>
            <w:tcW w:w="3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5D3269" w14:textId="77777777" w:rsidR="00227E57" w:rsidRDefault="00227E57" w:rsidP="005D5DC6">
            <w:pPr>
              <w:spacing w:after="0" w:line="240" w:lineRule="auto"/>
              <w:jc w:val="center"/>
            </w:pPr>
            <w:r>
              <w:rPr>
                <w:rFonts w:ascii="Times New Roman" w:eastAsia="Times New Roman" w:hAnsi="Times New Roman" w:cs="Times New Roman"/>
                <w:sz w:val="20"/>
                <w:szCs w:val="20"/>
              </w:rPr>
              <w:t>640 × 640 pixels</w:t>
            </w:r>
          </w:p>
        </w:tc>
      </w:tr>
      <w:tr w:rsidR="00227E57" w14:paraId="789FCA9E" w14:textId="77777777" w:rsidTr="0017460A">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0D1B90" w14:textId="77777777" w:rsidR="00227E57" w:rsidRDefault="00227E57" w:rsidP="005D5DC6">
            <w:pPr>
              <w:spacing w:after="0" w:line="240" w:lineRule="auto"/>
            </w:pPr>
            <w:r>
              <w:rPr>
                <w:rFonts w:ascii="Times New Roman" w:eastAsia="Times New Roman" w:hAnsi="Times New Roman" w:cs="Times New Roman"/>
                <w:sz w:val="20"/>
                <w:szCs w:val="20"/>
              </w:rPr>
              <w:t>North–south coverage</w:t>
            </w:r>
          </w:p>
        </w:tc>
        <w:tc>
          <w:tcPr>
            <w:tcW w:w="3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E75474" w14:textId="77777777" w:rsidR="00227E57" w:rsidRDefault="00227E57" w:rsidP="005D5DC6">
            <w:pPr>
              <w:spacing w:after="0" w:line="240" w:lineRule="auto"/>
              <w:jc w:val="center"/>
            </w:pPr>
            <w:r>
              <w:rPr>
                <w:rFonts w:ascii="Times New Roman" w:eastAsia="Times New Roman" w:hAnsi="Times New Roman" w:cs="Times New Roman"/>
                <w:sz w:val="20"/>
                <w:szCs w:val="20"/>
              </w:rPr>
              <w:t>6.10 km</w:t>
            </w:r>
          </w:p>
        </w:tc>
      </w:tr>
      <w:tr w:rsidR="00227E57" w14:paraId="537D904B" w14:textId="77777777" w:rsidTr="0017460A">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2CFF7E" w14:textId="77777777" w:rsidR="00227E57" w:rsidRDefault="00227E57" w:rsidP="005D5DC6">
            <w:pPr>
              <w:spacing w:after="0" w:line="240" w:lineRule="auto"/>
            </w:pPr>
            <w:r>
              <w:rPr>
                <w:rFonts w:ascii="Times New Roman" w:eastAsia="Times New Roman" w:hAnsi="Times New Roman" w:cs="Times New Roman"/>
                <w:sz w:val="20"/>
                <w:szCs w:val="20"/>
              </w:rPr>
              <w:t>East–west coverage</w:t>
            </w:r>
          </w:p>
        </w:tc>
        <w:tc>
          <w:tcPr>
            <w:tcW w:w="3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52546C" w14:textId="77777777" w:rsidR="00227E57" w:rsidRDefault="00227E57" w:rsidP="005D5DC6">
            <w:pPr>
              <w:spacing w:after="0" w:line="240" w:lineRule="auto"/>
              <w:jc w:val="center"/>
            </w:pPr>
            <w:r>
              <w:rPr>
                <w:rFonts w:ascii="Times New Roman" w:eastAsia="Times New Roman" w:hAnsi="Times New Roman" w:cs="Times New Roman"/>
                <w:sz w:val="20"/>
                <w:szCs w:val="20"/>
              </w:rPr>
              <w:t>4.72 km</w:t>
            </w:r>
          </w:p>
        </w:tc>
      </w:tr>
      <w:tr w:rsidR="00227E57" w14:paraId="46524DB1" w14:textId="77777777" w:rsidTr="0017460A">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157E04" w14:textId="77777777" w:rsidR="00227E57" w:rsidRDefault="00227E57" w:rsidP="005D5DC6">
            <w:pPr>
              <w:spacing w:after="0" w:line="240" w:lineRule="auto"/>
            </w:pPr>
            <w:r>
              <w:rPr>
                <w:rFonts w:ascii="Times New Roman" w:eastAsia="Times New Roman" w:hAnsi="Times New Roman" w:cs="Times New Roman"/>
                <w:sz w:val="20"/>
                <w:szCs w:val="20"/>
              </w:rPr>
              <w:t>Approximate covered area</w:t>
            </w:r>
          </w:p>
        </w:tc>
        <w:tc>
          <w:tcPr>
            <w:tcW w:w="3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902117" w14:textId="77777777" w:rsidR="00227E57" w:rsidRDefault="00227E57" w:rsidP="005D5DC6">
            <w:pPr>
              <w:spacing w:after="0" w:line="240" w:lineRule="auto"/>
              <w:jc w:val="center"/>
            </w:pPr>
            <w:r>
              <w:rPr>
                <w:rFonts w:ascii="Times New Roman" w:eastAsia="Times New Roman" w:hAnsi="Times New Roman" w:cs="Times New Roman"/>
                <w:sz w:val="20"/>
                <w:szCs w:val="20"/>
              </w:rPr>
              <w:t>28.80 km²</w:t>
            </w:r>
          </w:p>
        </w:tc>
      </w:tr>
      <w:tr w:rsidR="00227E57" w14:paraId="711085BD" w14:textId="77777777" w:rsidTr="0017460A">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7B4D13" w14:textId="77777777" w:rsidR="00227E57" w:rsidRDefault="00227E57" w:rsidP="005D5DC6">
            <w:pPr>
              <w:spacing w:after="0" w:line="240" w:lineRule="auto"/>
            </w:pPr>
            <w:r>
              <w:rPr>
                <w:rFonts w:ascii="Times New Roman" w:eastAsia="Times New Roman" w:hAnsi="Times New Roman" w:cs="Times New Roman"/>
                <w:sz w:val="20"/>
                <w:szCs w:val="20"/>
              </w:rPr>
              <w:t>Grid cell size</w:t>
            </w:r>
          </w:p>
        </w:tc>
        <w:tc>
          <w:tcPr>
            <w:tcW w:w="3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48C092" w14:textId="77777777" w:rsidR="00227E57" w:rsidRDefault="00227E57" w:rsidP="005D5DC6">
            <w:pPr>
              <w:spacing w:after="0" w:line="240" w:lineRule="auto"/>
              <w:jc w:val="center"/>
            </w:pPr>
            <w:r>
              <w:rPr>
                <w:rFonts w:ascii="Times New Roman" w:eastAsia="Times New Roman" w:hAnsi="Times New Roman" w:cs="Times New Roman"/>
                <w:sz w:val="20"/>
                <w:szCs w:val="20"/>
              </w:rPr>
              <w:t>0.002° (≈ 222 m)</w:t>
            </w:r>
          </w:p>
        </w:tc>
      </w:tr>
      <w:tr w:rsidR="00227E57" w14:paraId="1D2EB745" w14:textId="77777777" w:rsidTr="0017460A">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E7A8A9" w14:textId="77777777" w:rsidR="00227E57" w:rsidRDefault="00227E57" w:rsidP="005D5DC6">
            <w:pPr>
              <w:spacing w:after="0" w:line="240" w:lineRule="auto"/>
            </w:pPr>
            <w:r>
              <w:rPr>
                <w:rFonts w:ascii="Times New Roman" w:eastAsia="Times New Roman" w:hAnsi="Times New Roman" w:cs="Times New Roman"/>
                <w:sz w:val="20"/>
                <w:szCs w:val="20"/>
              </w:rPr>
              <w:t>Total grid blocks</w:t>
            </w:r>
          </w:p>
        </w:tc>
        <w:tc>
          <w:tcPr>
            <w:tcW w:w="3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3E1EC1" w14:textId="77777777" w:rsidR="00227E57" w:rsidRDefault="00227E57" w:rsidP="005D5DC6">
            <w:pPr>
              <w:spacing w:after="0" w:line="240" w:lineRule="auto"/>
              <w:jc w:val="center"/>
            </w:pPr>
            <w:r>
              <w:rPr>
                <w:rFonts w:ascii="Times New Roman" w:eastAsia="Times New Roman" w:hAnsi="Times New Roman" w:cs="Times New Roman"/>
                <w:sz w:val="20"/>
                <w:szCs w:val="20"/>
              </w:rPr>
              <w:t>444</w:t>
            </w:r>
          </w:p>
        </w:tc>
      </w:tr>
      <w:tr w:rsidR="00227E57" w14:paraId="7A8C85FB" w14:textId="77777777" w:rsidTr="0017460A">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398DC9" w14:textId="77777777" w:rsidR="00227E57" w:rsidRDefault="00227E57" w:rsidP="005D5DC6">
            <w:pPr>
              <w:spacing w:after="0" w:line="240" w:lineRule="auto"/>
            </w:pPr>
            <w:r>
              <w:rPr>
                <w:rFonts w:ascii="Times New Roman" w:eastAsia="Times New Roman" w:hAnsi="Times New Roman" w:cs="Times New Roman"/>
                <w:sz w:val="20"/>
                <w:szCs w:val="20"/>
              </w:rPr>
              <w:t>Training blocks (70%)</w:t>
            </w:r>
          </w:p>
        </w:tc>
        <w:tc>
          <w:tcPr>
            <w:tcW w:w="3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0128F1" w14:textId="77777777" w:rsidR="00227E57" w:rsidRDefault="00227E57" w:rsidP="005D5DC6">
            <w:pPr>
              <w:spacing w:after="0" w:line="240" w:lineRule="auto"/>
              <w:jc w:val="center"/>
            </w:pPr>
            <w:r>
              <w:rPr>
                <w:rFonts w:ascii="Times New Roman" w:eastAsia="Times New Roman" w:hAnsi="Times New Roman" w:cs="Times New Roman"/>
                <w:sz w:val="20"/>
                <w:szCs w:val="20"/>
              </w:rPr>
              <w:t>310</w:t>
            </w:r>
          </w:p>
        </w:tc>
      </w:tr>
      <w:tr w:rsidR="00227E57" w14:paraId="501F2A36" w14:textId="77777777" w:rsidTr="0017460A">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FCE59E" w14:textId="77777777" w:rsidR="00227E57" w:rsidRDefault="00227E57" w:rsidP="005D5DC6">
            <w:pPr>
              <w:spacing w:after="0" w:line="240" w:lineRule="auto"/>
            </w:pPr>
            <w:r>
              <w:rPr>
                <w:rFonts w:ascii="Times New Roman" w:eastAsia="Times New Roman" w:hAnsi="Times New Roman" w:cs="Times New Roman"/>
                <w:sz w:val="20"/>
                <w:szCs w:val="20"/>
              </w:rPr>
              <w:t>Test blocks (30%)</w:t>
            </w:r>
          </w:p>
        </w:tc>
        <w:tc>
          <w:tcPr>
            <w:tcW w:w="3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01CCEB" w14:textId="77777777" w:rsidR="00227E57" w:rsidRDefault="00227E57" w:rsidP="005D5DC6">
            <w:pPr>
              <w:spacing w:after="0" w:line="240" w:lineRule="auto"/>
              <w:jc w:val="center"/>
            </w:pPr>
            <w:r>
              <w:rPr>
                <w:rFonts w:ascii="Times New Roman" w:eastAsia="Times New Roman" w:hAnsi="Times New Roman" w:cs="Times New Roman"/>
                <w:sz w:val="20"/>
                <w:szCs w:val="20"/>
              </w:rPr>
              <w:t>134</w:t>
            </w:r>
          </w:p>
        </w:tc>
      </w:tr>
      <w:tr w:rsidR="00227E57" w14:paraId="09B0C58C" w14:textId="77777777" w:rsidTr="0017460A">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A34776" w14:textId="77777777" w:rsidR="00227E57" w:rsidRDefault="00227E57" w:rsidP="005D5DC6">
            <w:pPr>
              <w:spacing w:after="0" w:line="240" w:lineRule="auto"/>
            </w:pPr>
            <w:r>
              <w:rPr>
                <w:rFonts w:ascii="Times New Roman" w:eastAsia="Times New Roman" w:hAnsi="Times New Roman" w:cs="Times New Roman"/>
                <w:sz w:val="20"/>
                <w:szCs w:val="20"/>
              </w:rPr>
              <w:t>Training images</w:t>
            </w:r>
          </w:p>
        </w:tc>
        <w:tc>
          <w:tcPr>
            <w:tcW w:w="3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F95EA5" w14:textId="77777777" w:rsidR="00227E57" w:rsidRDefault="00227E57" w:rsidP="005D5DC6">
            <w:pPr>
              <w:spacing w:after="0" w:line="240" w:lineRule="auto"/>
              <w:jc w:val="center"/>
            </w:pPr>
            <w:r>
              <w:rPr>
                <w:rFonts w:ascii="Times New Roman" w:eastAsia="Times New Roman" w:hAnsi="Times New Roman" w:cs="Times New Roman"/>
                <w:sz w:val="20"/>
                <w:szCs w:val="20"/>
              </w:rPr>
              <w:t>18,140</w:t>
            </w:r>
          </w:p>
        </w:tc>
      </w:tr>
      <w:tr w:rsidR="00227E57" w14:paraId="1D6A4C58" w14:textId="77777777" w:rsidTr="0017460A">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974B06" w14:textId="77777777" w:rsidR="00227E57" w:rsidRDefault="00227E57" w:rsidP="005D5DC6">
            <w:pPr>
              <w:spacing w:after="0" w:line="240" w:lineRule="auto"/>
            </w:pPr>
            <w:r>
              <w:rPr>
                <w:rFonts w:ascii="Times New Roman" w:eastAsia="Times New Roman" w:hAnsi="Times New Roman" w:cs="Times New Roman"/>
                <w:sz w:val="20"/>
                <w:szCs w:val="20"/>
              </w:rPr>
              <w:t>Database (DB) images</w:t>
            </w:r>
          </w:p>
        </w:tc>
        <w:tc>
          <w:tcPr>
            <w:tcW w:w="3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2603BE" w14:textId="77777777" w:rsidR="00227E57" w:rsidRDefault="00227E57" w:rsidP="005D5DC6">
            <w:pPr>
              <w:spacing w:after="0" w:line="240" w:lineRule="auto"/>
              <w:jc w:val="center"/>
            </w:pPr>
            <w:r>
              <w:rPr>
                <w:rFonts w:ascii="Times New Roman" w:eastAsia="Times New Roman" w:hAnsi="Times New Roman" w:cs="Times New Roman"/>
                <w:sz w:val="20"/>
                <w:szCs w:val="20"/>
              </w:rPr>
              <w:t>6,060</w:t>
            </w:r>
          </w:p>
        </w:tc>
      </w:tr>
      <w:tr w:rsidR="00227E57" w14:paraId="15A98508" w14:textId="77777777" w:rsidTr="0017460A">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FF87EA" w14:textId="77777777" w:rsidR="00227E57" w:rsidRDefault="00227E57" w:rsidP="005D5DC6">
            <w:pPr>
              <w:spacing w:after="0" w:line="240" w:lineRule="auto"/>
            </w:pPr>
            <w:r>
              <w:rPr>
                <w:rFonts w:ascii="Times New Roman" w:eastAsia="Times New Roman" w:hAnsi="Times New Roman" w:cs="Times New Roman"/>
                <w:sz w:val="20"/>
                <w:szCs w:val="20"/>
              </w:rPr>
              <w:t>Query images</w:t>
            </w:r>
          </w:p>
        </w:tc>
        <w:tc>
          <w:tcPr>
            <w:tcW w:w="3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0DDB7A" w14:textId="77777777" w:rsidR="00227E57" w:rsidRDefault="00227E57" w:rsidP="005D5DC6">
            <w:pPr>
              <w:spacing w:after="0" w:line="240" w:lineRule="auto"/>
              <w:jc w:val="center"/>
            </w:pPr>
            <w:r>
              <w:rPr>
                <w:rFonts w:ascii="Times New Roman" w:eastAsia="Times New Roman" w:hAnsi="Times New Roman" w:cs="Times New Roman"/>
                <w:sz w:val="20"/>
                <w:szCs w:val="20"/>
              </w:rPr>
              <w:t>2,020</w:t>
            </w:r>
          </w:p>
        </w:tc>
      </w:tr>
    </w:tbl>
    <w:p w14:paraId="23612FBE" w14:textId="77777777" w:rsidR="00227E57" w:rsidRDefault="00227E57" w:rsidP="00227E57">
      <w:pPr>
        <w:spacing w:after="240"/>
      </w:pPr>
    </w:p>
    <w:p w14:paraId="62714976" w14:textId="77777777" w:rsidR="00227E57" w:rsidRDefault="00227E57" w:rsidP="00227E57">
      <w:pPr>
        <w:pStyle w:val="Balk2"/>
        <w:spacing w:after="150"/>
      </w:pPr>
      <w:r>
        <w:rPr>
          <w:rFonts w:ascii="Times New Roman" w:eastAsia="Times New Roman" w:hAnsi="Times New Roman" w:cs="Times New Roman"/>
          <w:b/>
          <w:bCs/>
          <w:sz w:val="24"/>
          <w:szCs w:val="24"/>
        </w:rPr>
        <w:t>3.3. DINOv2-Based Global Descriptor (Stage 1)</w:t>
      </w:r>
    </w:p>
    <w:p w14:paraId="2F1C31F9" w14:textId="77777777" w:rsidR="00227E57" w:rsidRDefault="00227E57" w:rsidP="00227E57">
      <w:pPr>
        <w:pStyle w:val="Balk3"/>
      </w:pPr>
      <w:r>
        <w:rPr>
          <w:rFonts w:ascii="Times New Roman" w:eastAsia="Times New Roman" w:hAnsi="Times New Roman" w:cs="Times New Roman"/>
          <w:b/>
          <w:bCs/>
          <w:i/>
          <w:iCs/>
          <w:sz w:val="22"/>
          <w:szCs w:val="22"/>
        </w:rPr>
        <w:t>3.3.1. Backbone Model</w:t>
      </w:r>
    </w:p>
    <w:p w14:paraId="67B5EBD4" w14:textId="77777777" w:rsidR="00227E57" w:rsidRDefault="00227E57" w:rsidP="00227E57">
      <w:pPr>
        <w:spacing w:after="120" w:line="360" w:lineRule="auto"/>
        <w:jc w:val="both"/>
      </w:pPr>
      <w:r>
        <w:rPr>
          <w:rFonts w:ascii="Times New Roman" w:eastAsia="Times New Roman" w:hAnsi="Times New Roman" w:cs="Times New Roman"/>
          <w:sz w:val="22"/>
          <w:szCs w:val="22"/>
        </w:rPr>
        <w:t xml:space="preserve">Global visual descriptors in the first stage are extracted with DINOv2 [1], a self-supervised vision foundation model pre-trained on large-scale curated image datasets, which is known to produce features with strong transferability. The main model uses the </w:t>
      </w:r>
      <w:proofErr w:type="spellStart"/>
      <w:r>
        <w:rPr>
          <w:rFonts w:ascii="Times New Roman" w:eastAsia="Times New Roman" w:hAnsi="Times New Roman" w:cs="Times New Roman"/>
          <w:sz w:val="22"/>
          <w:szCs w:val="22"/>
        </w:rPr>
        <w:t>ViT</w:t>
      </w:r>
      <w:proofErr w:type="spellEnd"/>
      <w:r>
        <w:rPr>
          <w:rFonts w:ascii="Times New Roman" w:eastAsia="Times New Roman" w:hAnsi="Times New Roman" w:cs="Times New Roman"/>
          <w:sz w:val="22"/>
          <w:szCs w:val="22"/>
        </w:rPr>
        <w:t>-B/14 variant of DINOv2 (</w:t>
      </w:r>
      <w:proofErr w:type="spellStart"/>
      <w:r>
        <w:rPr>
          <w:rFonts w:ascii="Times New Roman" w:eastAsia="Times New Roman" w:hAnsi="Times New Roman" w:cs="Times New Roman"/>
          <w:sz w:val="22"/>
          <w:szCs w:val="22"/>
        </w:rPr>
        <w:t>ViT</w:t>
      </w:r>
      <w:proofErr w:type="spellEnd"/>
      <w:r>
        <w:rPr>
          <w:rFonts w:ascii="Times New Roman" w:eastAsia="Times New Roman" w:hAnsi="Times New Roman" w:cs="Times New Roman"/>
          <w:sz w:val="22"/>
          <w:szCs w:val="22"/>
        </w:rPr>
        <w:t xml:space="preserve">-Base, 14 × 14 patch size). In addition, as part of the size–performance trade-off analysis, the </w:t>
      </w:r>
      <w:proofErr w:type="spellStart"/>
      <w:r>
        <w:rPr>
          <w:rFonts w:ascii="Times New Roman" w:eastAsia="Times New Roman" w:hAnsi="Times New Roman" w:cs="Times New Roman"/>
          <w:sz w:val="22"/>
          <w:szCs w:val="22"/>
        </w:rPr>
        <w:t>ViT</w:t>
      </w:r>
      <w:proofErr w:type="spellEnd"/>
      <w:r>
        <w:rPr>
          <w:rFonts w:ascii="Times New Roman" w:eastAsia="Times New Roman" w:hAnsi="Times New Roman" w:cs="Times New Roman"/>
          <w:sz w:val="22"/>
          <w:szCs w:val="22"/>
        </w:rPr>
        <w:t>-S/14 variant (</w:t>
      </w:r>
      <w:proofErr w:type="spellStart"/>
      <w:r>
        <w:rPr>
          <w:rFonts w:ascii="Times New Roman" w:eastAsia="Times New Roman" w:hAnsi="Times New Roman" w:cs="Times New Roman"/>
          <w:sz w:val="22"/>
          <w:szCs w:val="22"/>
        </w:rPr>
        <w:t>ViT</w:t>
      </w:r>
      <w:proofErr w:type="spellEnd"/>
      <w:r>
        <w:rPr>
          <w:rFonts w:ascii="Times New Roman" w:eastAsia="Times New Roman" w:hAnsi="Times New Roman" w:cs="Times New Roman"/>
          <w:sz w:val="22"/>
          <w:szCs w:val="22"/>
        </w:rPr>
        <w:t>-Small, 14 × 14) is trained under the same framework for comparison (see Section 3.6.3).</w:t>
      </w:r>
    </w:p>
    <w:p w14:paraId="49252411" w14:textId="77777777" w:rsidR="00227E57" w:rsidRDefault="00227E57" w:rsidP="00227E57">
      <w:pPr>
        <w:pStyle w:val="Balk3"/>
      </w:pPr>
      <w:r>
        <w:rPr>
          <w:rFonts w:ascii="Times New Roman" w:eastAsia="Times New Roman" w:hAnsi="Times New Roman" w:cs="Times New Roman"/>
          <w:b/>
          <w:bCs/>
          <w:i/>
          <w:iCs/>
          <w:sz w:val="22"/>
          <w:szCs w:val="22"/>
        </w:rPr>
        <w:t>3.3.2. Feature Pooling and Projection Head</w:t>
      </w:r>
    </w:p>
    <w:p w14:paraId="30E58A47" w14:textId="6DAD7DDA" w:rsidR="00227E57" w:rsidRDefault="00227E57" w:rsidP="00227E57">
      <w:pPr>
        <w:spacing w:after="120" w:line="360" w:lineRule="auto"/>
        <w:jc w:val="both"/>
      </w:pPr>
      <w:r>
        <w:rPr>
          <w:rFonts w:ascii="Times New Roman" w:eastAsia="Times New Roman" w:hAnsi="Times New Roman" w:cs="Times New Roman"/>
          <w:sz w:val="22"/>
          <w:szCs w:val="22"/>
        </w:rPr>
        <w:t>DINOv2 provides two standard representations: spatial patch tokens and a global classification (CLS) token. Because spatial cues such as building facades, window alignments, and street perspective are informative for VPR, the main model adopts Generalized Mean (</w:t>
      </w:r>
      <w:proofErr w:type="spellStart"/>
      <w:r>
        <w:rPr>
          <w:rFonts w:ascii="Times New Roman" w:eastAsia="Times New Roman" w:hAnsi="Times New Roman" w:cs="Times New Roman"/>
          <w:sz w:val="22"/>
          <w:szCs w:val="22"/>
        </w:rPr>
        <w:t>GeM</w:t>
      </w:r>
      <w:proofErr w:type="spellEnd"/>
      <w:r>
        <w:rPr>
          <w:rFonts w:ascii="Times New Roman" w:eastAsia="Times New Roman" w:hAnsi="Times New Roman" w:cs="Times New Roman"/>
          <w:sz w:val="22"/>
          <w:szCs w:val="22"/>
        </w:rPr>
        <w:t xml:space="preserve">) pooling over the patch tokens </w:t>
      </w:r>
      <w:r w:rsidR="008C6A90">
        <w:rPr>
          <w:rFonts w:ascii="Times New Roman" w:eastAsia="Times New Roman" w:hAnsi="Times New Roman" w:cs="Times New Roman"/>
          <w:sz w:val="22"/>
          <w:szCs w:val="22"/>
        </w:rPr>
        <w:fldChar w:fldCharType="begin"/>
      </w:r>
      <w:r w:rsidR="008C6A90">
        <w:rPr>
          <w:rFonts w:ascii="Times New Roman" w:eastAsia="Times New Roman" w:hAnsi="Times New Roman" w:cs="Times New Roman"/>
          <w:sz w:val="22"/>
          <w:szCs w:val="22"/>
        </w:rPr>
        <w:instrText xml:space="preserve"> ADDIN EN.CITE &lt;EndNote&gt;&lt;Cite&gt;&lt;Author&gt;Radenović&lt;/Author&gt;&lt;Year&gt;2018&lt;/Year&gt;&lt;RecNum&gt;1358&lt;/RecNum&gt;&lt;DisplayText&gt;(Radenović et al. 2018)&lt;/DisplayText&gt;&lt;record&gt;&lt;rec-number&gt;1358&lt;/rec-number&gt;&lt;foreign-keys&gt;&lt;key app="EN" db-id="dx50w9txmzwp0uex5r95r20sfz029raapfrf" timestamp="1776430244"&gt;1358&lt;/key&gt;&lt;/foreign-keys&gt;&lt;ref-type name="Journal Article"&gt;17&lt;/ref-type&gt;&lt;contributors&gt;&lt;authors&gt;&lt;author&gt;Radenović, Filip&lt;/author&gt;&lt;author&gt;Tolias, Giorgos&lt;/author&gt;&lt;author&gt;Chum, Ondřej&lt;/author&gt;&lt;/authors&gt;&lt;/contributors&gt;&lt;titles&gt;&lt;title&gt;Fine-tuning CNN image retrieval with no human annotation&lt;/title&gt;&lt;secondary-title&gt;IEEE transactions on pattern analysis and machine intelligence&lt;/secondary-title&gt;&lt;/titles&gt;&lt;periodical&gt;&lt;full-title&gt;IEEE transactions on pattern analysis and machine intelligence&lt;/full-title&gt;&lt;/periodical&gt;&lt;pages&gt;1655-1668&lt;/pages&gt;&lt;volume&gt;41&lt;/volume&gt;&lt;number&gt;7&lt;/number&gt;&lt;dates&gt;&lt;year&gt;2018&lt;/year&gt;&lt;/dates&gt;&lt;isbn&gt;0162-8828&lt;/isbn&gt;&lt;urls&gt;&lt;/urls&gt;&lt;/record&gt;&lt;/Cite&gt;&lt;/EndNote&gt;</w:instrText>
      </w:r>
      <w:r w:rsidR="008C6A90">
        <w:rPr>
          <w:rFonts w:ascii="Times New Roman" w:eastAsia="Times New Roman" w:hAnsi="Times New Roman" w:cs="Times New Roman"/>
          <w:sz w:val="22"/>
          <w:szCs w:val="22"/>
        </w:rPr>
        <w:fldChar w:fldCharType="separate"/>
      </w:r>
      <w:r w:rsidR="008C6A90">
        <w:rPr>
          <w:rFonts w:ascii="Times New Roman" w:eastAsia="Times New Roman" w:hAnsi="Times New Roman" w:cs="Times New Roman"/>
          <w:noProof/>
          <w:sz w:val="22"/>
          <w:szCs w:val="22"/>
        </w:rPr>
        <w:t>(Radenović et al. 2018)</w:t>
      </w:r>
      <w:r w:rsidR="008C6A90">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xml:space="preserve"> to preserve this spatial information. The </w:t>
      </w:r>
      <w:proofErr w:type="spellStart"/>
      <w:r>
        <w:rPr>
          <w:rFonts w:ascii="Times New Roman" w:eastAsia="Times New Roman" w:hAnsi="Times New Roman" w:cs="Times New Roman"/>
          <w:sz w:val="22"/>
          <w:szCs w:val="22"/>
        </w:rPr>
        <w:t>GeM</w:t>
      </w:r>
      <w:proofErr w:type="spellEnd"/>
      <w:r>
        <w:rPr>
          <w:rFonts w:ascii="Times New Roman" w:eastAsia="Times New Roman" w:hAnsi="Times New Roman" w:cs="Times New Roman"/>
          <w:sz w:val="22"/>
          <w:szCs w:val="22"/>
        </w:rPr>
        <w:t xml:space="preserve"> pooling operation is defined in Equation (1):</w:t>
      </w:r>
    </w:p>
    <w:p w14:paraId="70F6810F" w14:textId="77777777" w:rsidR="00227E57" w:rsidRDefault="00227E57" w:rsidP="00227E57">
      <w:pPr>
        <w:spacing w:before="120" w:after="120"/>
        <w:jc w:val="center"/>
      </w:pPr>
      <w:proofErr w:type="spellStart"/>
      <w:r>
        <w:rPr>
          <w:rFonts w:ascii="Times New Roman" w:eastAsia="Times New Roman" w:hAnsi="Times New Roman" w:cs="Times New Roman"/>
          <w:i/>
          <w:iCs/>
          <w:sz w:val="22"/>
          <w:szCs w:val="22"/>
        </w:rPr>
        <w:t>f_GeM</w:t>
      </w:r>
      <w:proofErr w:type="spellEnd"/>
      <w:r>
        <w:rPr>
          <w:rFonts w:ascii="Times New Roman" w:eastAsia="Times New Roman" w:hAnsi="Times New Roman" w:cs="Times New Roman"/>
          <w:i/>
          <w:iCs/>
          <w:sz w:val="22"/>
          <w:szCs w:val="22"/>
        </w:rPr>
        <w:t xml:space="preserve"> = </w:t>
      </w:r>
      <w:proofErr w:type="gramStart"/>
      <w:r>
        <w:rPr>
          <w:rFonts w:ascii="Times New Roman" w:eastAsia="Times New Roman" w:hAnsi="Times New Roman" w:cs="Times New Roman"/>
          <w:i/>
          <w:iCs/>
          <w:sz w:val="22"/>
          <w:szCs w:val="22"/>
        </w:rPr>
        <w:t>( (</w:t>
      </w:r>
      <w:proofErr w:type="gramEnd"/>
      <w:r>
        <w:rPr>
          <w:rFonts w:ascii="Times New Roman" w:eastAsia="Times New Roman" w:hAnsi="Times New Roman" w:cs="Times New Roman"/>
          <w:i/>
          <w:iCs/>
          <w:sz w:val="22"/>
          <w:szCs w:val="22"/>
        </w:rPr>
        <w:t xml:space="preserve">1/N) Σᵢ </w:t>
      </w:r>
      <w:proofErr w:type="gramStart"/>
      <w:r>
        <w:rPr>
          <w:rFonts w:ascii="Times New Roman" w:eastAsia="Times New Roman" w:hAnsi="Times New Roman" w:cs="Times New Roman"/>
          <w:i/>
          <w:iCs/>
          <w:sz w:val="22"/>
          <w:szCs w:val="22"/>
        </w:rPr>
        <w:t>xᵢᵖ )</w:t>
      </w:r>
      <w:proofErr w:type="gramEnd"/>
      <w:r>
        <w:rPr>
          <w:rFonts w:ascii="Times New Roman" w:eastAsia="Times New Roman" w:hAnsi="Times New Roman" w:cs="Times New Roman"/>
          <w:i/>
          <w:iCs/>
          <w:sz w:val="22"/>
          <w:szCs w:val="22"/>
        </w:rPr>
        <w:t>^(1/</w:t>
      </w:r>
      <w:proofErr w:type="gramStart"/>
      <w:r>
        <w:rPr>
          <w:rFonts w:ascii="Times New Roman" w:eastAsia="Times New Roman" w:hAnsi="Times New Roman" w:cs="Times New Roman"/>
          <w:i/>
          <w:iCs/>
          <w:sz w:val="22"/>
          <w:szCs w:val="22"/>
        </w:rPr>
        <w:t xml:space="preserve">p)   </w:t>
      </w:r>
      <w:proofErr w:type="gramEnd"/>
      <w:r>
        <w:rPr>
          <w:rFonts w:ascii="Times New Roman" w:eastAsia="Times New Roman" w:hAnsi="Times New Roman" w:cs="Times New Roman"/>
          <w:i/>
          <w:iCs/>
          <w:sz w:val="22"/>
          <w:szCs w:val="22"/>
        </w:rPr>
        <w:t xml:space="preserve">    </w:t>
      </w:r>
      <w:proofErr w:type="gramStart"/>
      <w:r>
        <w:rPr>
          <w:rFonts w:ascii="Times New Roman" w:eastAsia="Times New Roman" w:hAnsi="Times New Roman" w:cs="Times New Roman"/>
          <w:i/>
          <w:iCs/>
          <w:sz w:val="22"/>
          <w:szCs w:val="22"/>
        </w:rPr>
        <w:t xml:space="preserve">   (</w:t>
      </w:r>
      <w:proofErr w:type="gramEnd"/>
      <w:r>
        <w:rPr>
          <w:rFonts w:ascii="Times New Roman" w:eastAsia="Times New Roman" w:hAnsi="Times New Roman" w:cs="Times New Roman"/>
          <w:i/>
          <w:iCs/>
          <w:sz w:val="22"/>
          <w:szCs w:val="22"/>
        </w:rPr>
        <w:t>1)</w:t>
      </w:r>
    </w:p>
    <w:p w14:paraId="3BC2104A" w14:textId="77777777" w:rsidR="00227E57" w:rsidRDefault="00227E57" w:rsidP="00227E57">
      <w:pPr>
        <w:spacing w:after="120" w:line="360" w:lineRule="auto"/>
        <w:jc w:val="both"/>
      </w:pPr>
      <w:r>
        <w:rPr>
          <w:rFonts w:ascii="Times New Roman" w:eastAsia="Times New Roman" w:hAnsi="Times New Roman" w:cs="Times New Roman"/>
          <w:sz w:val="22"/>
          <w:szCs w:val="22"/>
        </w:rPr>
        <w:t>Here xᵢ denotes the activations of the patch tokens, N the number of patches, and p ≥ 1 a learnable exponent. In this study p is initialized at 3 and updated jointly with the other network parameters during training.</w:t>
      </w:r>
    </w:p>
    <w:p w14:paraId="1EF7B9D5" w14:textId="77777777" w:rsidR="00227E57" w:rsidRDefault="00227E57" w:rsidP="00227E57">
      <w:pPr>
        <w:spacing w:after="12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Following </w:t>
      </w:r>
      <w:proofErr w:type="spellStart"/>
      <w:r>
        <w:rPr>
          <w:rFonts w:ascii="Times New Roman" w:eastAsia="Times New Roman" w:hAnsi="Times New Roman" w:cs="Times New Roman"/>
          <w:sz w:val="22"/>
          <w:szCs w:val="22"/>
        </w:rPr>
        <w:t>GeM</w:t>
      </w:r>
      <w:proofErr w:type="spellEnd"/>
      <w:r>
        <w:rPr>
          <w:rFonts w:ascii="Times New Roman" w:eastAsia="Times New Roman" w:hAnsi="Times New Roman" w:cs="Times New Roman"/>
          <w:sz w:val="22"/>
          <w:szCs w:val="22"/>
        </w:rPr>
        <w:t xml:space="preserve"> pooling, the resulting embedding is mapped through a projection head to the final 512-dimensional descriptor. The projection head is a two-layer block consisting of Linear → </w:t>
      </w:r>
      <w:proofErr w:type="spellStart"/>
      <w:r>
        <w:rPr>
          <w:rFonts w:ascii="Times New Roman" w:eastAsia="Times New Roman" w:hAnsi="Times New Roman" w:cs="Times New Roman"/>
          <w:sz w:val="22"/>
          <w:szCs w:val="22"/>
        </w:rPr>
        <w:t>BatchNorm</w:t>
      </w:r>
      <w:proofErr w:type="spellEnd"/>
      <w:r>
        <w:rPr>
          <w:rFonts w:ascii="Times New Roman" w:eastAsia="Times New Roman" w:hAnsi="Times New Roman" w:cs="Times New Roman"/>
          <w:sz w:val="22"/>
          <w:szCs w:val="22"/>
        </w:rPr>
        <w:t xml:space="preserve"> → </w:t>
      </w:r>
      <w:proofErr w:type="spellStart"/>
      <w:r>
        <w:rPr>
          <w:rFonts w:ascii="Times New Roman" w:eastAsia="Times New Roman" w:hAnsi="Times New Roman" w:cs="Times New Roman"/>
          <w:sz w:val="22"/>
          <w:szCs w:val="22"/>
        </w:rPr>
        <w:lastRenderedPageBreak/>
        <w:t>ReLU</w:t>
      </w:r>
      <w:proofErr w:type="spellEnd"/>
      <w:r>
        <w:rPr>
          <w:rFonts w:ascii="Times New Roman" w:eastAsia="Times New Roman" w:hAnsi="Times New Roman" w:cs="Times New Roman"/>
          <w:sz w:val="22"/>
          <w:szCs w:val="22"/>
        </w:rPr>
        <w:t xml:space="preserve"> → Linear. An L2-normalization is applied at the output, producing a descriptor directly usable with cosine similarity-based search.</w:t>
      </w:r>
    </w:p>
    <w:p w14:paraId="40EE46B0" w14:textId="35131B93" w:rsidR="000134D1" w:rsidRDefault="000134D1" w:rsidP="00227E57">
      <w:pPr>
        <w:spacing w:after="120" w:line="360" w:lineRule="auto"/>
        <w:jc w:val="both"/>
      </w:pPr>
      <w:r w:rsidRPr="000134D1">
        <w:rPr>
          <w:noProof/>
        </w:rPr>
        <w:drawing>
          <wp:inline distT="0" distB="0" distL="0" distR="0" wp14:anchorId="3915A800" wp14:editId="1016A670">
            <wp:extent cx="5760720" cy="5180330"/>
            <wp:effectExtent l="0" t="0" r="0" b="1270"/>
            <wp:docPr id="164086410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64101" name=""/>
                    <pic:cNvPicPr/>
                  </pic:nvPicPr>
                  <pic:blipFill>
                    <a:blip r:embed="rId6"/>
                    <a:stretch>
                      <a:fillRect/>
                    </a:stretch>
                  </pic:blipFill>
                  <pic:spPr>
                    <a:xfrm>
                      <a:off x="0" y="0"/>
                      <a:ext cx="5760720" cy="5180330"/>
                    </a:xfrm>
                    <a:prstGeom prst="rect">
                      <a:avLst/>
                    </a:prstGeom>
                  </pic:spPr>
                </pic:pic>
              </a:graphicData>
            </a:graphic>
          </wp:inline>
        </w:drawing>
      </w:r>
    </w:p>
    <w:p w14:paraId="555C6530" w14:textId="77777777" w:rsidR="00227E57" w:rsidRDefault="00227E57" w:rsidP="00227E57">
      <w:pPr>
        <w:spacing w:before="120" w:after="240"/>
        <w:jc w:val="center"/>
      </w:pPr>
      <w:r>
        <w:rPr>
          <w:rFonts w:ascii="Times New Roman" w:eastAsia="Times New Roman" w:hAnsi="Times New Roman" w:cs="Times New Roman"/>
          <w:i/>
          <w:iCs/>
          <w:sz w:val="20"/>
          <w:szCs w:val="20"/>
        </w:rPr>
        <w:t xml:space="preserve">Figure 3. Block diagram of the proposed VPR-DINOv2 architecture. The last four Transformer blocks of the DINOv2 backbone are unfrozen; patch tokens are aggregated via </w:t>
      </w:r>
      <w:proofErr w:type="spellStart"/>
      <w:r>
        <w:rPr>
          <w:rFonts w:ascii="Times New Roman" w:eastAsia="Times New Roman" w:hAnsi="Times New Roman" w:cs="Times New Roman"/>
          <w:i/>
          <w:iCs/>
          <w:sz w:val="20"/>
          <w:szCs w:val="20"/>
        </w:rPr>
        <w:t>GeM</w:t>
      </w:r>
      <w:proofErr w:type="spellEnd"/>
      <w:r>
        <w:rPr>
          <w:rFonts w:ascii="Times New Roman" w:eastAsia="Times New Roman" w:hAnsi="Times New Roman" w:cs="Times New Roman"/>
          <w:i/>
          <w:iCs/>
          <w:sz w:val="20"/>
          <w:szCs w:val="20"/>
        </w:rPr>
        <w:t xml:space="preserve"> pooling and passed through a two-layer projection head to yield a 512-dimensional L2-normalized descriptor.</w:t>
      </w:r>
    </w:p>
    <w:p w14:paraId="54A2B48F" w14:textId="77777777" w:rsidR="00227E57" w:rsidRDefault="00227E57" w:rsidP="00227E57">
      <w:pPr>
        <w:pStyle w:val="Balk3"/>
      </w:pPr>
      <w:r>
        <w:rPr>
          <w:rFonts w:ascii="Times New Roman" w:eastAsia="Times New Roman" w:hAnsi="Times New Roman" w:cs="Times New Roman"/>
          <w:b/>
          <w:bCs/>
          <w:i/>
          <w:iCs/>
          <w:sz w:val="22"/>
          <w:szCs w:val="22"/>
        </w:rPr>
        <w:t>3.3.3. Partial Fine-Tuning</w:t>
      </w:r>
    </w:p>
    <w:p w14:paraId="00F5AECA" w14:textId="77777777" w:rsidR="00227E57" w:rsidRDefault="00227E57" w:rsidP="00227E57">
      <w:pPr>
        <w:spacing w:after="120" w:line="360" w:lineRule="auto"/>
        <w:jc w:val="both"/>
      </w:pPr>
      <w:r>
        <w:rPr>
          <w:rFonts w:ascii="Times New Roman" w:eastAsia="Times New Roman" w:hAnsi="Times New Roman" w:cs="Times New Roman"/>
          <w:sz w:val="22"/>
          <w:szCs w:val="22"/>
        </w:rPr>
        <w:t xml:space="preserve">Fine-tuning all parameters of foundation models on a small dataset may lead to overfitting. To mitigate this risk, a partial fine-tuning strategy is employed. Out of the 12 Transformer blocks in DINOv2 </w:t>
      </w:r>
      <w:proofErr w:type="spellStart"/>
      <w:r>
        <w:rPr>
          <w:rFonts w:ascii="Times New Roman" w:eastAsia="Times New Roman" w:hAnsi="Times New Roman" w:cs="Times New Roman"/>
          <w:sz w:val="22"/>
          <w:szCs w:val="22"/>
        </w:rPr>
        <w:t>ViT</w:t>
      </w:r>
      <w:proofErr w:type="spellEnd"/>
      <w:r>
        <w:rPr>
          <w:rFonts w:ascii="Times New Roman" w:eastAsia="Times New Roman" w:hAnsi="Times New Roman" w:cs="Times New Roman"/>
          <w:sz w:val="22"/>
          <w:szCs w:val="22"/>
        </w:rPr>
        <w:t xml:space="preserve">-B/14, only the last four (blocks.8, 9, 10, 11) along with the final normalization layer are unfrozen; all remaining backbone parameters are kept frozen. The projection head is initialized from scratch and trained end-to-end. This strategy preserves the general visual representational power of the backbone while allowing the final layers to adapt to the local architectural characteristics of </w:t>
      </w:r>
      <w:proofErr w:type="spellStart"/>
      <w:r>
        <w:rPr>
          <w:rFonts w:ascii="Times New Roman" w:eastAsia="Times New Roman" w:hAnsi="Times New Roman" w:cs="Times New Roman"/>
          <w:sz w:val="22"/>
          <w:szCs w:val="22"/>
        </w:rPr>
        <w:t>Kırşehir</w:t>
      </w:r>
      <w:proofErr w:type="spellEnd"/>
      <w:r>
        <w:rPr>
          <w:rFonts w:ascii="Times New Roman" w:eastAsia="Times New Roman" w:hAnsi="Times New Roman" w:cs="Times New Roman"/>
          <w:sz w:val="22"/>
          <w:szCs w:val="22"/>
        </w:rPr>
        <w:t>. In the main model, 29,369,601 out of 87,566,337 total parameters (33.5%) are left trainable.</w:t>
      </w:r>
    </w:p>
    <w:p w14:paraId="6C3F30E1" w14:textId="77777777" w:rsidR="00227E57" w:rsidRDefault="00227E57" w:rsidP="00227E57">
      <w:pPr>
        <w:pStyle w:val="Balk2"/>
        <w:spacing w:after="150"/>
      </w:pPr>
      <w:r>
        <w:rPr>
          <w:rFonts w:ascii="Times New Roman" w:eastAsia="Times New Roman" w:hAnsi="Times New Roman" w:cs="Times New Roman"/>
          <w:b/>
          <w:bCs/>
          <w:sz w:val="24"/>
          <w:szCs w:val="24"/>
        </w:rPr>
        <w:lastRenderedPageBreak/>
        <w:t>3.4. Metric Learning-Based Fine-Tuning</w:t>
      </w:r>
    </w:p>
    <w:p w14:paraId="4F431C1A" w14:textId="77777777" w:rsidR="00227E57" w:rsidRDefault="00227E57" w:rsidP="00227E57">
      <w:pPr>
        <w:pStyle w:val="Balk3"/>
      </w:pPr>
      <w:r>
        <w:rPr>
          <w:rFonts w:ascii="Times New Roman" w:eastAsia="Times New Roman" w:hAnsi="Times New Roman" w:cs="Times New Roman"/>
          <w:b/>
          <w:bCs/>
          <w:i/>
          <w:iCs/>
          <w:sz w:val="22"/>
          <w:szCs w:val="22"/>
        </w:rPr>
        <w:t>3.4.1. Retrieval Formulation</w:t>
      </w:r>
    </w:p>
    <w:p w14:paraId="5C99FA45" w14:textId="77777777" w:rsidR="00227E57" w:rsidRDefault="00227E57" w:rsidP="00227E57">
      <w:pPr>
        <w:spacing w:after="120" w:line="360" w:lineRule="auto"/>
        <w:jc w:val="both"/>
      </w:pPr>
      <w:r>
        <w:rPr>
          <w:rFonts w:ascii="Times New Roman" w:eastAsia="Times New Roman" w:hAnsi="Times New Roman" w:cs="Times New Roman"/>
          <w:sz w:val="22"/>
          <w:szCs w:val="22"/>
        </w:rPr>
        <w:t>VPR is fundamentally a retrieval problem; thus, a metric learning formulation is adopted rather than standard multi-class classification. The objective is to learn a discriminative embedding space in which images from the same location are placed close together and images from different locations are placed apart. In the training set, each unique coordinate point (</w:t>
      </w:r>
      <w:proofErr w:type="spellStart"/>
      <w:r>
        <w:rPr>
          <w:rFonts w:ascii="Times New Roman" w:eastAsia="Times New Roman" w:hAnsi="Times New Roman" w:cs="Times New Roman"/>
          <w:sz w:val="22"/>
          <w:szCs w:val="22"/>
        </w:rPr>
        <w:t>point_id</w:t>
      </w:r>
      <w:proofErr w:type="spellEnd"/>
      <w:r>
        <w:rPr>
          <w:rFonts w:ascii="Times New Roman" w:eastAsia="Times New Roman" w:hAnsi="Times New Roman" w:cs="Times New Roman"/>
          <w:sz w:val="22"/>
          <w:szCs w:val="22"/>
        </w:rPr>
        <w:t xml:space="preserve">) is treated as a class, and labels are transformed into integers via </w:t>
      </w:r>
      <w:proofErr w:type="spellStart"/>
      <w:r>
        <w:rPr>
          <w:rFonts w:ascii="Times New Roman" w:eastAsia="Times New Roman" w:hAnsi="Times New Roman" w:cs="Times New Roman"/>
          <w:sz w:val="22"/>
          <w:szCs w:val="22"/>
        </w:rPr>
        <w:t>LabelEncoder</w:t>
      </w:r>
      <w:proofErr w:type="spellEnd"/>
      <w:r>
        <w:rPr>
          <w:rFonts w:ascii="Times New Roman" w:eastAsia="Times New Roman" w:hAnsi="Times New Roman" w:cs="Times New Roman"/>
          <w:sz w:val="22"/>
          <w:szCs w:val="22"/>
        </w:rPr>
        <w:t>. Under this formulation, every class in the training set contains exactly four examples (N/E/S/W headings).</w:t>
      </w:r>
    </w:p>
    <w:p w14:paraId="1A230754" w14:textId="77777777" w:rsidR="00227E57" w:rsidRDefault="00227E57" w:rsidP="00227E57">
      <w:pPr>
        <w:pStyle w:val="Balk3"/>
      </w:pPr>
      <w:r>
        <w:rPr>
          <w:rFonts w:ascii="Times New Roman" w:eastAsia="Times New Roman" w:hAnsi="Times New Roman" w:cs="Times New Roman"/>
          <w:b/>
          <w:bCs/>
          <w:i/>
          <w:iCs/>
          <w:sz w:val="22"/>
          <w:szCs w:val="22"/>
        </w:rPr>
        <w:t xml:space="preserve">3.4.2. </w:t>
      </w:r>
      <w:proofErr w:type="spellStart"/>
      <w:r>
        <w:rPr>
          <w:rFonts w:ascii="Times New Roman" w:eastAsia="Times New Roman" w:hAnsi="Times New Roman" w:cs="Times New Roman"/>
          <w:b/>
          <w:bCs/>
          <w:i/>
          <w:iCs/>
          <w:sz w:val="22"/>
          <w:szCs w:val="22"/>
        </w:rPr>
        <w:t>MPerClassSampler</w:t>
      </w:r>
      <w:proofErr w:type="spellEnd"/>
    </w:p>
    <w:p w14:paraId="4CDCE853" w14:textId="21643B61" w:rsidR="00227E57" w:rsidRDefault="00227E57" w:rsidP="00227E57">
      <w:pPr>
        <w:spacing w:after="120" w:line="360" w:lineRule="auto"/>
        <w:jc w:val="both"/>
      </w:pPr>
      <w:r>
        <w:rPr>
          <w:rFonts w:ascii="Times New Roman" w:eastAsia="Times New Roman" w:hAnsi="Times New Roman" w:cs="Times New Roman"/>
          <w:sz w:val="22"/>
          <w:szCs w:val="22"/>
        </w:rPr>
        <w:t xml:space="preserve">To enable heading-aware learning, </w:t>
      </w:r>
      <w:proofErr w:type="spellStart"/>
      <w:r>
        <w:rPr>
          <w:rFonts w:ascii="Times New Roman" w:eastAsia="Times New Roman" w:hAnsi="Times New Roman" w:cs="Times New Roman"/>
          <w:sz w:val="22"/>
          <w:szCs w:val="22"/>
        </w:rPr>
        <w:t>MPerClassSampler</w:t>
      </w:r>
      <w:proofErr w:type="spellEnd"/>
      <w:r>
        <w:rPr>
          <w:rFonts w:ascii="Times New Roman" w:eastAsia="Times New Roman" w:hAnsi="Times New Roman" w:cs="Times New Roman"/>
          <w:sz w:val="22"/>
          <w:szCs w:val="22"/>
        </w:rPr>
        <w:t xml:space="preserve"> </w:t>
      </w:r>
      <w:r w:rsidR="008C6A90">
        <w:rPr>
          <w:rFonts w:ascii="Times New Roman" w:eastAsia="Times New Roman" w:hAnsi="Times New Roman" w:cs="Times New Roman"/>
          <w:sz w:val="22"/>
          <w:szCs w:val="22"/>
        </w:rPr>
        <w:fldChar w:fldCharType="begin"/>
      </w:r>
      <w:r w:rsidR="008C6A90">
        <w:rPr>
          <w:rFonts w:ascii="Times New Roman" w:eastAsia="Times New Roman" w:hAnsi="Times New Roman" w:cs="Times New Roman"/>
          <w:sz w:val="22"/>
          <w:szCs w:val="22"/>
        </w:rPr>
        <w:instrText xml:space="preserve"> ADDIN EN.CITE &lt;EndNote&gt;&lt;Cite&gt;&lt;Author&gt;Musgrave&lt;/Author&gt;&lt;Year&gt;2020&lt;/Year&gt;&lt;RecNum&gt;1367&lt;/RecNum&gt;&lt;DisplayText&gt;(Musgrave et al. 2020)&lt;/DisplayText&gt;&lt;record&gt;&lt;rec-number&gt;1367&lt;/rec-number&gt;&lt;foreign-keys&gt;&lt;key app="EN" db-id="dx50w9txmzwp0uex5r95r20sfz029raapfrf" timestamp="1776455204"&gt;1367&lt;/key&gt;&lt;/foreign-keys&gt;&lt;ref-type name="Journal Article"&gt;17&lt;/ref-type&gt;&lt;contributors&gt;&lt;authors&gt;&lt;author&gt;Musgrave, Kevin&lt;/author&gt;&lt;author&gt;Belongie, Serge&lt;/author&gt;&lt;author&gt;Lim, Ser-Nam&lt;/author&gt;&lt;/authors&gt;&lt;/contributors&gt;&lt;titles&gt;&lt;title&gt;Pytorch metric learning&lt;/title&gt;&lt;secondary-title&gt;arXiv preprint arXiv:2008.09164&lt;/secondary-title&gt;&lt;/titles&gt;&lt;periodical&gt;&lt;full-title&gt;arXiv preprint arXiv:2008.09164&lt;/full-title&gt;&lt;/periodical&gt;&lt;dates&gt;&lt;year&gt;2020&lt;/year&gt;&lt;/dates&gt;&lt;urls&gt;&lt;/urls&gt;&lt;/record&gt;&lt;/Cite&gt;&lt;/EndNote&gt;</w:instrText>
      </w:r>
      <w:r w:rsidR="008C6A90">
        <w:rPr>
          <w:rFonts w:ascii="Times New Roman" w:eastAsia="Times New Roman" w:hAnsi="Times New Roman" w:cs="Times New Roman"/>
          <w:sz w:val="22"/>
          <w:szCs w:val="22"/>
        </w:rPr>
        <w:fldChar w:fldCharType="separate"/>
      </w:r>
      <w:r w:rsidR="008C6A90">
        <w:rPr>
          <w:rFonts w:ascii="Times New Roman" w:eastAsia="Times New Roman" w:hAnsi="Times New Roman" w:cs="Times New Roman"/>
          <w:noProof/>
          <w:sz w:val="22"/>
          <w:szCs w:val="22"/>
        </w:rPr>
        <w:t>(Musgrave et al. 2020)</w:t>
      </w:r>
      <w:r w:rsidR="008C6A90">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xml:space="preserve"> is used instead of a standard random sampler. This sampler guarantees that each training batch contains exactly m samples from the same class (same coordinate point). In this study, m = 4 is chosen so that the four cardinal headings of a given coordinate are forced into the same batch. This allows the metric learning loss to directly assess the relationships between different headings of the same location.</w:t>
      </w:r>
    </w:p>
    <w:p w14:paraId="51C98494" w14:textId="77777777" w:rsidR="00227E57" w:rsidRDefault="00227E57" w:rsidP="00227E57">
      <w:pPr>
        <w:pStyle w:val="Balk3"/>
      </w:pPr>
      <w:r>
        <w:rPr>
          <w:rFonts w:ascii="Times New Roman" w:eastAsia="Times New Roman" w:hAnsi="Times New Roman" w:cs="Times New Roman"/>
          <w:b/>
          <w:bCs/>
          <w:i/>
          <w:iCs/>
          <w:sz w:val="22"/>
          <w:szCs w:val="22"/>
        </w:rPr>
        <w:t>3.4.3. Multi-Similarity Loss and Hard Negative Mining</w:t>
      </w:r>
    </w:p>
    <w:p w14:paraId="3AF00618" w14:textId="0AADA44B" w:rsidR="00227E57" w:rsidRDefault="00227E57" w:rsidP="00227E57">
      <w:pPr>
        <w:spacing w:after="120" w:line="360" w:lineRule="auto"/>
        <w:jc w:val="both"/>
      </w:pPr>
      <w:r>
        <w:rPr>
          <w:rFonts w:ascii="Times New Roman" w:eastAsia="Times New Roman" w:hAnsi="Times New Roman" w:cs="Times New Roman"/>
          <w:sz w:val="22"/>
          <w:szCs w:val="22"/>
        </w:rPr>
        <w:t xml:space="preserve">The Multi-Similarity (MS) Loss </w:t>
      </w:r>
      <w:r w:rsidR="008020D4">
        <w:rPr>
          <w:rFonts w:ascii="Times New Roman" w:eastAsia="Times New Roman" w:hAnsi="Times New Roman" w:cs="Times New Roman"/>
          <w:sz w:val="22"/>
          <w:szCs w:val="22"/>
        </w:rPr>
        <w:fldChar w:fldCharType="begin"/>
      </w:r>
      <w:r w:rsidR="008020D4">
        <w:rPr>
          <w:rFonts w:ascii="Times New Roman" w:eastAsia="Times New Roman" w:hAnsi="Times New Roman" w:cs="Times New Roman"/>
          <w:sz w:val="22"/>
          <w:szCs w:val="22"/>
        </w:rPr>
        <w:instrText xml:space="preserve"> ADDIN EN.CITE &lt;EndNote&gt;&lt;Cite&gt;&lt;Author&gt;Wang&lt;/Author&gt;&lt;Year&gt;2019&lt;/Year&gt;&lt;RecNum&gt;1368&lt;/RecNum&gt;&lt;DisplayText&gt;(Wang et al. 2019)&lt;/DisplayText&gt;&lt;record&gt;&lt;rec-number&gt;1368&lt;/rec-number&gt;&lt;foreign-keys&gt;&lt;key app="EN" db-id="dx50w9txmzwp0uex5r95r20sfz029raapfrf" timestamp="1776455246"&gt;1368&lt;/key&gt;&lt;/foreign-keys&gt;&lt;ref-type name="Conference Proceedings"&gt;10&lt;/ref-type&gt;&lt;contributors&gt;&lt;authors&gt;&lt;author&gt;Wang, Xun&lt;/author&gt;&lt;author&gt;Han, Xintong&lt;/author&gt;&lt;author&gt;Huang, Weilin&lt;/author&gt;&lt;author&gt;Dong, Dengke&lt;/author&gt;&lt;author&gt;Scott, Matthew R&lt;/author&gt;&lt;/authors&gt;&lt;/contributors&gt;&lt;titles&gt;&lt;title&gt;Multi-similarity loss with general pair weighting for deep metric learning&lt;/title&gt;&lt;secondary-title&gt;Proceedings of the IEEE/CVF conference on computer vision and pattern recognition&lt;/secondary-title&gt;&lt;/titles&gt;&lt;pages&gt;5022-5030&lt;/pages&gt;&lt;dates&gt;&lt;year&gt;2019&lt;/year&gt;&lt;/dates&gt;&lt;urls&gt;&lt;/urls&gt;&lt;/record&gt;&lt;/Cite&gt;&lt;/EndNote&gt;</w:instrText>
      </w:r>
      <w:r w:rsidR="008020D4">
        <w:rPr>
          <w:rFonts w:ascii="Times New Roman" w:eastAsia="Times New Roman" w:hAnsi="Times New Roman" w:cs="Times New Roman"/>
          <w:sz w:val="22"/>
          <w:szCs w:val="22"/>
        </w:rPr>
        <w:fldChar w:fldCharType="separate"/>
      </w:r>
      <w:r w:rsidR="008020D4">
        <w:rPr>
          <w:rFonts w:ascii="Times New Roman" w:eastAsia="Times New Roman" w:hAnsi="Times New Roman" w:cs="Times New Roman"/>
          <w:noProof/>
          <w:sz w:val="22"/>
          <w:szCs w:val="22"/>
        </w:rPr>
        <w:t>(Wang et al. 2019)</w:t>
      </w:r>
      <w:r w:rsidR="008020D4">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xml:space="preserve"> is used as the training objective. Unlike the classical Triplet loss, MS Loss evaluates all pairs within a batch using similarity-aware weighting and emphasizes the hardest positive and negative pairs. This property is crucial for the model to distinguish visually similar but geographically distinct streets (the perceptual aliasing problem). The MS Loss parameters are set to α = 2, β = 50, and base = 0.5; hard pair mining is performed with a </w:t>
      </w:r>
      <w:proofErr w:type="spellStart"/>
      <w:r>
        <w:rPr>
          <w:rFonts w:ascii="Times New Roman" w:eastAsia="Times New Roman" w:hAnsi="Times New Roman" w:cs="Times New Roman"/>
          <w:sz w:val="22"/>
          <w:szCs w:val="22"/>
        </w:rPr>
        <w:t>MultiSimilarityMiner</w:t>
      </w:r>
      <w:proofErr w:type="spellEnd"/>
      <w:r>
        <w:rPr>
          <w:rFonts w:ascii="Times New Roman" w:eastAsia="Times New Roman" w:hAnsi="Times New Roman" w:cs="Times New Roman"/>
          <w:sz w:val="22"/>
          <w:szCs w:val="22"/>
        </w:rPr>
        <w:t xml:space="preserve"> whose ε parameter is set to 0.1.</w:t>
      </w:r>
    </w:p>
    <w:p w14:paraId="2526A8E0" w14:textId="77777777" w:rsidR="00227E57" w:rsidRDefault="00227E57" w:rsidP="00227E57">
      <w:pPr>
        <w:pStyle w:val="Balk3"/>
      </w:pPr>
      <w:r>
        <w:rPr>
          <w:rFonts w:ascii="Times New Roman" w:eastAsia="Times New Roman" w:hAnsi="Times New Roman" w:cs="Times New Roman"/>
          <w:b/>
          <w:bCs/>
          <w:i/>
          <w:iCs/>
          <w:sz w:val="22"/>
          <w:szCs w:val="22"/>
        </w:rPr>
        <w:t>3.4.4. Optimization and Training Protocol</w:t>
      </w:r>
    </w:p>
    <w:p w14:paraId="57297144" w14:textId="77777777" w:rsidR="00227E57" w:rsidRDefault="00227E57" w:rsidP="00227E57">
      <w:pPr>
        <w:spacing w:after="120" w:line="360" w:lineRule="auto"/>
        <w:jc w:val="both"/>
      </w:pPr>
      <w:r>
        <w:rPr>
          <w:rFonts w:ascii="Times New Roman" w:eastAsia="Times New Roman" w:hAnsi="Times New Roman" w:cs="Times New Roman"/>
          <w:sz w:val="22"/>
          <w:szCs w:val="22"/>
        </w:rPr>
        <w:t xml:space="preserve">Training is performed with differential learning rates: trainable parameters within the DINOv2 backbone are updated with a learning rate of 1 × 10⁻⁵, whereas the randomly initialized projection head is updated with 1 × 10⁻⁴. This choice aims to prevent catastrophic forgetting of the pre-trained representations in the backbone. The Adam optimizer is used with a batch size of 32 and a total of 5 epochs. Input images are resized to 518 × 518 pixels (a multiple of DINOv2's patch size of 14) and normalized using the standard ImageNet mean and standard deviation. Data augmentation is restricted to color-based </w:t>
      </w:r>
      <w:proofErr w:type="spellStart"/>
      <w:r>
        <w:rPr>
          <w:rFonts w:ascii="Times New Roman" w:eastAsia="Times New Roman" w:hAnsi="Times New Roman" w:cs="Times New Roman"/>
          <w:sz w:val="22"/>
          <w:szCs w:val="22"/>
        </w:rPr>
        <w:t>ColorJitter</w:t>
      </w:r>
      <w:proofErr w:type="spellEnd"/>
      <w:r>
        <w:rPr>
          <w:rFonts w:ascii="Times New Roman" w:eastAsia="Times New Roman" w:hAnsi="Times New Roman" w:cs="Times New Roman"/>
          <w:sz w:val="22"/>
          <w:szCs w:val="22"/>
        </w:rPr>
        <w:t xml:space="preserve"> (brightness = 0.3, contrast = 0.3, saturation = 0.3); geometric augmentations are deliberately avoided because </w:t>
      </w:r>
      <w:proofErr w:type="gramStart"/>
      <w:r>
        <w:rPr>
          <w:rFonts w:ascii="Times New Roman" w:eastAsia="Times New Roman" w:hAnsi="Times New Roman" w:cs="Times New Roman"/>
          <w:sz w:val="22"/>
          <w:szCs w:val="22"/>
        </w:rPr>
        <w:t>they would</w:t>
      </w:r>
      <w:proofErr w:type="gramEnd"/>
      <w:r>
        <w:rPr>
          <w:rFonts w:ascii="Times New Roman" w:eastAsia="Times New Roman" w:hAnsi="Times New Roman" w:cs="Times New Roman"/>
          <w:sz w:val="22"/>
          <w:szCs w:val="22"/>
        </w:rPr>
        <w:t xml:space="preserve"> distort the geographic consistency critical to VPR. All hyperparameters are summarized in Table 2.</w:t>
      </w:r>
    </w:p>
    <w:p w14:paraId="6BEB1A03" w14:textId="77777777" w:rsidR="00227E57" w:rsidRDefault="00227E57" w:rsidP="00227E57">
      <w:pPr>
        <w:spacing w:before="120" w:after="240"/>
        <w:jc w:val="center"/>
      </w:pPr>
      <w:r>
        <w:rPr>
          <w:rFonts w:ascii="Times New Roman" w:eastAsia="Times New Roman" w:hAnsi="Times New Roman" w:cs="Times New Roman"/>
          <w:i/>
          <w:iCs/>
          <w:sz w:val="20"/>
          <w:szCs w:val="20"/>
        </w:rPr>
        <w:t>Table 2. Hyperparameters used for DINOv2 fine-tuning.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227E57" w14:paraId="74937FE0" w14:textId="77777777" w:rsidTr="0017460A">
        <w:tc>
          <w:tcPr>
            <w:tcW w:w="45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551DCE7" w14:textId="77777777" w:rsidR="00227E57" w:rsidRDefault="00227E57" w:rsidP="00B510C5">
            <w:pPr>
              <w:spacing w:after="0" w:line="240" w:lineRule="auto"/>
            </w:pPr>
            <w:r>
              <w:rPr>
                <w:rFonts w:ascii="Times New Roman" w:eastAsia="Times New Roman" w:hAnsi="Times New Roman" w:cs="Times New Roman"/>
                <w:b/>
                <w:bCs/>
                <w:sz w:val="20"/>
                <w:szCs w:val="20"/>
              </w:rPr>
              <w:t>Hyperparameter</w:t>
            </w:r>
          </w:p>
        </w:tc>
        <w:tc>
          <w:tcPr>
            <w:tcW w:w="45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0944E7B" w14:textId="77777777" w:rsidR="00227E57" w:rsidRDefault="00227E57" w:rsidP="00B510C5">
            <w:pPr>
              <w:spacing w:after="0" w:line="240" w:lineRule="auto"/>
              <w:jc w:val="center"/>
            </w:pPr>
            <w:r>
              <w:rPr>
                <w:rFonts w:ascii="Times New Roman" w:eastAsia="Times New Roman" w:hAnsi="Times New Roman" w:cs="Times New Roman"/>
                <w:b/>
                <w:bCs/>
                <w:sz w:val="20"/>
                <w:szCs w:val="20"/>
              </w:rPr>
              <w:t>Value</w:t>
            </w:r>
          </w:p>
        </w:tc>
      </w:tr>
      <w:tr w:rsidR="00227E57" w14:paraId="1C70C129" w14:textId="77777777" w:rsidTr="0017460A">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9DA13F" w14:textId="77777777" w:rsidR="00227E57" w:rsidRDefault="00227E57" w:rsidP="00B510C5">
            <w:pPr>
              <w:spacing w:after="0" w:line="240" w:lineRule="auto"/>
            </w:pPr>
            <w:r>
              <w:rPr>
                <w:rFonts w:ascii="Times New Roman" w:eastAsia="Times New Roman" w:hAnsi="Times New Roman" w:cs="Times New Roman"/>
                <w:sz w:val="20"/>
                <w:szCs w:val="20"/>
              </w:rPr>
              <w:t>Input image size</w:t>
            </w:r>
          </w:p>
        </w:tc>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3FC4E2" w14:textId="77777777" w:rsidR="00227E57" w:rsidRDefault="00227E57" w:rsidP="00B510C5">
            <w:pPr>
              <w:spacing w:after="0" w:line="240" w:lineRule="auto"/>
              <w:jc w:val="center"/>
            </w:pPr>
            <w:r>
              <w:rPr>
                <w:rFonts w:ascii="Times New Roman" w:eastAsia="Times New Roman" w:hAnsi="Times New Roman" w:cs="Times New Roman"/>
                <w:sz w:val="20"/>
                <w:szCs w:val="20"/>
              </w:rPr>
              <w:t>518 × 518 pixels</w:t>
            </w:r>
          </w:p>
        </w:tc>
      </w:tr>
      <w:tr w:rsidR="00227E57" w14:paraId="05223B88" w14:textId="77777777" w:rsidTr="0017460A">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AEF812" w14:textId="77777777" w:rsidR="00227E57" w:rsidRDefault="00227E57" w:rsidP="00B510C5">
            <w:pPr>
              <w:spacing w:after="0" w:line="240" w:lineRule="auto"/>
            </w:pPr>
            <w:r>
              <w:rPr>
                <w:rFonts w:ascii="Times New Roman" w:eastAsia="Times New Roman" w:hAnsi="Times New Roman" w:cs="Times New Roman"/>
                <w:sz w:val="20"/>
                <w:szCs w:val="20"/>
              </w:rPr>
              <w:lastRenderedPageBreak/>
              <w:t>Output embedding dimension</w:t>
            </w:r>
          </w:p>
        </w:tc>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6F8A87" w14:textId="77777777" w:rsidR="00227E57" w:rsidRDefault="00227E57" w:rsidP="00B510C5">
            <w:pPr>
              <w:spacing w:after="0" w:line="240" w:lineRule="auto"/>
              <w:jc w:val="center"/>
            </w:pPr>
            <w:r>
              <w:rPr>
                <w:rFonts w:ascii="Times New Roman" w:eastAsia="Times New Roman" w:hAnsi="Times New Roman" w:cs="Times New Roman"/>
                <w:sz w:val="20"/>
                <w:szCs w:val="20"/>
              </w:rPr>
              <w:t>512</w:t>
            </w:r>
          </w:p>
        </w:tc>
      </w:tr>
      <w:tr w:rsidR="00227E57" w14:paraId="4B7A4A96" w14:textId="77777777" w:rsidTr="0017460A">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5285C2" w14:textId="77777777" w:rsidR="00227E57" w:rsidRDefault="00227E57" w:rsidP="00B510C5">
            <w:pPr>
              <w:spacing w:after="0" w:line="240" w:lineRule="auto"/>
            </w:pPr>
            <w:r>
              <w:rPr>
                <w:rFonts w:ascii="Times New Roman" w:eastAsia="Times New Roman" w:hAnsi="Times New Roman" w:cs="Times New Roman"/>
                <w:sz w:val="20"/>
                <w:szCs w:val="20"/>
              </w:rPr>
              <w:t>Batch size</w:t>
            </w:r>
          </w:p>
        </w:tc>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E2238B" w14:textId="77777777" w:rsidR="00227E57" w:rsidRDefault="00227E57" w:rsidP="00B510C5">
            <w:pPr>
              <w:spacing w:after="0" w:line="240" w:lineRule="auto"/>
              <w:jc w:val="center"/>
            </w:pPr>
            <w:r>
              <w:rPr>
                <w:rFonts w:ascii="Times New Roman" w:eastAsia="Times New Roman" w:hAnsi="Times New Roman" w:cs="Times New Roman"/>
                <w:sz w:val="20"/>
                <w:szCs w:val="20"/>
              </w:rPr>
              <w:t>32</w:t>
            </w:r>
          </w:p>
        </w:tc>
      </w:tr>
      <w:tr w:rsidR="00227E57" w14:paraId="63328DE4" w14:textId="77777777" w:rsidTr="0017460A">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8C3416" w14:textId="77777777" w:rsidR="00227E57" w:rsidRDefault="00227E57" w:rsidP="00B510C5">
            <w:pPr>
              <w:spacing w:after="0" w:line="240" w:lineRule="auto"/>
            </w:pPr>
            <w:r>
              <w:rPr>
                <w:rFonts w:ascii="Times New Roman" w:eastAsia="Times New Roman" w:hAnsi="Times New Roman" w:cs="Times New Roman"/>
                <w:sz w:val="20"/>
                <w:szCs w:val="20"/>
              </w:rPr>
              <w:t>Number of epochs</w:t>
            </w:r>
          </w:p>
        </w:tc>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B6F06D" w14:textId="77777777" w:rsidR="00227E57" w:rsidRDefault="00227E57" w:rsidP="00B510C5">
            <w:pPr>
              <w:spacing w:after="0" w:line="240" w:lineRule="auto"/>
              <w:jc w:val="center"/>
            </w:pPr>
            <w:r>
              <w:rPr>
                <w:rFonts w:ascii="Times New Roman" w:eastAsia="Times New Roman" w:hAnsi="Times New Roman" w:cs="Times New Roman"/>
                <w:sz w:val="20"/>
                <w:szCs w:val="20"/>
              </w:rPr>
              <w:t>5</w:t>
            </w:r>
          </w:p>
        </w:tc>
      </w:tr>
      <w:tr w:rsidR="00227E57" w14:paraId="75214064" w14:textId="77777777" w:rsidTr="0017460A">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7A4D41" w14:textId="77777777" w:rsidR="00227E57" w:rsidRDefault="00227E57" w:rsidP="00B510C5">
            <w:pPr>
              <w:spacing w:after="0" w:line="240" w:lineRule="auto"/>
            </w:pPr>
            <w:r>
              <w:rPr>
                <w:rFonts w:ascii="Times New Roman" w:eastAsia="Times New Roman" w:hAnsi="Times New Roman" w:cs="Times New Roman"/>
                <w:sz w:val="20"/>
                <w:szCs w:val="20"/>
              </w:rPr>
              <w:t>Optimizer</w:t>
            </w:r>
          </w:p>
        </w:tc>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F27FE4" w14:textId="77777777" w:rsidR="00227E57" w:rsidRDefault="00227E57" w:rsidP="00B510C5">
            <w:pPr>
              <w:spacing w:after="0" w:line="240" w:lineRule="auto"/>
              <w:jc w:val="center"/>
            </w:pPr>
            <w:r>
              <w:rPr>
                <w:rFonts w:ascii="Times New Roman" w:eastAsia="Times New Roman" w:hAnsi="Times New Roman" w:cs="Times New Roman"/>
                <w:sz w:val="20"/>
                <w:szCs w:val="20"/>
              </w:rPr>
              <w:t>Adam</w:t>
            </w:r>
          </w:p>
        </w:tc>
      </w:tr>
      <w:tr w:rsidR="00227E57" w14:paraId="7D20FCD9" w14:textId="77777777" w:rsidTr="0017460A">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B0321E" w14:textId="77777777" w:rsidR="00227E57" w:rsidRDefault="00227E57" w:rsidP="00B510C5">
            <w:pPr>
              <w:spacing w:after="0" w:line="240" w:lineRule="auto"/>
            </w:pPr>
            <w:r>
              <w:rPr>
                <w:rFonts w:ascii="Times New Roman" w:eastAsia="Times New Roman" w:hAnsi="Times New Roman" w:cs="Times New Roman"/>
                <w:sz w:val="20"/>
                <w:szCs w:val="20"/>
              </w:rPr>
              <w:t>Learning rate (backbone)</w:t>
            </w:r>
          </w:p>
        </w:tc>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7F710E" w14:textId="77777777" w:rsidR="00227E57" w:rsidRDefault="00227E57" w:rsidP="00B510C5">
            <w:pPr>
              <w:spacing w:after="0" w:line="240" w:lineRule="auto"/>
              <w:jc w:val="center"/>
            </w:pPr>
            <w:r>
              <w:rPr>
                <w:rFonts w:ascii="Times New Roman" w:eastAsia="Times New Roman" w:hAnsi="Times New Roman" w:cs="Times New Roman"/>
                <w:sz w:val="20"/>
                <w:szCs w:val="20"/>
              </w:rPr>
              <w:t>1 × 10⁻⁵</w:t>
            </w:r>
          </w:p>
        </w:tc>
      </w:tr>
      <w:tr w:rsidR="00227E57" w14:paraId="14E46ADD" w14:textId="77777777" w:rsidTr="0017460A">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911E12" w14:textId="77777777" w:rsidR="00227E57" w:rsidRDefault="00227E57" w:rsidP="00B510C5">
            <w:pPr>
              <w:spacing w:after="0" w:line="240" w:lineRule="auto"/>
            </w:pPr>
            <w:r>
              <w:rPr>
                <w:rFonts w:ascii="Times New Roman" w:eastAsia="Times New Roman" w:hAnsi="Times New Roman" w:cs="Times New Roman"/>
                <w:sz w:val="20"/>
                <w:szCs w:val="20"/>
              </w:rPr>
              <w:t>Learning rate (projection head)</w:t>
            </w:r>
          </w:p>
        </w:tc>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3B8183" w14:textId="77777777" w:rsidR="00227E57" w:rsidRDefault="00227E57" w:rsidP="00B510C5">
            <w:pPr>
              <w:spacing w:after="0" w:line="240" w:lineRule="auto"/>
              <w:jc w:val="center"/>
            </w:pPr>
            <w:r>
              <w:rPr>
                <w:rFonts w:ascii="Times New Roman" w:eastAsia="Times New Roman" w:hAnsi="Times New Roman" w:cs="Times New Roman"/>
                <w:sz w:val="20"/>
                <w:szCs w:val="20"/>
              </w:rPr>
              <w:t>1 × 10⁻⁴</w:t>
            </w:r>
          </w:p>
        </w:tc>
      </w:tr>
      <w:tr w:rsidR="00227E57" w14:paraId="59B7F7A1" w14:textId="77777777" w:rsidTr="0017460A">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E465D2" w14:textId="77777777" w:rsidR="00227E57" w:rsidRDefault="00227E57" w:rsidP="00B510C5">
            <w:pPr>
              <w:spacing w:after="0" w:line="240" w:lineRule="auto"/>
            </w:pPr>
            <w:r>
              <w:rPr>
                <w:rFonts w:ascii="Times New Roman" w:eastAsia="Times New Roman" w:hAnsi="Times New Roman" w:cs="Times New Roman"/>
                <w:sz w:val="20"/>
                <w:szCs w:val="20"/>
              </w:rPr>
              <w:t>Loss function</w:t>
            </w:r>
          </w:p>
        </w:tc>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22F258" w14:textId="77777777" w:rsidR="00227E57" w:rsidRDefault="00227E57" w:rsidP="00B510C5">
            <w:pPr>
              <w:spacing w:after="0" w:line="240" w:lineRule="auto"/>
              <w:jc w:val="center"/>
            </w:pPr>
            <w:r>
              <w:rPr>
                <w:rFonts w:ascii="Times New Roman" w:eastAsia="Times New Roman" w:hAnsi="Times New Roman" w:cs="Times New Roman"/>
                <w:sz w:val="20"/>
                <w:szCs w:val="20"/>
              </w:rPr>
              <w:t>Multi-Similarity Loss</w:t>
            </w:r>
          </w:p>
        </w:tc>
      </w:tr>
      <w:tr w:rsidR="00227E57" w14:paraId="1D0FB0FD" w14:textId="77777777" w:rsidTr="0017460A">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A3B748" w14:textId="77777777" w:rsidR="00227E57" w:rsidRDefault="00227E57" w:rsidP="00B510C5">
            <w:pPr>
              <w:spacing w:after="0" w:line="240" w:lineRule="auto"/>
            </w:pPr>
            <w:r>
              <w:rPr>
                <w:rFonts w:ascii="Times New Roman" w:eastAsia="Times New Roman" w:hAnsi="Times New Roman" w:cs="Times New Roman"/>
                <w:sz w:val="20"/>
                <w:szCs w:val="20"/>
              </w:rPr>
              <w:t>MS Loss parameters</w:t>
            </w:r>
          </w:p>
        </w:tc>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BAE5D4" w14:textId="77777777" w:rsidR="00227E57" w:rsidRDefault="00227E57" w:rsidP="00B510C5">
            <w:pPr>
              <w:spacing w:after="0" w:line="240" w:lineRule="auto"/>
              <w:jc w:val="center"/>
            </w:pPr>
            <w:r>
              <w:rPr>
                <w:rFonts w:ascii="Times New Roman" w:eastAsia="Times New Roman" w:hAnsi="Times New Roman" w:cs="Times New Roman"/>
                <w:sz w:val="20"/>
                <w:szCs w:val="20"/>
              </w:rPr>
              <w:t>α = 2, β = 50, base = 0.5</w:t>
            </w:r>
          </w:p>
        </w:tc>
      </w:tr>
      <w:tr w:rsidR="00227E57" w14:paraId="2455554C" w14:textId="77777777" w:rsidTr="0017460A">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059702" w14:textId="77777777" w:rsidR="00227E57" w:rsidRDefault="00227E57" w:rsidP="00B510C5">
            <w:pPr>
              <w:spacing w:after="0" w:line="240" w:lineRule="auto"/>
            </w:pPr>
            <w:r>
              <w:rPr>
                <w:rFonts w:ascii="Times New Roman" w:eastAsia="Times New Roman" w:hAnsi="Times New Roman" w:cs="Times New Roman"/>
                <w:sz w:val="20"/>
                <w:szCs w:val="20"/>
              </w:rPr>
              <w:t>Hard Negative Miner ε</w:t>
            </w:r>
          </w:p>
        </w:tc>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7F2904" w14:textId="77777777" w:rsidR="00227E57" w:rsidRDefault="00227E57" w:rsidP="00B510C5">
            <w:pPr>
              <w:spacing w:after="0" w:line="240" w:lineRule="auto"/>
              <w:jc w:val="center"/>
            </w:pPr>
            <w:r>
              <w:rPr>
                <w:rFonts w:ascii="Times New Roman" w:eastAsia="Times New Roman" w:hAnsi="Times New Roman" w:cs="Times New Roman"/>
                <w:sz w:val="20"/>
                <w:szCs w:val="20"/>
              </w:rPr>
              <w:t>0.1</w:t>
            </w:r>
          </w:p>
        </w:tc>
      </w:tr>
      <w:tr w:rsidR="00227E57" w14:paraId="7EB70507" w14:textId="77777777" w:rsidTr="0017460A">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B60C16" w14:textId="77777777" w:rsidR="00227E57" w:rsidRDefault="00227E57" w:rsidP="00B510C5">
            <w:pPr>
              <w:spacing w:after="0" w:line="240" w:lineRule="auto"/>
            </w:pPr>
            <w:proofErr w:type="spellStart"/>
            <w:r>
              <w:rPr>
                <w:rFonts w:ascii="Times New Roman" w:eastAsia="Times New Roman" w:hAnsi="Times New Roman" w:cs="Times New Roman"/>
                <w:sz w:val="20"/>
                <w:szCs w:val="20"/>
              </w:rPr>
              <w:t>MPerClassSampler</w:t>
            </w:r>
            <w:proofErr w:type="spellEnd"/>
            <w:r>
              <w:rPr>
                <w:rFonts w:ascii="Times New Roman" w:eastAsia="Times New Roman" w:hAnsi="Times New Roman" w:cs="Times New Roman"/>
                <w:sz w:val="20"/>
                <w:szCs w:val="20"/>
              </w:rPr>
              <w:t xml:space="preserve"> m</w:t>
            </w:r>
          </w:p>
        </w:tc>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FAB321" w14:textId="77777777" w:rsidR="00227E57" w:rsidRDefault="00227E57" w:rsidP="00B510C5">
            <w:pPr>
              <w:spacing w:after="0" w:line="240" w:lineRule="auto"/>
              <w:jc w:val="center"/>
            </w:pPr>
            <w:r>
              <w:rPr>
                <w:rFonts w:ascii="Times New Roman" w:eastAsia="Times New Roman" w:hAnsi="Times New Roman" w:cs="Times New Roman"/>
                <w:sz w:val="20"/>
                <w:szCs w:val="20"/>
              </w:rPr>
              <w:t>4 (heading count)</w:t>
            </w:r>
          </w:p>
        </w:tc>
      </w:tr>
      <w:tr w:rsidR="00227E57" w14:paraId="69342B5A" w14:textId="77777777" w:rsidTr="0017460A">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48CA1D" w14:textId="77777777" w:rsidR="00227E57" w:rsidRDefault="00227E57" w:rsidP="00B510C5">
            <w:pPr>
              <w:spacing w:after="0" w:line="240" w:lineRule="auto"/>
            </w:pPr>
            <w:r>
              <w:rPr>
                <w:rFonts w:ascii="Times New Roman" w:eastAsia="Times New Roman" w:hAnsi="Times New Roman" w:cs="Times New Roman"/>
                <w:sz w:val="20"/>
                <w:szCs w:val="20"/>
              </w:rPr>
              <w:t>Unfrozen Transformer blocks</w:t>
            </w:r>
          </w:p>
        </w:tc>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7E9C04" w14:textId="77777777" w:rsidR="00227E57" w:rsidRDefault="00227E57" w:rsidP="00B510C5">
            <w:pPr>
              <w:spacing w:after="0" w:line="240" w:lineRule="auto"/>
              <w:jc w:val="center"/>
            </w:pPr>
            <w:r>
              <w:rPr>
                <w:rFonts w:ascii="Times New Roman" w:eastAsia="Times New Roman" w:hAnsi="Times New Roman" w:cs="Times New Roman"/>
                <w:sz w:val="20"/>
                <w:szCs w:val="20"/>
              </w:rPr>
              <w:t>Last 4 blocks (8–11) + norm</w:t>
            </w:r>
          </w:p>
        </w:tc>
      </w:tr>
      <w:tr w:rsidR="00227E57" w14:paraId="7E73E0B5" w14:textId="77777777" w:rsidTr="0017460A">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701D1A" w14:textId="77777777" w:rsidR="00227E57" w:rsidRDefault="00227E57" w:rsidP="00B510C5">
            <w:pPr>
              <w:spacing w:after="0" w:line="240" w:lineRule="auto"/>
            </w:pPr>
            <w:r>
              <w:rPr>
                <w:rFonts w:ascii="Times New Roman" w:eastAsia="Times New Roman" w:hAnsi="Times New Roman" w:cs="Times New Roman"/>
                <w:sz w:val="20"/>
                <w:szCs w:val="20"/>
              </w:rPr>
              <w:t>Data augmentation</w:t>
            </w:r>
          </w:p>
        </w:tc>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191629" w14:textId="77777777" w:rsidR="00227E57" w:rsidRDefault="00227E57" w:rsidP="00B510C5">
            <w:pPr>
              <w:spacing w:after="0" w:line="240" w:lineRule="auto"/>
              <w:jc w:val="center"/>
            </w:pPr>
            <w:proofErr w:type="spellStart"/>
            <w:r>
              <w:rPr>
                <w:rFonts w:ascii="Times New Roman" w:eastAsia="Times New Roman" w:hAnsi="Times New Roman" w:cs="Times New Roman"/>
                <w:sz w:val="20"/>
                <w:szCs w:val="20"/>
              </w:rPr>
              <w:t>ColorJitter</w:t>
            </w:r>
            <w:proofErr w:type="spellEnd"/>
            <w:r>
              <w:rPr>
                <w:rFonts w:ascii="Times New Roman" w:eastAsia="Times New Roman" w:hAnsi="Times New Roman" w:cs="Times New Roman"/>
                <w:sz w:val="20"/>
                <w:szCs w:val="20"/>
              </w:rPr>
              <w:t xml:space="preserve"> (0.3 / 0.3 / 0.3)</w:t>
            </w:r>
          </w:p>
        </w:tc>
      </w:tr>
      <w:tr w:rsidR="00227E57" w14:paraId="395ADF70" w14:textId="77777777" w:rsidTr="0017460A">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807A56" w14:textId="77777777" w:rsidR="00227E57" w:rsidRDefault="00227E57" w:rsidP="00B510C5">
            <w:pPr>
              <w:spacing w:after="0" w:line="240" w:lineRule="auto"/>
            </w:pPr>
            <w:r>
              <w:rPr>
                <w:rFonts w:ascii="Times New Roman" w:eastAsia="Times New Roman" w:hAnsi="Times New Roman" w:cs="Times New Roman"/>
                <w:sz w:val="20"/>
                <w:szCs w:val="20"/>
              </w:rPr>
              <w:t>Random seed</w:t>
            </w:r>
          </w:p>
        </w:tc>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E21560" w14:textId="77777777" w:rsidR="00227E57" w:rsidRDefault="00227E57" w:rsidP="00B510C5">
            <w:pPr>
              <w:spacing w:after="0" w:line="240" w:lineRule="auto"/>
              <w:jc w:val="center"/>
            </w:pPr>
            <w:r>
              <w:rPr>
                <w:rFonts w:ascii="Times New Roman" w:eastAsia="Times New Roman" w:hAnsi="Times New Roman" w:cs="Times New Roman"/>
                <w:sz w:val="20"/>
                <w:szCs w:val="20"/>
              </w:rPr>
              <w:t>42</w:t>
            </w:r>
          </w:p>
        </w:tc>
      </w:tr>
    </w:tbl>
    <w:p w14:paraId="6E3AA42D" w14:textId="77777777" w:rsidR="00227E57" w:rsidRDefault="00227E57" w:rsidP="00227E57">
      <w:pPr>
        <w:spacing w:after="240"/>
      </w:pPr>
    </w:p>
    <w:p w14:paraId="5AB9400B" w14:textId="77777777" w:rsidR="00227E57" w:rsidRDefault="00227E57" w:rsidP="00227E57">
      <w:pPr>
        <w:pStyle w:val="Balk2"/>
        <w:spacing w:after="150"/>
      </w:pPr>
      <w:r>
        <w:rPr>
          <w:rFonts w:ascii="Times New Roman" w:eastAsia="Times New Roman" w:hAnsi="Times New Roman" w:cs="Times New Roman"/>
          <w:b/>
          <w:bCs/>
          <w:sz w:val="24"/>
          <w:szCs w:val="24"/>
        </w:rPr>
        <w:t>3.5. Vector Database and Global Retrieval</w:t>
      </w:r>
    </w:p>
    <w:p w14:paraId="0FDABCD7" w14:textId="603CE2C4" w:rsidR="00227E57" w:rsidRDefault="00227E57" w:rsidP="00227E57">
      <w:pPr>
        <w:spacing w:after="120" w:line="360" w:lineRule="auto"/>
        <w:jc w:val="both"/>
      </w:pPr>
      <w:r>
        <w:rPr>
          <w:rFonts w:ascii="Times New Roman" w:eastAsia="Times New Roman" w:hAnsi="Times New Roman" w:cs="Times New Roman"/>
          <w:sz w:val="22"/>
          <w:szCs w:val="22"/>
        </w:rPr>
        <w:t xml:space="preserve">After fine-tuning, the model is switched to inference mode and used to generate 512-dimensional embeddings for all images in the DB and query sets. DB embeddings are L2-normalized and indexed using the </w:t>
      </w:r>
      <w:proofErr w:type="spellStart"/>
      <w:r>
        <w:rPr>
          <w:rFonts w:ascii="Times New Roman" w:eastAsia="Times New Roman" w:hAnsi="Times New Roman" w:cs="Times New Roman"/>
          <w:sz w:val="22"/>
          <w:szCs w:val="22"/>
        </w:rPr>
        <w:t>IndexFlatIP</w:t>
      </w:r>
      <w:proofErr w:type="spellEnd"/>
      <w:r>
        <w:rPr>
          <w:rFonts w:ascii="Times New Roman" w:eastAsia="Times New Roman" w:hAnsi="Times New Roman" w:cs="Times New Roman"/>
          <w:sz w:val="22"/>
          <w:szCs w:val="22"/>
        </w:rPr>
        <w:t xml:space="preserve"> structure from the Facebook AI Similarity Search (FAISS) library </w:t>
      </w:r>
      <w:r w:rsidR="008020D4">
        <w:rPr>
          <w:rFonts w:ascii="Times New Roman" w:eastAsia="Times New Roman" w:hAnsi="Times New Roman" w:cs="Times New Roman"/>
          <w:sz w:val="22"/>
          <w:szCs w:val="22"/>
        </w:rPr>
        <w:fldChar w:fldCharType="begin"/>
      </w:r>
      <w:r w:rsidR="008020D4">
        <w:rPr>
          <w:rFonts w:ascii="Times New Roman" w:eastAsia="Times New Roman" w:hAnsi="Times New Roman" w:cs="Times New Roman"/>
          <w:sz w:val="22"/>
          <w:szCs w:val="22"/>
        </w:rPr>
        <w:instrText xml:space="preserve"> ADDIN EN.CITE &lt;EndNote&gt;&lt;Cite&gt;&lt;Author&gt;Douze&lt;/Author&gt;&lt;Year&gt;2025&lt;/Year&gt;&lt;RecNum&gt;1369&lt;/RecNum&gt;&lt;DisplayText&gt;(Douze et al. 2025)&lt;/DisplayText&gt;&lt;record&gt;&lt;rec-number&gt;1369&lt;/rec-number&gt;&lt;foreign-keys&gt;&lt;key app="EN" db-id="dx50w9txmzwp0uex5r95r20sfz029raapfrf" timestamp="1776455290"&gt;1369&lt;/key&gt;&lt;/foreign-keys&gt;&lt;ref-type name="Journal Article"&gt;17&lt;/ref-type&gt;&lt;contributors&gt;&lt;authors&gt;&lt;author&gt;Douze, Matthijs&lt;/author&gt;&lt;author&gt;Guzhva, Alexandr&lt;/author&gt;&lt;author&gt;Deng, Chengqi&lt;/author&gt;&lt;author&gt;Johnson, Jeff&lt;/author&gt;&lt;author&gt;Szilvasy, Gergely&lt;/author&gt;&lt;author&gt;Mazaré, Pierre-Emmanuel&lt;/author&gt;&lt;author&gt;Lomeli, Maria&lt;/author&gt;&lt;author&gt;Hosseini, Lucas&lt;/author&gt;&lt;author&gt;Jégou, Hervé&lt;/author&gt;&lt;/authors&gt;&lt;/contributors&gt;&lt;titles&gt;&lt;title&gt;The faiss library&lt;/title&gt;&lt;secondary-title&gt;IEEE Transactions on Big Data&lt;/secondary-title&gt;&lt;/titles&gt;&lt;periodical&gt;&lt;full-title&gt;IEEE Transactions on Big Data&lt;/full-title&gt;&lt;/periodical&gt;&lt;dates&gt;&lt;year&gt;2025&lt;/year&gt;&lt;/dates&gt;&lt;isbn&gt;2332-7790&lt;/isbn&gt;&lt;urls&gt;&lt;/urls&gt;&lt;/record&gt;&lt;/Cite&gt;&lt;/EndNote&gt;</w:instrText>
      </w:r>
      <w:r w:rsidR="008020D4">
        <w:rPr>
          <w:rFonts w:ascii="Times New Roman" w:eastAsia="Times New Roman" w:hAnsi="Times New Roman" w:cs="Times New Roman"/>
          <w:sz w:val="22"/>
          <w:szCs w:val="22"/>
        </w:rPr>
        <w:fldChar w:fldCharType="separate"/>
      </w:r>
      <w:r w:rsidR="008020D4">
        <w:rPr>
          <w:rFonts w:ascii="Times New Roman" w:eastAsia="Times New Roman" w:hAnsi="Times New Roman" w:cs="Times New Roman"/>
          <w:noProof/>
          <w:sz w:val="22"/>
          <w:szCs w:val="22"/>
        </w:rPr>
        <w:t>(Douze et al. 2025)</w:t>
      </w:r>
      <w:r w:rsidR="008020D4">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xml:space="preserve">. Because L2-normalized vectors yield an inner product equal to the cosine similarity, this indexing choice enables cosine-based search with constant-cost inner-product computation. For each query, the K nearest candidates </w:t>
      </w:r>
      <w:proofErr w:type="gramStart"/>
      <w:r>
        <w:rPr>
          <w:rFonts w:ascii="Times New Roman" w:eastAsia="Times New Roman" w:hAnsi="Times New Roman" w:cs="Times New Roman"/>
          <w:sz w:val="22"/>
          <w:szCs w:val="22"/>
        </w:rPr>
        <w:t>are</w:t>
      </w:r>
      <w:proofErr w:type="gramEnd"/>
      <w:r>
        <w:rPr>
          <w:rFonts w:ascii="Times New Roman" w:eastAsia="Times New Roman" w:hAnsi="Times New Roman" w:cs="Times New Roman"/>
          <w:sz w:val="22"/>
          <w:szCs w:val="22"/>
        </w:rPr>
        <w:t xml:space="preserve"> retrieved with a single dot-product search.</w:t>
      </w:r>
    </w:p>
    <w:p w14:paraId="558B4B96" w14:textId="77777777" w:rsidR="00227E57" w:rsidRDefault="00227E57" w:rsidP="00227E57">
      <w:pPr>
        <w:pStyle w:val="Balk2"/>
        <w:spacing w:after="150"/>
      </w:pPr>
      <w:r>
        <w:rPr>
          <w:rFonts w:ascii="Times New Roman" w:eastAsia="Times New Roman" w:hAnsi="Times New Roman" w:cs="Times New Roman"/>
          <w:b/>
          <w:bCs/>
          <w:sz w:val="24"/>
          <w:szCs w:val="24"/>
        </w:rPr>
        <w:t>3.6. Comparative Experimental Framework</w:t>
      </w:r>
    </w:p>
    <w:p w14:paraId="5BDF9E45" w14:textId="77777777" w:rsidR="00227E57" w:rsidRDefault="00227E57" w:rsidP="00227E57">
      <w:pPr>
        <w:spacing w:after="120" w:line="360" w:lineRule="auto"/>
        <w:jc w:val="both"/>
      </w:pPr>
      <w:r>
        <w:rPr>
          <w:rFonts w:ascii="Times New Roman" w:eastAsia="Times New Roman" w:hAnsi="Times New Roman" w:cs="Times New Roman"/>
          <w:sz w:val="22"/>
          <w:szCs w:val="22"/>
        </w:rPr>
        <w:t xml:space="preserve">To isolate the contribution of the main model and quantify the effect of individual architectural choices, additional experiments are organized under four themes. </w:t>
      </w:r>
      <w:proofErr w:type="gramStart"/>
      <w:r>
        <w:rPr>
          <w:rFonts w:ascii="Times New Roman" w:eastAsia="Times New Roman" w:hAnsi="Times New Roman" w:cs="Times New Roman"/>
          <w:sz w:val="22"/>
          <w:szCs w:val="22"/>
        </w:rPr>
        <w:t>All of</w:t>
      </w:r>
      <w:proofErr w:type="gramEnd"/>
      <w:r>
        <w:rPr>
          <w:rFonts w:ascii="Times New Roman" w:eastAsia="Times New Roman" w:hAnsi="Times New Roman" w:cs="Times New Roman"/>
          <w:sz w:val="22"/>
          <w:szCs w:val="22"/>
        </w:rPr>
        <w:t xml:space="preserve"> these experiments use the same data split, the same random seed, and the same evaluation set as the main model.</w:t>
      </w:r>
    </w:p>
    <w:p w14:paraId="2CC7A2AC" w14:textId="77777777" w:rsidR="00227E57" w:rsidRDefault="00227E57" w:rsidP="00227E57">
      <w:pPr>
        <w:pStyle w:val="Balk3"/>
      </w:pPr>
      <w:r>
        <w:rPr>
          <w:rFonts w:ascii="Times New Roman" w:eastAsia="Times New Roman" w:hAnsi="Times New Roman" w:cs="Times New Roman"/>
          <w:b/>
          <w:bCs/>
          <w:i/>
          <w:iCs/>
          <w:sz w:val="22"/>
          <w:szCs w:val="22"/>
        </w:rPr>
        <w:t>3.6.1. Baseline: Frozen DINOv2</w:t>
      </w:r>
    </w:p>
    <w:p w14:paraId="01B85FA7" w14:textId="77777777" w:rsidR="00227E57" w:rsidRDefault="00227E57" w:rsidP="00227E57">
      <w:pPr>
        <w:spacing w:after="120" w:line="360" w:lineRule="auto"/>
        <w:jc w:val="both"/>
      </w:pPr>
      <w:r>
        <w:rPr>
          <w:rFonts w:ascii="Times New Roman" w:eastAsia="Times New Roman" w:hAnsi="Times New Roman" w:cs="Times New Roman"/>
          <w:sz w:val="22"/>
          <w:szCs w:val="22"/>
        </w:rPr>
        <w:t xml:space="preserve">To quantify the contribution of fine-tuning, a baseline model is constructed in which all parameters of the DINOv2 backbone are frozen and only the projection head is trained. This baseline uses </w:t>
      </w:r>
      <w:proofErr w:type="spellStart"/>
      <w:r>
        <w:rPr>
          <w:rFonts w:ascii="Times New Roman" w:eastAsia="Times New Roman" w:hAnsi="Times New Roman" w:cs="Times New Roman"/>
          <w:sz w:val="22"/>
          <w:szCs w:val="22"/>
        </w:rPr>
        <w:t>GeM</w:t>
      </w:r>
      <w:proofErr w:type="spellEnd"/>
      <w:r>
        <w:rPr>
          <w:rFonts w:ascii="Times New Roman" w:eastAsia="Times New Roman" w:hAnsi="Times New Roman" w:cs="Times New Roman"/>
          <w:sz w:val="22"/>
          <w:szCs w:val="22"/>
        </w:rPr>
        <w:t xml:space="preserve"> pooling, MS Loss, and identical training conditions to the main model. It therefore measures the performance attainable with off-the-shelf DINOv2 representations without any adaptation to the </w:t>
      </w:r>
      <w:proofErr w:type="spellStart"/>
      <w:r>
        <w:rPr>
          <w:rFonts w:ascii="Times New Roman" w:eastAsia="Times New Roman" w:hAnsi="Times New Roman" w:cs="Times New Roman"/>
          <w:sz w:val="22"/>
          <w:szCs w:val="22"/>
        </w:rPr>
        <w:t>Kırşehir</w:t>
      </w:r>
      <w:proofErr w:type="spellEnd"/>
      <w:r>
        <w:rPr>
          <w:rFonts w:ascii="Times New Roman" w:eastAsia="Times New Roman" w:hAnsi="Times New Roman" w:cs="Times New Roman"/>
          <w:sz w:val="22"/>
          <w:szCs w:val="22"/>
        </w:rPr>
        <w:t xml:space="preserve"> dataset.</w:t>
      </w:r>
    </w:p>
    <w:p w14:paraId="193A41DE" w14:textId="77777777" w:rsidR="00227E57" w:rsidRDefault="00227E57" w:rsidP="00227E57">
      <w:pPr>
        <w:pStyle w:val="Balk3"/>
      </w:pPr>
      <w:r>
        <w:rPr>
          <w:rFonts w:ascii="Times New Roman" w:eastAsia="Times New Roman" w:hAnsi="Times New Roman" w:cs="Times New Roman"/>
          <w:b/>
          <w:bCs/>
          <w:i/>
          <w:iCs/>
          <w:sz w:val="22"/>
          <w:szCs w:val="22"/>
        </w:rPr>
        <w:t>3.6.2. Ablation Studies</w:t>
      </w:r>
    </w:p>
    <w:p w14:paraId="6AFD9DF7" w14:textId="77777777" w:rsidR="00227E57" w:rsidRDefault="00227E57" w:rsidP="00227E57">
      <w:pPr>
        <w:spacing w:after="120" w:line="360" w:lineRule="auto"/>
        <w:jc w:val="both"/>
      </w:pPr>
      <w:r>
        <w:rPr>
          <w:rFonts w:ascii="Times New Roman" w:eastAsia="Times New Roman" w:hAnsi="Times New Roman" w:cs="Times New Roman"/>
          <w:sz w:val="22"/>
          <w:szCs w:val="22"/>
        </w:rPr>
        <w:t>Two core design decisions of the main model — the pooling strategy and the loss function — are examined through ablations.</w:t>
      </w:r>
    </w:p>
    <w:p w14:paraId="1EA2060B" w14:textId="77777777" w:rsidR="00227E57" w:rsidRDefault="00227E57" w:rsidP="00227E57">
      <w:pPr>
        <w:spacing w:after="120" w:line="360" w:lineRule="auto"/>
        <w:jc w:val="both"/>
      </w:pPr>
      <w:r>
        <w:rPr>
          <w:rFonts w:ascii="Times New Roman" w:eastAsia="Times New Roman" w:hAnsi="Times New Roman" w:cs="Times New Roman"/>
          <w:b/>
          <w:bCs/>
          <w:sz w:val="22"/>
          <w:szCs w:val="22"/>
        </w:rPr>
        <w:lastRenderedPageBreak/>
        <w:t xml:space="preserve">CLS token vs. </w:t>
      </w:r>
      <w:proofErr w:type="spellStart"/>
      <w:r>
        <w:rPr>
          <w:rFonts w:ascii="Times New Roman" w:eastAsia="Times New Roman" w:hAnsi="Times New Roman" w:cs="Times New Roman"/>
          <w:b/>
          <w:bCs/>
          <w:sz w:val="22"/>
          <w:szCs w:val="22"/>
        </w:rPr>
        <w:t>GeM</w:t>
      </w:r>
      <w:proofErr w:type="spellEnd"/>
      <w:r>
        <w:rPr>
          <w:rFonts w:ascii="Times New Roman" w:eastAsia="Times New Roman" w:hAnsi="Times New Roman" w:cs="Times New Roman"/>
          <w:b/>
          <w:bCs/>
          <w:sz w:val="22"/>
          <w:szCs w:val="22"/>
        </w:rPr>
        <w:t xml:space="preserve"> pooling: </w:t>
      </w:r>
      <w:r>
        <w:rPr>
          <w:rFonts w:ascii="Times New Roman" w:eastAsia="Times New Roman" w:hAnsi="Times New Roman" w:cs="Times New Roman"/>
          <w:sz w:val="22"/>
          <w:szCs w:val="22"/>
        </w:rPr>
        <w:t xml:space="preserve">A variant is trained in which the CLS token of DINOv2 is used directly in place of </w:t>
      </w:r>
      <w:proofErr w:type="spellStart"/>
      <w:r>
        <w:rPr>
          <w:rFonts w:ascii="Times New Roman" w:eastAsia="Times New Roman" w:hAnsi="Times New Roman" w:cs="Times New Roman"/>
          <w:sz w:val="22"/>
          <w:szCs w:val="22"/>
        </w:rPr>
        <w:t>GeM</w:t>
      </w:r>
      <w:proofErr w:type="spellEnd"/>
      <w:r>
        <w:rPr>
          <w:rFonts w:ascii="Times New Roman" w:eastAsia="Times New Roman" w:hAnsi="Times New Roman" w:cs="Times New Roman"/>
          <w:sz w:val="22"/>
          <w:szCs w:val="22"/>
        </w:rPr>
        <w:t xml:space="preserve"> pooling. The </w:t>
      </w:r>
      <w:proofErr w:type="spellStart"/>
      <w:r>
        <w:rPr>
          <w:rFonts w:ascii="Times New Roman" w:eastAsia="Times New Roman" w:hAnsi="Times New Roman" w:cs="Times New Roman"/>
          <w:sz w:val="22"/>
          <w:szCs w:val="22"/>
        </w:rPr>
        <w:t>GeM</w:t>
      </w:r>
      <w:proofErr w:type="spellEnd"/>
      <w:r>
        <w:rPr>
          <w:rFonts w:ascii="Times New Roman" w:eastAsia="Times New Roman" w:hAnsi="Times New Roman" w:cs="Times New Roman"/>
          <w:sz w:val="22"/>
          <w:szCs w:val="22"/>
        </w:rPr>
        <w:t xml:space="preserve"> module is disabled while all other components (projection head, loss, optimizer) are held identical to the main model, thereby isolating the effect of spatial patch information against a global CLS summary for the VPR task.</w:t>
      </w:r>
    </w:p>
    <w:p w14:paraId="48CE8A78" w14:textId="79931160" w:rsidR="00227E57" w:rsidRDefault="00227E57" w:rsidP="00227E57">
      <w:pPr>
        <w:spacing w:after="120" w:line="360" w:lineRule="auto"/>
        <w:jc w:val="both"/>
      </w:pPr>
      <w:r>
        <w:rPr>
          <w:rFonts w:ascii="Times New Roman" w:eastAsia="Times New Roman" w:hAnsi="Times New Roman" w:cs="Times New Roman"/>
          <w:b/>
          <w:bCs/>
          <w:sz w:val="22"/>
          <w:szCs w:val="22"/>
        </w:rPr>
        <w:t xml:space="preserve">Triplet Loss vs. Multi-Similarity Loss: </w:t>
      </w:r>
      <w:r>
        <w:rPr>
          <w:rFonts w:ascii="Times New Roman" w:eastAsia="Times New Roman" w:hAnsi="Times New Roman" w:cs="Times New Roman"/>
          <w:sz w:val="22"/>
          <w:szCs w:val="22"/>
        </w:rPr>
        <w:t xml:space="preserve">A variant is trained in which MS Loss is replaced by the classical Triplet Margin Loss </w:t>
      </w:r>
      <w:r w:rsidR="008020D4">
        <w:rPr>
          <w:rFonts w:ascii="Times New Roman" w:eastAsia="Times New Roman" w:hAnsi="Times New Roman" w:cs="Times New Roman"/>
          <w:sz w:val="22"/>
          <w:szCs w:val="22"/>
        </w:rPr>
        <w:fldChar w:fldCharType="begin"/>
      </w:r>
      <w:r w:rsidR="008020D4">
        <w:rPr>
          <w:rFonts w:ascii="Times New Roman" w:eastAsia="Times New Roman" w:hAnsi="Times New Roman" w:cs="Times New Roman"/>
          <w:sz w:val="22"/>
          <w:szCs w:val="22"/>
        </w:rPr>
        <w:instrText xml:space="preserve"> ADDIN EN.CITE &lt;EndNote&gt;&lt;Cite&gt;&lt;Author&gt;Schroff&lt;/Author&gt;&lt;Year&gt;2015&lt;/Year&gt;&lt;RecNum&gt;1370&lt;/RecNum&gt;&lt;DisplayText&gt;(Schroff et al. 2015)&lt;/DisplayText&gt;&lt;record&gt;&lt;rec-number&gt;1370&lt;/rec-number&gt;&lt;foreign-keys&gt;&lt;key app="EN" db-id="dx50w9txmzwp0uex5r95r20sfz029raapfrf" timestamp="1776455331"&gt;1370&lt;/key&gt;&lt;/foreign-keys&gt;&lt;ref-type name="Conference Proceedings"&gt;10&lt;/ref-type&gt;&lt;contributors&gt;&lt;authors&gt;&lt;author&gt;Schroff, Florian&lt;/author&gt;&lt;author&gt;Kalenichenko, Dmitry&lt;/author&gt;&lt;author&gt;Philbin, James&lt;/author&gt;&lt;/authors&gt;&lt;/contributors&gt;&lt;titles&gt;&lt;title&gt;Facenet: A unified embedding for face recognition and clustering&lt;/title&gt;&lt;secondary-title&gt;Proceedings of the IEEE conference on computer vision and pattern recognition&lt;/secondary-title&gt;&lt;/titles&gt;&lt;pages&gt;815-823&lt;/pages&gt;&lt;dates&gt;&lt;year&gt;2015&lt;/year&gt;&lt;/dates&gt;&lt;urls&gt;&lt;/urls&gt;&lt;/record&gt;&lt;/Cite&gt;&lt;/EndNote&gt;</w:instrText>
      </w:r>
      <w:r w:rsidR="008020D4">
        <w:rPr>
          <w:rFonts w:ascii="Times New Roman" w:eastAsia="Times New Roman" w:hAnsi="Times New Roman" w:cs="Times New Roman"/>
          <w:sz w:val="22"/>
          <w:szCs w:val="22"/>
        </w:rPr>
        <w:fldChar w:fldCharType="separate"/>
      </w:r>
      <w:r w:rsidR="008020D4">
        <w:rPr>
          <w:rFonts w:ascii="Times New Roman" w:eastAsia="Times New Roman" w:hAnsi="Times New Roman" w:cs="Times New Roman"/>
          <w:noProof/>
          <w:sz w:val="22"/>
          <w:szCs w:val="22"/>
        </w:rPr>
        <w:t>(Schroff et al. 2015)</w:t>
      </w:r>
      <w:r w:rsidR="008020D4">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xml:space="preserve">. A Triplet Margin Miner (margin = 0.2, </w:t>
      </w:r>
      <w:proofErr w:type="spellStart"/>
      <w:r>
        <w:rPr>
          <w:rFonts w:ascii="Times New Roman" w:eastAsia="Times New Roman" w:hAnsi="Times New Roman" w:cs="Times New Roman"/>
          <w:sz w:val="22"/>
          <w:szCs w:val="22"/>
        </w:rPr>
        <w:t>type_of_triplets</w:t>
      </w:r>
      <w:proofErr w:type="spellEnd"/>
      <w:r>
        <w:rPr>
          <w:rFonts w:ascii="Times New Roman" w:eastAsia="Times New Roman" w:hAnsi="Times New Roman" w:cs="Times New Roman"/>
          <w:sz w:val="22"/>
          <w:szCs w:val="22"/>
        </w:rPr>
        <w:t xml:space="preserve"> = "hard") is used for hard triplet mining; all other components are held identical to the main model.</w:t>
      </w:r>
    </w:p>
    <w:p w14:paraId="36A2F975" w14:textId="77777777" w:rsidR="00227E57" w:rsidRDefault="00227E57" w:rsidP="00227E57">
      <w:pPr>
        <w:pStyle w:val="Balk3"/>
      </w:pPr>
      <w:r>
        <w:rPr>
          <w:rFonts w:ascii="Times New Roman" w:eastAsia="Times New Roman" w:hAnsi="Times New Roman" w:cs="Times New Roman"/>
          <w:b/>
          <w:bCs/>
          <w:i/>
          <w:iCs/>
          <w:sz w:val="22"/>
          <w:szCs w:val="22"/>
        </w:rPr>
        <w:t xml:space="preserve">3.6.3. DINOv2 Variant Comparison: </w:t>
      </w:r>
      <w:proofErr w:type="spellStart"/>
      <w:r>
        <w:rPr>
          <w:rFonts w:ascii="Times New Roman" w:eastAsia="Times New Roman" w:hAnsi="Times New Roman" w:cs="Times New Roman"/>
          <w:b/>
          <w:bCs/>
          <w:i/>
          <w:iCs/>
          <w:sz w:val="22"/>
          <w:szCs w:val="22"/>
        </w:rPr>
        <w:t>ViT</w:t>
      </w:r>
      <w:proofErr w:type="spellEnd"/>
      <w:r>
        <w:rPr>
          <w:rFonts w:ascii="Times New Roman" w:eastAsia="Times New Roman" w:hAnsi="Times New Roman" w:cs="Times New Roman"/>
          <w:b/>
          <w:bCs/>
          <w:i/>
          <w:iCs/>
          <w:sz w:val="22"/>
          <w:szCs w:val="22"/>
        </w:rPr>
        <w:t xml:space="preserve">-S/14 vs. </w:t>
      </w:r>
      <w:proofErr w:type="spellStart"/>
      <w:r>
        <w:rPr>
          <w:rFonts w:ascii="Times New Roman" w:eastAsia="Times New Roman" w:hAnsi="Times New Roman" w:cs="Times New Roman"/>
          <w:b/>
          <w:bCs/>
          <w:i/>
          <w:iCs/>
          <w:sz w:val="22"/>
          <w:szCs w:val="22"/>
        </w:rPr>
        <w:t>ViT</w:t>
      </w:r>
      <w:proofErr w:type="spellEnd"/>
      <w:r>
        <w:rPr>
          <w:rFonts w:ascii="Times New Roman" w:eastAsia="Times New Roman" w:hAnsi="Times New Roman" w:cs="Times New Roman"/>
          <w:b/>
          <w:bCs/>
          <w:i/>
          <w:iCs/>
          <w:sz w:val="22"/>
          <w:szCs w:val="22"/>
        </w:rPr>
        <w:t>-B/14</w:t>
      </w:r>
    </w:p>
    <w:p w14:paraId="2548CB82" w14:textId="77777777" w:rsidR="00227E57" w:rsidRDefault="00227E57" w:rsidP="00227E57">
      <w:pPr>
        <w:spacing w:after="120" w:line="360" w:lineRule="auto"/>
        <w:jc w:val="both"/>
      </w:pPr>
      <w:r>
        <w:rPr>
          <w:rFonts w:ascii="Times New Roman" w:eastAsia="Times New Roman" w:hAnsi="Times New Roman" w:cs="Times New Roman"/>
          <w:sz w:val="22"/>
          <w:szCs w:val="22"/>
        </w:rPr>
        <w:t xml:space="preserve">To examine the size–performance trade-off, which is of practical relevance for deployment, the DINOv2 </w:t>
      </w:r>
      <w:proofErr w:type="spellStart"/>
      <w:r>
        <w:rPr>
          <w:rFonts w:ascii="Times New Roman" w:eastAsia="Times New Roman" w:hAnsi="Times New Roman" w:cs="Times New Roman"/>
          <w:sz w:val="22"/>
          <w:szCs w:val="22"/>
        </w:rPr>
        <w:t>ViT</w:t>
      </w:r>
      <w:proofErr w:type="spellEnd"/>
      <w:r>
        <w:rPr>
          <w:rFonts w:ascii="Times New Roman" w:eastAsia="Times New Roman" w:hAnsi="Times New Roman" w:cs="Times New Roman"/>
          <w:sz w:val="22"/>
          <w:szCs w:val="22"/>
        </w:rPr>
        <w:t>-S/14 variant (</w:t>
      </w:r>
      <w:proofErr w:type="spellStart"/>
      <w:r>
        <w:rPr>
          <w:rFonts w:ascii="Times New Roman" w:eastAsia="Times New Roman" w:hAnsi="Times New Roman" w:cs="Times New Roman"/>
          <w:sz w:val="22"/>
          <w:szCs w:val="22"/>
        </w:rPr>
        <w:t>ViT</w:t>
      </w:r>
      <w:proofErr w:type="spellEnd"/>
      <w:r>
        <w:rPr>
          <w:rFonts w:ascii="Times New Roman" w:eastAsia="Times New Roman" w:hAnsi="Times New Roman" w:cs="Times New Roman"/>
          <w:sz w:val="22"/>
          <w:szCs w:val="22"/>
        </w:rPr>
        <w:t>-Small, 384-dimensional backbone embedding, ≈ 22M parameters) is fine-tuned from scratch using the same protocol. In this model the last four blocks of the backbone are unfrozen, and the projection head maps the 384-dimensional backbone output to the shared 512-dimensional representation space. The size–speed–accuracy comparison additionally reports single-image inference time and on-disk model size.</w:t>
      </w:r>
    </w:p>
    <w:p w14:paraId="74B3F112" w14:textId="77777777" w:rsidR="00227E57" w:rsidRDefault="00227E57" w:rsidP="00227E57">
      <w:pPr>
        <w:pStyle w:val="Balk3"/>
      </w:pPr>
      <w:r>
        <w:rPr>
          <w:rFonts w:ascii="Times New Roman" w:eastAsia="Times New Roman" w:hAnsi="Times New Roman" w:cs="Times New Roman"/>
          <w:b/>
          <w:bCs/>
          <w:i/>
          <w:iCs/>
          <w:sz w:val="22"/>
          <w:szCs w:val="22"/>
        </w:rPr>
        <w:t>3.6.4. Confidence-Based Rejection</w:t>
      </w:r>
    </w:p>
    <w:p w14:paraId="36343E3E" w14:textId="77777777" w:rsidR="00227E57" w:rsidRDefault="00227E57" w:rsidP="00227E57">
      <w:pPr>
        <w:spacing w:after="120" w:line="360" w:lineRule="auto"/>
        <w:jc w:val="both"/>
      </w:pPr>
      <w:r>
        <w:rPr>
          <w:rFonts w:ascii="Times New Roman" w:eastAsia="Times New Roman" w:hAnsi="Times New Roman" w:cs="Times New Roman"/>
          <w:sz w:val="22"/>
          <w:szCs w:val="22"/>
        </w:rPr>
        <w:t xml:space="preserve">The ability of a system to abstain when uncertain is valuable in practical deployments. To this end, a rejection mechanism based on the DINOv2 </w:t>
      </w:r>
      <w:proofErr w:type="gramStart"/>
      <w:r>
        <w:rPr>
          <w:rFonts w:ascii="Times New Roman" w:eastAsia="Times New Roman" w:hAnsi="Times New Roman" w:cs="Times New Roman"/>
          <w:sz w:val="22"/>
          <w:szCs w:val="22"/>
        </w:rPr>
        <w:t>Top-1</w:t>
      </w:r>
      <w:proofErr w:type="gramEnd"/>
      <w:r>
        <w:rPr>
          <w:rFonts w:ascii="Times New Roman" w:eastAsia="Times New Roman" w:hAnsi="Times New Roman" w:cs="Times New Roman"/>
          <w:sz w:val="22"/>
          <w:szCs w:val="22"/>
        </w:rPr>
        <w:t xml:space="preserve"> cosine similarity score is introduced. A threshold θ is swept over [0.60, 0.95] with steps of 0.01; for each θ, (</w:t>
      </w:r>
      <w:proofErr w:type="spellStart"/>
      <w:r>
        <w:rPr>
          <w:rFonts w:ascii="Times New Roman" w:eastAsia="Times New Roman" w:hAnsi="Times New Roman" w:cs="Times New Roman"/>
          <w:sz w:val="22"/>
          <w:szCs w:val="22"/>
        </w:rPr>
        <w:t>i</w:t>
      </w:r>
      <w:proofErr w:type="spellEnd"/>
      <w:r>
        <w:rPr>
          <w:rFonts w:ascii="Times New Roman" w:eastAsia="Times New Roman" w:hAnsi="Times New Roman" w:cs="Times New Roman"/>
          <w:sz w:val="22"/>
          <w:szCs w:val="22"/>
        </w:rPr>
        <w:t xml:space="preserve">) the coverage (fraction of accepted queries), (ii) the localization error computed only over accepted queries, and (iii) the </w:t>
      </w:r>
      <w:proofErr w:type="spellStart"/>
      <w:r>
        <w:rPr>
          <w:rFonts w:ascii="Times New Roman" w:eastAsia="Times New Roman" w:hAnsi="Times New Roman" w:cs="Times New Roman"/>
          <w:sz w:val="22"/>
          <w:szCs w:val="22"/>
        </w:rPr>
        <w:t>Recall@K</w:t>
      </w:r>
      <w:proofErr w:type="spellEnd"/>
      <w:r>
        <w:rPr>
          <w:rFonts w:ascii="Times New Roman" w:eastAsia="Times New Roman" w:hAnsi="Times New Roman" w:cs="Times New Roman"/>
          <w:sz w:val="22"/>
          <w:szCs w:val="22"/>
        </w:rPr>
        <w:t xml:space="preserve"> metrics are reported. This analysis also quantifies whether the cosine similarity score is a suitable signal for confidence calibration.</w:t>
      </w:r>
    </w:p>
    <w:p w14:paraId="0D44B05C" w14:textId="77777777" w:rsidR="00227E57" w:rsidRDefault="00227E57" w:rsidP="00227E57">
      <w:pPr>
        <w:pStyle w:val="Balk2"/>
        <w:spacing w:after="150"/>
      </w:pPr>
      <w:r>
        <w:rPr>
          <w:rFonts w:ascii="Times New Roman" w:eastAsia="Times New Roman" w:hAnsi="Times New Roman" w:cs="Times New Roman"/>
          <w:b/>
          <w:bCs/>
          <w:sz w:val="24"/>
          <w:szCs w:val="24"/>
        </w:rPr>
        <w:t xml:space="preserve">3.7. </w:t>
      </w:r>
      <w:proofErr w:type="spellStart"/>
      <w:r>
        <w:rPr>
          <w:rFonts w:ascii="Times New Roman" w:eastAsia="Times New Roman" w:hAnsi="Times New Roman" w:cs="Times New Roman"/>
          <w:b/>
          <w:bCs/>
          <w:sz w:val="24"/>
          <w:szCs w:val="24"/>
        </w:rPr>
        <w:t>LightGlue</w:t>
      </w:r>
      <w:proofErr w:type="spellEnd"/>
      <w:r>
        <w:rPr>
          <w:rFonts w:ascii="Times New Roman" w:eastAsia="Times New Roman" w:hAnsi="Times New Roman" w:cs="Times New Roman"/>
          <w:b/>
          <w:bCs/>
          <w:sz w:val="24"/>
          <w:szCs w:val="24"/>
        </w:rPr>
        <w:t>-Based Local Feature Re-Ranking (Stage 2)</w:t>
      </w:r>
    </w:p>
    <w:p w14:paraId="1F2E791D" w14:textId="77777777" w:rsidR="00227E57" w:rsidRDefault="00227E57" w:rsidP="00227E57">
      <w:pPr>
        <w:pStyle w:val="Balk3"/>
      </w:pPr>
      <w:r>
        <w:rPr>
          <w:rFonts w:ascii="Times New Roman" w:eastAsia="Times New Roman" w:hAnsi="Times New Roman" w:cs="Times New Roman"/>
          <w:b/>
          <w:bCs/>
          <w:i/>
          <w:iCs/>
          <w:sz w:val="22"/>
          <w:szCs w:val="22"/>
        </w:rPr>
        <w:t>3.7.1. Local Feature Extraction and Matching</w:t>
      </w:r>
    </w:p>
    <w:p w14:paraId="54E91025" w14:textId="02CEB149" w:rsidR="00227E57" w:rsidRDefault="00227E57" w:rsidP="00227E57">
      <w:pPr>
        <w:spacing w:after="120" w:line="360" w:lineRule="auto"/>
        <w:jc w:val="both"/>
      </w:pPr>
      <w:r>
        <w:rPr>
          <w:rFonts w:ascii="Times New Roman" w:eastAsia="Times New Roman" w:hAnsi="Times New Roman" w:cs="Times New Roman"/>
          <w:sz w:val="22"/>
          <w:szCs w:val="22"/>
        </w:rPr>
        <w:t xml:space="preserve">The second stage re-ranks the </w:t>
      </w:r>
      <w:proofErr w:type="gramStart"/>
      <w:r>
        <w:rPr>
          <w:rFonts w:ascii="Times New Roman" w:eastAsia="Times New Roman" w:hAnsi="Times New Roman" w:cs="Times New Roman"/>
          <w:sz w:val="22"/>
          <w:szCs w:val="22"/>
        </w:rPr>
        <w:t>Top-N</w:t>
      </w:r>
      <w:proofErr w:type="gramEnd"/>
      <w:r>
        <w:rPr>
          <w:rFonts w:ascii="Times New Roman" w:eastAsia="Times New Roman" w:hAnsi="Times New Roman" w:cs="Times New Roman"/>
          <w:sz w:val="22"/>
          <w:szCs w:val="22"/>
        </w:rPr>
        <w:t xml:space="preserve"> candidates from the first stage using local feature matching. ALIKED </w:t>
      </w:r>
      <w:r w:rsidR="00492D15">
        <w:rPr>
          <w:rFonts w:ascii="Times New Roman" w:eastAsia="Times New Roman" w:hAnsi="Times New Roman" w:cs="Times New Roman"/>
          <w:sz w:val="22"/>
          <w:szCs w:val="22"/>
        </w:rPr>
        <w:fldChar w:fldCharType="begin"/>
      </w:r>
      <w:r w:rsidR="00492D15">
        <w:rPr>
          <w:rFonts w:ascii="Times New Roman" w:eastAsia="Times New Roman" w:hAnsi="Times New Roman" w:cs="Times New Roman"/>
          <w:sz w:val="22"/>
          <w:szCs w:val="22"/>
        </w:rPr>
        <w:instrText xml:space="preserve"> ADDIN EN.CITE &lt;EndNote&gt;&lt;Cite&gt;&lt;Author&gt;Zhao&lt;/Author&gt;&lt;Year&gt;2023&lt;/Year&gt;&lt;RecNum&gt;1359&lt;/RecNum&gt;&lt;DisplayText&gt;(Zhao et al. 2023)&lt;/DisplayText&gt;&lt;record&gt;&lt;rec-number&gt;1359&lt;/rec-number&gt;&lt;foreign-keys&gt;&lt;key app="EN" db-id="dx50w9txmzwp0uex5r95r20sfz029raapfrf" timestamp="1776430282"&gt;1359&lt;/key&gt;&lt;/foreign-keys&gt;&lt;ref-type name="Journal Article"&gt;17&lt;/ref-type&gt;&lt;contributors&gt;&lt;authors&gt;&lt;author&gt;Zhao, Xiaoming&lt;/author&gt;&lt;author&gt;Wu, Xingming&lt;/author&gt;&lt;author&gt;Chen, Weihai&lt;/author&gt;&lt;author&gt;Chen, Peter CY&lt;/author&gt;&lt;author&gt;Xu, Qingsong&lt;/author&gt;&lt;author&gt;Li, Zhengguo&lt;/author&gt;&lt;/authors&gt;&lt;/contributors&gt;&lt;titles&gt;&lt;title&gt;Aliked: A lighter keypoint and descriptor extraction network via deformable transformation&lt;/title&gt;&lt;secondary-title&gt;IEEE Transactions on Instrumentation and Measurement&lt;/secondary-title&gt;&lt;/titles&gt;&lt;periodical&gt;&lt;full-title&gt;IEEE Transactions on Instrumentation and Measurement&lt;/full-title&gt;&lt;/periodical&gt;&lt;pages&gt;1-16&lt;/pages&gt;&lt;volume&gt;72&lt;/volume&gt;&lt;dates&gt;&lt;year&gt;2023&lt;/year&gt;&lt;/dates&gt;&lt;isbn&gt;0018-9456&lt;/isbn&gt;&lt;urls&gt;&lt;/urls&gt;&lt;/record&gt;&lt;/Cite&gt;&lt;/EndNote&gt;</w:instrText>
      </w:r>
      <w:r w:rsidR="00492D15">
        <w:rPr>
          <w:rFonts w:ascii="Times New Roman" w:eastAsia="Times New Roman" w:hAnsi="Times New Roman" w:cs="Times New Roman"/>
          <w:sz w:val="22"/>
          <w:szCs w:val="22"/>
        </w:rPr>
        <w:fldChar w:fldCharType="separate"/>
      </w:r>
      <w:r w:rsidR="00492D15">
        <w:rPr>
          <w:rFonts w:ascii="Times New Roman" w:eastAsia="Times New Roman" w:hAnsi="Times New Roman" w:cs="Times New Roman"/>
          <w:noProof/>
          <w:sz w:val="22"/>
          <w:szCs w:val="22"/>
        </w:rPr>
        <w:t>(Zhao et al. 2023)</w:t>
      </w:r>
      <w:r w:rsidR="00492D15">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xml:space="preserve"> is used as the local </w:t>
      </w:r>
      <w:proofErr w:type="spellStart"/>
      <w:r>
        <w:rPr>
          <w:rFonts w:ascii="Times New Roman" w:eastAsia="Times New Roman" w:hAnsi="Times New Roman" w:cs="Times New Roman"/>
          <w:sz w:val="22"/>
          <w:szCs w:val="22"/>
        </w:rPr>
        <w:t>keypoint</w:t>
      </w:r>
      <w:proofErr w:type="spellEnd"/>
      <w:r>
        <w:rPr>
          <w:rFonts w:ascii="Times New Roman" w:eastAsia="Times New Roman" w:hAnsi="Times New Roman" w:cs="Times New Roman"/>
          <w:sz w:val="22"/>
          <w:szCs w:val="22"/>
        </w:rPr>
        <w:t xml:space="preserve"> extractor, and </w:t>
      </w:r>
      <w:proofErr w:type="spellStart"/>
      <w:r>
        <w:rPr>
          <w:rFonts w:ascii="Times New Roman" w:eastAsia="Times New Roman" w:hAnsi="Times New Roman" w:cs="Times New Roman"/>
          <w:sz w:val="22"/>
          <w:szCs w:val="22"/>
        </w:rPr>
        <w:t>LightGlue</w:t>
      </w:r>
      <w:proofErr w:type="spellEnd"/>
      <w:r>
        <w:rPr>
          <w:rFonts w:ascii="Times New Roman" w:eastAsia="Times New Roman" w:hAnsi="Times New Roman" w:cs="Times New Roman"/>
          <w:sz w:val="22"/>
          <w:szCs w:val="22"/>
        </w:rPr>
        <w:t xml:space="preserve"> </w:t>
      </w:r>
      <w:r w:rsidR="00492D15">
        <w:rPr>
          <w:rFonts w:ascii="Times New Roman" w:eastAsia="Times New Roman" w:hAnsi="Times New Roman" w:cs="Times New Roman"/>
          <w:sz w:val="22"/>
          <w:szCs w:val="22"/>
        </w:rPr>
        <w:fldChar w:fldCharType="begin"/>
      </w:r>
      <w:r w:rsidR="00492D15">
        <w:rPr>
          <w:rFonts w:ascii="Times New Roman" w:eastAsia="Times New Roman" w:hAnsi="Times New Roman" w:cs="Times New Roman"/>
          <w:sz w:val="22"/>
          <w:szCs w:val="22"/>
        </w:rPr>
        <w:instrText xml:space="preserve"> ADDIN EN.CITE &lt;EndNote&gt;&lt;Cite&gt;&lt;Author&gt;Lindenberger&lt;/Author&gt;&lt;Year&gt;2023&lt;/Year&gt;&lt;RecNum&gt;1360&lt;/RecNum&gt;&lt;DisplayText&gt;(Lindenberger et al. 2023)&lt;/DisplayText&gt;&lt;record&gt;&lt;rec-number&gt;1360&lt;/rec-number&gt;&lt;foreign-keys&gt;&lt;key app="EN" db-id="dx50w9txmzwp0uex5r95r20sfz029raapfrf" timestamp="1776430326"&gt;1360&lt;/key&gt;&lt;/foreign-keys&gt;&lt;ref-type name="Conference Proceedings"&gt;10&lt;/ref-type&gt;&lt;contributors&gt;&lt;authors&gt;&lt;author&gt;Lindenberger, Philipp&lt;/author&gt;&lt;author&gt;Sarlin, Paul-Edouard&lt;/author&gt;&lt;author&gt;Pollefeys, Marc&lt;/author&gt;&lt;/authors&gt;&lt;/contributors&gt;&lt;titles&gt;&lt;title&gt;Lightglue: Local feature matching at light speed&lt;/title&gt;&lt;secondary-title&gt;Proceedings of the IEEE/CVF international conference on computer vision&lt;/secondary-title&gt;&lt;/titles&gt;&lt;pages&gt;17627-17638&lt;/pages&gt;&lt;dates&gt;&lt;year&gt;2023&lt;/year&gt;&lt;/dates&gt;&lt;urls&gt;&lt;/urls&gt;&lt;/record&gt;&lt;/Cite&gt;&lt;/EndNote&gt;</w:instrText>
      </w:r>
      <w:r w:rsidR="00492D15">
        <w:rPr>
          <w:rFonts w:ascii="Times New Roman" w:eastAsia="Times New Roman" w:hAnsi="Times New Roman" w:cs="Times New Roman"/>
          <w:sz w:val="22"/>
          <w:szCs w:val="22"/>
        </w:rPr>
        <w:fldChar w:fldCharType="separate"/>
      </w:r>
      <w:r w:rsidR="00492D15">
        <w:rPr>
          <w:rFonts w:ascii="Times New Roman" w:eastAsia="Times New Roman" w:hAnsi="Times New Roman" w:cs="Times New Roman"/>
          <w:noProof/>
          <w:sz w:val="22"/>
          <w:szCs w:val="22"/>
        </w:rPr>
        <w:t>(Lindenberger et al. 2023)</w:t>
      </w:r>
      <w:r w:rsidR="00492D15">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xml:space="preserve"> is used as the matcher. ALIKED is an efficient learned </w:t>
      </w:r>
      <w:proofErr w:type="spellStart"/>
      <w:r>
        <w:rPr>
          <w:rFonts w:ascii="Times New Roman" w:eastAsia="Times New Roman" w:hAnsi="Times New Roman" w:cs="Times New Roman"/>
          <w:sz w:val="22"/>
          <w:szCs w:val="22"/>
        </w:rPr>
        <w:t>keypoint</w:t>
      </w:r>
      <w:proofErr w:type="spellEnd"/>
      <w:r>
        <w:rPr>
          <w:rFonts w:ascii="Times New Roman" w:eastAsia="Times New Roman" w:hAnsi="Times New Roman" w:cs="Times New Roman"/>
          <w:sz w:val="22"/>
          <w:szCs w:val="22"/>
        </w:rPr>
        <w:t xml:space="preserve"> extractor based on deformable convolutions; </w:t>
      </w:r>
      <w:proofErr w:type="spellStart"/>
      <w:r>
        <w:rPr>
          <w:rFonts w:ascii="Times New Roman" w:eastAsia="Times New Roman" w:hAnsi="Times New Roman" w:cs="Times New Roman"/>
          <w:sz w:val="22"/>
          <w:szCs w:val="22"/>
        </w:rPr>
        <w:t>LightGlue</w:t>
      </w:r>
      <w:proofErr w:type="spellEnd"/>
      <w:r>
        <w:rPr>
          <w:rFonts w:ascii="Times New Roman" w:eastAsia="Times New Roman" w:hAnsi="Times New Roman" w:cs="Times New Roman"/>
          <w:sz w:val="22"/>
          <w:szCs w:val="22"/>
        </w:rPr>
        <w:t xml:space="preserve"> is a graph neural network-based matcher that incorporates an adaptive stopping mechanism for runtime efficiency. For each image, at most 1,024 </w:t>
      </w:r>
      <w:proofErr w:type="spellStart"/>
      <w:proofErr w:type="gramStart"/>
      <w:r>
        <w:rPr>
          <w:rFonts w:ascii="Times New Roman" w:eastAsia="Times New Roman" w:hAnsi="Times New Roman" w:cs="Times New Roman"/>
          <w:sz w:val="22"/>
          <w:szCs w:val="22"/>
        </w:rPr>
        <w:t>keypoints</w:t>
      </w:r>
      <w:proofErr w:type="spellEnd"/>
      <w:proofErr w:type="gramEnd"/>
      <w:r>
        <w:rPr>
          <w:rFonts w:ascii="Times New Roman" w:eastAsia="Times New Roman" w:hAnsi="Times New Roman" w:cs="Times New Roman"/>
          <w:sz w:val="22"/>
          <w:szCs w:val="22"/>
        </w:rPr>
        <w:t xml:space="preserve"> are extracted.</w:t>
      </w:r>
    </w:p>
    <w:p w14:paraId="0C1D47A4" w14:textId="77777777" w:rsidR="00227E57" w:rsidRDefault="00227E57" w:rsidP="00227E57">
      <w:pPr>
        <w:pStyle w:val="Balk3"/>
      </w:pPr>
      <w:r>
        <w:rPr>
          <w:rFonts w:ascii="Times New Roman" w:eastAsia="Times New Roman" w:hAnsi="Times New Roman" w:cs="Times New Roman"/>
          <w:b/>
          <w:bCs/>
          <w:i/>
          <w:iCs/>
          <w:sz w:val="22"/>
          <w:szCs w:val="22"/>
        </w:rPr>
        <w:t>3.7.2. Ranking Criteria</w:t>
      </w:r>
    </w:p>
    <w:p w14:paraId="5A521D24" w14:textId="77777777" w:rsidR="00227E57" w:rsidRDefault="00227E57" w:rsidP="00227E57">
      <w:pPr>
        <w:spacing w:after="120" w:line="360" w:lineRule="auto"/>
        <w:jc w:val="both"/>
      </w:pPr>
      <w:r>
        <w:rPr>
          <w:rFonts w:ascii="Times New Roman" w:eastAsia="Times New Roman" w:hAnsi="Times New Roman" w:cs="Times New Roman"/>
          <w:sz w:val="22"/>
          <w:szCs w:val="22"/>
        </w:rPr>
        <w:t xml:space="preserve">To assess whether the number of matches alone is a sufficient ranking criterion at the output of </w:t>
      </w:r>
      <w:proofErr w:type="spellStart"/>
      <w:r>
        <w:rPr>
          <w:rFonts w:ascii="Times New Roman" w:eastAsia="Times New Roman" w:hAnsi="Times New Roman" w:cs="Times New Roman"/>
          <w:sz w:val="22"/>
          <w:szCs w:val="22"/>
        </w:rPr>
        <w:t>LightGlue</w:t>
      </w:r>
      <w:proofErr w:type="spellEnd"/>
      <w:r>
        <w:rPr>
          <w:rFonts w:ascii="Times New Roman" w:eastAsia="Times New Roman" w:hAnsi="Times New Roman" w:cs="Times New Roman"/>
          <w:sz w:val="22"/>
          <w:szCs w:val="22"/>
        </w:rPr>
        <w:t>, two criteria are compared:</w:t>
      </w:r>
    </w:p>
    <w:p w14:paraId="1B34E19F" w14:textId="77777777" w:rsidR="00227E57" w:rsidRDefault="00227E57" w:rsidP="00227E57">
      <w:pPr>
        <w:spacing w:after="120" w:line="360" w:lineRule="auto"/>
        <w:jc w:val="both"/>
      </w:pPr>
      <w:r>
        <w:rPr>
          <w:rFonts w:ascii="Times New Roman" w:eastAsia="Times New Roman" w:hAnsi="Times New Roman" w:cs="Times New Roman"/>
          <w:b/>
          <w:bCs/>
          <w:sz w:val="22"/>
          <w:szCs w:val="22"/>
        </w:rPr>
        <w:t xml:space="preserve">Match Count: </w:t>
      </w:r>
      <w:r>
        <w:rPr>
          <w:rFonts w:ascii="Times New Roman" w:eastAsia="Times New Roman" w:hAnsi="Times New Roman" w:cs="Times New Roman"/>
          <w:sz w:val="22"/>
          <w:szCs w:val="22"/>
        </w:rPr>
        <w:t xml:space="preserve">Ranking based solely on the number of mutually matched </w:t>
      </w:r>
      <w:proofErr w:type="spellStart"/>
      <w:r>
        <w:rPr>
          <w:rFonts w:ascii="Times New Roman" w:eastAsia="Times New Roman" w:hAnsi="Times New Roman" w:cs="Times New Roman"/>
          <w:sz w:val="22"/>
          <w:szCs w:val="22"/>
        </w:rPr>
        <w:t>keypoints</w:t>
      </w:r>
      <w:proofErr w:type="spellEnd"/>
      <w:r>
        <w:rPr>
          <w:rFonts w:ascii="Times New Roman" w:eastAsia="Times New Roman" w:hAnsi="Times New Roman" w:cs="Times New Roman"/>
          <w:sz w:val="22"/>
          <w:szCs w:val="22"/>
        </w:rPr>
        <w:t>.</w:t>
      </w:r>
    </w:p>
    <w:p w14:paraId="56C047AF" w14:textId="77777777" w:rsidR="00227E57" w:rsidRDefault="00227E57" w:rsidP="00227E57">
      <w:pPr>
        <w:spacing w:after="120" w:line="360" w:lineRule="auto"/>
        <w:jc w:val="both"/>
      </w:pPr>
      <w:r>
        <w:rPr>
          <w:rFonts w:ascii="Times New Roman" w:eastAsia="Times New Roman" w:hAnsi="Times New Roman" w:cs="Times New Roman"/>
          <w:b/>
          <w:bCs/>
          <w:sz w:val="22"/>
          <w:szCs w:val="22"/>
        </w:rPr>
        <w:lastRenderedPageBreak/>
        <w:t xml:space="preserve">Hybrid Score: </w:t>
      </w:r>
      <w:r>
        <w:rPr>
          <w:rFonts w:ascii="Times New Roman" w:eastAsia="Times New Roman" w:hAnsi="Times New Roman" w:cs="Times New Roman"/>
          <w:sz w:val="22"/>
          <w:szCs w:val="22"/>
        </w:rPr>
        <w:t xml:space="preserve">A score defined by the product of the match count and the mean match confidence (matching score): score = </w:t>
      </w:r>
      <w:proofErr w:type="spellStart"/>
      <w:r>
        <w:rPr>
          <w:rFonts w:ascii="Times New Roman" w:eastAsia="Times New Roman" w:hAnsi="Times New Roman" w:cs="Times New Roman"/>
          <w:sz w:val="22"/>
          <w:szCs w:val="22"/>
        </w:rPr>
        <w:t>num_matches</w:t>
      </w:r>
      <w:proofErr w:type="spellEnd"/>
      <w:r>
        <w:rPr>
          <w:rFonts w:ascii="Times New Roman" w:eastAsia="Times New Roman" w:hAnsi="Times New Roman" w:cs="Times New Roman"/>
          <w:sz w:val="22"/>
          <w:szCs w:val="22"/>
        </w:rPr>
        <w:t xml:space="preserve"> × (1 + </w:t>
      </w:r>
      <w:proofErr w:type="spellStart"/>
      <w:r>
        <w:rPr>
          <w:rFonts w:ascii="Times New Roman" w:eastAsia="Times New Roman" w:hAnsi="Times New Roman" w:cs="Times New Roman"/>
          <w:sz w:val="22"/>
          <w:szCs w:val="22"/>
        </w:rPr>
        <w:t>avg_confidence</w:t>
      </w:r>
      <w:proofErr w:type="spellEnd"/>
      <w:r>
        <w:rPr>
          <w:rFonts w:ascii="Times New Roman" w:eastAsia="Times New Roman" w:hAnsi="Times New Roman" w:cs="Times New Roman"/>
          <w:sz w:val="22"/>
          <w:szCs w:val="22"/>
        </w:rPr>
        <w:t xml:space="preserve">). This formulation reduces the advantage gained by candidates with many but </w:t>
      </w:r>
      <w:proofErr w:type="gramStart"/>
      <w:r>
        <w:rPr>
          <w:rFonts w:ascii="Times New Roman" w:eastAsia="Times New Roman" w:hAnsi="Times New Roman" w:cs="Times New Roman"/>
          <w:sz w:val="22"/>
          <w:szCs w:val="22"/>
        </w:rPr>
        <w:t>low-confidence</w:t>
      </w:r>
      <w:proofErr w:type="gramEnd"/>
      <w:r>
        <w:rPr>
          <w:rFonts w:ascii="Times New Roman" w:eastAsia="Times New Roman" w:hAnsi="Times New Roman" w:cs="Times New Roman"/>
          <w:sz w:val="22"/>
          <w:szCs w:val="22"/>
        </w:rPr>
        <w:t xml:space="preserve"> matches.</w:t>
      </w:r>
    </w:p>
    <w:p w14:paraId="298AE3E2" w14:textId="77777777" w:rsidR="00227E57" w:rsidRDefault="00227E57" w:rsidP="00227E57">
      <w:pPr>
        <w:pStyle w:val="Balk3"/>
      </w:pPr>
      <w:r>
        <w:rPr>
          <w:rFonts w:ascii="Times New Roman" w:eastAsia="Times New Roman" w:hAnsi="Times New Roman" w:cs="Times New Roman"/>
          <w:b/>
          <w:bCs/>
          <w:i/>
          <w:iCs/>
          <w:sz w:val="22"/>
          <w:szCs w:val="22"/>
        </w:rPr>
        <w:t>3.7.3. Conditional Two-Stage Pipeline</w:t>
      </w:r>
    </w:p>
    <w:p w14:paraId="505530BD" w14:textId="77777777" w:rsidR="00227E57" w:rsidRDefault="00227E57" w:rsidP="00227E57">
      <w:pPr>
        <w:spacing w:after="120" w:line="360" w:lineRule="auto"/>
        <w:jc w:val="both"/>
      </w:pPr>
      <w:r>
        <w:rPr>
          <w:rFonts w:ascii="Times New Roman" w:eastAsia="Times New Roman" w:hAnsi="Times New Roman" w:cs="Times New Roman"/>
          <w:sz w:val="22"/>
          <w:szCs w:val="22"/>
        </w:rPr>
        <w:t xml:space="preserve">Local feature re-ranking carries a high computational cost. Applying </w:t>
      </w:r>
      <w:proofErr w:type="spellStart"/>
      <w:r>
        <w:rPr>
          <w:rFonts w:ascii="Times New Roman" w:eastAsia="Times New Roman" w:hAnsi="Times New Roman" w:cs="Times New Roman"/>
          <w:sz w:val="22"/>
          <w:szCs w:val="22"/>
        </w:rPr>
        <w:t>LightGlue</w:t>
      </w:r>
      <w:proofErr w:type="spellEnd"/>
      <w:r>
        <w:rPr>
          <w:rFonts w:ascii="Times New Roman" w:eastAsia="Times New Roman" w:hAnsi="Times New Roman" w:cs="Times New Roman"/>
          <w:sz w:val="22"/>
          <w:szCs w:val="22"/>
        </w:rPr>
        <w:t xml:space="preserve"> to all </w:t>
      </w:r>
      <w:proofErr w:type="gramStart"/>
      <w:r>
        <w:rPr>
          <w:rFonts w:ascii="Times New Roman" w:eastAsia="Times New Roman" w:hAnsi="Times New Roman" w:cs="Times New Roman"/>
          <w:sz w:val="22"/>
          <w:szCs w:val="22"/>
        </w:rPr>
        <w:t>Top-N</w:t>
      </w:r>
      <w:proofErr w:type="gramEnd"/>
      <w:r>
        <w:rPr>
          <w:rFonts w:ascii="Times New Roman" w:eastAsia="Times New Roman" w:hAnsi="Times New Roman" w:cs="Times New Roman"/>
          <w:sz w:val="22"/>
          <w:szCs w:val="22"/>
        </w:rPr>
        <w:t xml:space="preserve"> candidates for every query is undesirable in practical deployment scenarios. Therefore, a conditional (adaptive) two-stage pipeline is proposed: if the DINOv2 </w:t>
      </w:r>
      <w:proofErr w:type="gramStart"/>
      <w:r>
        <w:rPr>
          <w:rFonts w:ascii="Times New Roman" w:eastAsia="Times New Roman" w:hAnsi="Times New Roman" w:cs="Times New Roman"/>
          <w:sz w:val="22"/>
          <w:szCs w:val="22"/>
        </w:rPr>
        <w:t>Top-1</w:t>
      </w:r>
      <w:proofErr w:type="gramEnd"/>
      <w:r>
        <w:rPr>
          <w:rFonts w:ascii="Times New Roman" w:eastAsia="Times New Roman" w:hAnsi="Times New Roman" w:cs="Times New Roman"/>
          <w:sz w:val="22"/>
          <w:szCs w:val="22"/>
        </w:rPr>
        <w:t xml:space="preserve"> cosine similarity score is greater than or equal to a threshold θ, the DINOv2 </w:t>
      </w:r>
      <w:proofErr w:type="gramStart"/>
      <w:r>
        <w:rPr>
          <w:rFonts w:ascii="Times New Roman" w:eastAsia="Times New Roman" w:hAnsi="Times New Roman" w:cs="Times New Roman"/>
          <w:sz w:val="22"/>
          <w:szCs w:val="22"/>
        </w:rPr>
        <w:t>Top-1</w:t>
      </w:r>
      <w:proofErr w:type="gramEnd"/>
      <w:r>
        <w:rPr>
          <w:rFonts w:ascii="Times New Roman" w:eastAsia="Times New Roman" w:hAnsi="Times New Roman" w:cs="Times New Roman"/>
          <w:sz w:val="22"/>
          <w:szCs w:val="22"/>
        </w:rPr>
        <w:t xml:space="preserve"> prediction is accepted directly; otherwise, the </w:t>
      </w:r>
      <w:proofErr w:type="gramStart"/>
      <w:r>
        <w:rPr>
          <w:rFonts w:ascii="Times New Roman" w:eastAsia="Times New Roman" w:hAnsi="Times New Roman" w:cs="Times New Roman"/>
          <w:sz w:val="22"/>
          <w:szCs w:val="22"/>
        </w:rPr>
        <w:t>Top-20</w:t>
      </w:r>
      <w:proofErr w:type="gramEnd"/>
      <w:r>
        <w:rPr>
          <w:rFonts w:ascii="Times New Roman" w:eastAsia="Times New Roman" w:hAnsi="Times New Roman" w:cs="Times New Roman"/>
          <w:sz w:val="22"/>
          <w:szCs w:val="22"/>
        </w:rPr>
        <w:t xml:space="preserve"> candidates are re-ranked with </w:t>
      </w:r>
      <w:proofErr w:type="spellStart"/>
      <w:r>
        <w:rPr>
          <w:rFonts w:ascii="Times New Roman" w:eastAsia="Times New Roman" w:hAnsi="Times New Roman" w:cs="Times New Roman"/>
          <w:sz w:val="22"/>
          <w:szCs w:val="22"/>
        </w:rPr>
        <w:t>LightGlue</w:t>
      </w:r>
      <w:proofErr w:type="spellEnd"/>
      <w:r>
        <w:rPr>
          <w:rFonts w:ascii="Times New Roman" w:eastAsia="Times New Roman" w:hAnsi="Times New Roman" w:cs="Times New Roman"/>
          <w:sz w:val="22"/>
          <w:szCs w:val="22"/>
        </w:rPr>
        <w:t xml:space="preserve"> and the new </w:t>
      </w:r>
      <w:proofErr w:type="gramStart"/>
      <w:r>
        <w:rPr>
          <w:rFonts w:ascii="Times New Roman" w:eastAsia="Times New Roman" w:hAnsi="Times New Roman" w:cs="Times New Roman"/>
          <w:sz w:val="22"/>
          <w:szCs w:val="22"/>
        </w:rPr>
        <w:t>Top-1</w:t>
      </w:r>
      <w:proofErr w:type="gramEnd"/>
      <w:r>
        <w:rPr>
          <w:rFonts w:ascii="Times New Roman" w:eastAsia="Times New Roman" w:hAnsi="Times New Roman" w:cs="Times New Roman"/>
          <w:sz w:val="22"/>
          <w:szCs w:val="22"/>
        </w:rPr>
        <w:t xml:space="preserve"> is returned. Six threshold values (0.70, 0.75, 0.78, 0.80, 0.82, 0.85) are tested in the range [0.70, 0.85]. A reference condition in which </w:t>
      </w:r>
      <w:proofErr w:type="spellStart"/>
      <w:r>
        <w:rPr>
          <w:rFonts w:ascii="Times New Roman" w:eastAsia="Times New Roman" w:hAnsi="Times New Roman" w:cs="Times New Roman"/>
          <w:sz w:val="22"/>
          <w:szCs w:val="22"/>
        </w:rPr>
        <w:t>LightGlue</w:t>
      </w:r>
      <w:proofErr w:type="spellEnd"/>
      <w:r>
        <w:rPr>
          <w:rFonts w:ascii="Times New Roman" w:eastAsia="Times New Roman" w:hAnsi="Times New Roman" w:cs="Times New Roman"/>
          <w:sz w:val="22"/>
          <w:szCs w:val="22"/>
        </w:rPr>
        <w:t xml:space="preserve"> is applied uniformly to all queries (no threshold) is also reported for comparison.</w:t>
      </w:r>
    </w:p>
    <w:p w14:paraId="6F3BA21E" w14:textId="77777777" w:rsidR="00227E57" w:rsidRDefault="00227E57" w:rsidP="00227E57">
      <w:pPr>
        <w:pStyle w:val="Balk2"/>
        <w:spacing w:after="150"/>
      </w:pPr>
      <w:r>
        <w:rPr>
          <w:rFonts w:ascii="Times New Roman" w:eastAsia="Times New Roman" w:hAnsi="Times New Roman" w:cs="Times New Roman"/>
          <w:b/>
          <w:bCs/>
          <w:sz w:val="24"/>
          <w:szCs w:val="24"/>
        </w:rPr>
        <w:t>3.8. Evaluation Metrics</w:t>
      </w:r>
    </w:p>
    <w:p w14:paraId="5DC74279" w14:textId="77777777" w:rsidR="00227E57" w:rsidRDefault="00227E57" w:rsidP="00227E57">
      <w:pPr>
        <w:spacing w:after="120" w:line="360" w:lineRule="auto"/>
        <w:jc w:val="both"/>
      </w:pPr>
      <w:r>
        <w:rPr>
          <w:rFonts w:ascii="Times New Roman" w:eastAsia="Times New Roman" w:hAnsi="Times New Roman" w:cs="Times New Roman"/>
          <w:sz w:val="22"/>
          <w:szCs w:val="22"/>
        </w:rPr>
        <w:t>System performance is reported in four groups of metrics:</w:t>
      </w:r>
    </w:p>
    <w:p w14:paraId="404DF340" w14:textId="77777777" w:rsidR="00227E57" w:rsidRDefault="00227E57" w:rsidP="00227E57">
      <w:pPr>
        <w:spacing w:after="120" w:line="360" w:lineRule="auto"/>
        <w:jc w:val="both"/>
      </w:pPr>
      <w:r>
        <w:rPr>
          <w:rFonts w:ascii="Times New Roman" w:eastAsia="Times New Roman" w:hAnsi="Times New Roman" w:cs="Times New Roman"/>
          <w:b/>
          <w:bCs/>
          <w:sz w:val="22"/>
          <w:szCs w:val="22"/>
        </w:rPr>
        <w:t xml:space="preserve">Street-name accuracy: </w:t>
      </w:r>
      <w:r>
        <w:rPr>
          <w:rFonts w:ascii="Times New Roman" w:eastAsia="Times New Roman" w:hAnsi="Times New Roman" w:cs="Times New Roman"/>
          <w:sz w:val="22"/>
          <w:szCs w:val="22"/>
        </w:rPr>
        <w:t xml:space="preserve">The fraction of queries whose </w:t>
      </w:r>
      <w:proofErr w:type="gramStart"/>
      <w:r>
        <w:rPr>
          <w:rFonts w:ascii="Times New Roman" w:eastAsia="Times New Roman" w:hAnsi="Times New Roman" w:cs="Times New Roman"/>
          <w:sz w:val="22"/>
          <w:szCs w:val="22"/>
        </w:rPr>
        <w:t>Top-1</w:t>
      </w:r>
      <w:proofErr w:type="gramEnd"/>
      <w:r>
        <w:rPr>
          <w:rFonts w:ascii="Times New Roman" w:eastAsia="Times New Roman" w:hAnsi="Times New Roman" w:cs="Times New Roman"/>
          <w:sz w:val="22"/>
          <w:szCs w:val="22"/>
        </w:rPr>
        <w:t xml:space="preserve"> result matches the ground-truth street label. It is used as a semantic, label-level measure of correctness.</w:t>
      </w:r>
    </w:p>
    <w:p w14:paraId="0979A92F" w14:textId="77777777" w:rsidR="00227E57" w:rsidRDefault="00227E57" w:rsidP="00227E57">
      <w:pPr>
        <w:spacing w:after="120" w:line="360" w:lineRule="auto"/>
        <w:jc w:val="both"/>
      </w:pPr>
      <w:r>
        <w:rPr>
          <w:rFonts w:ascii="Times New Roman" w:eastAsia="Times New Roman" w:hAnsi="Times New Roman" w:cs="Times New Roman"/>
          <w:b/>
          <w:bCs/>
          <w:sz w:val="22"/>
          <w:szCs w:val="22"/>
        </w:rPr>
        <w:t xml:space="preserve">GPS localization error: </w:t>
      </w:r>
      <w:r>
        <w:rPr>
          <w:rFonts w:ascii="Times New Roman" w:eastAsia="Times New Roman" w:hAnsi="Times New Roman" w:cs="Times New Roman"/>
          <w:sz w:val="22"/>
          <w:szCs w:val="22"/>
        </w:rPr>
        <w:t xml:space="preserve">The Haversine great-circle distance between the query coordinate and the </w:t>
      </w:r>
      <w:proofErr w:type="gramStart"/>
      <w:r>
        <w:rPr>
          <w:rFonts w:ascii="Times New Roman" w:eastAsia="Times New Roman" w:hAnsi="Times New Roman" w:cs="Times New Roman"/>
          <w:sz w:val="22"/>
          <w:szCs w:val="22"/>
        </w:rPr>
        <w:t>Top-1</w:t>
      </w:r>
      <w:proofErr w:type="gramEnd"/>
      <w:r>
        <w:rPr>
          <w:rFonts w:ascii="Times New Roman" w:eastAsia="Times New Roman" w:hAnsi="Times New Roman" w:cs="Times New Roman"/>
          <w:sz w:val="22"/>
          <w:szCs w:val="22"/>
        </w:rPr>
        <w:t xml:space="preserve"> prediction coordinate, as defined in Equation (2). Both the </w:t>
      </w:r>
      <w:proofErr w:type="gramStart"/>
      <w:r>
        <w:rPr>
          <w:rFonts w:ascii="Times New Roman" w:eastAsia="Times New Roman" w:hAnsi="Times New Roman" w:cs="Times New Roman"/>
          <w:sz w:val="22"/>
          <w:szCs w:val="22"/>
        </w:rPr>
        <w:t>median</w:t>
      </w:r>
      <w:proofErr w:type="gramEnd"/>
      <w:r>
        <w:rPr>
          <w:rFonts w:ascii="Times New Roman" w:eastAsia="Times New Roman" w:hAnsi="Times New Roman" w:cs="Times New Roman"/>
          <w:sz w:val="22"/>
          <w:szCs w:val="22"/>
        </w:rPr>
        <w:t xml:space="preserve"> and the mean are reported.</w:t>
      </w:r>
    </w:p>
    <w:p w14:paraId="1B5C15C4" w14:textId="77777777" w:rsidR="00227E57" w:rsidRDefault="00227E57" w:rsidP="00227E57">
      <w:pPr>
        <w:spacing w:before="120" w:after="120"/>
        <w:jc w:val="center"/>
      </w:pPr>
      <w:r>
        <w:rPr>
          <w:rFonts w:ascii="Times New Roman" w:eastAsia="Times New Roman" w:hAnsi="Times New Roman" w:cs="Times New Roman"/>
          <w:i/>
          <w:iCs/>
          <w:sz w:val="22"/>
          <w:szCs w:val="22"/>
        </w:rPr>
        <w:t xml:space="preserve">d = 2R · </w:t>
      </w:r>
      <w:proofErr w:type="spellStart"/>
      <w:proofErr w:type="gramStart"/>
      <w:r>
        <w:rPr>
          <w:rFonts w:ascii="Times New Roman" w:eastAsia="Times New Roman" w:hAnsi="Times New Roman" w:cs="Times New Roman"/>
          <w:i/>
          <w:iCs/>
          <w:sz w:val="22"/>
          <w:szCs w:val="22"/>
        </w:rPr>
        <w:t>arcsin</w:t>
      </w:r>
      <w:proofErr w:type="spellEnd"/>
      <w:r>
        <w:rPr>
          <w:rFonts w:ascii="Times New Roman" w:eastAsia="Times New Roman" w:hAnsi="Times New Roman" w:cs="Times New Roman"/>
          <w:i/>
          <w:iCs/>
          <w:sz w:val="22"/>
          <w:szCs w:val="22"/>
        </w:rPr>
        <w:t>( √( sin</w:t>
      </w:r>
      <w:proofErr w:type="gramEnd"/>
      <w:r>
        <w:rPr>
          <w:rFonts w:ascii="Times New Roman" w:eastAsia="Times New Roman" w:hAnsi="Times New Roman" w:cs="Times New Roman"/>
          <w:i/>
          <w:iCs/>
          <w:sz w:val="22"/>
          <w:szCs w:val="22"/>
        </w:rPr>
        <w:t>²(</w:t>
      </w:r>
      <w:proofErr w:type="spellStart"/>
      <w:r>
        <w:rPr>
          <w:rFonts w:ascii="Times New Roman" w:eastAsia="Times New Roman" w:hAnsi="Times New Roman" w:cs="Times New Roman"/>
          <w:i/>
          <w:iCs/>
          <w:sz w:val="22"/>
          <w:szCs w:val="22"/>
        </w:rPr>
        <w:t>Δφ</w:t>
      </w:r>
      <w:proofErr w:type="spellEnd"/>
      <w:r>
        <w:rPr>
          <w:rFonts w:ascii="Times New Roman" w:eastAsia="Times New Roman" w:hAnsi="Times New Roman" w:cs="Times New Roman"/>
          <w:i/>
          <w:iCs/>
          <w:sz w:val="22"/>
          <w:szCs w:val="22"/>
        </w:rPr>
        <w:t>/2) + cos φ₁ · cos φ₂ · sin²(</w:t>
      </w:r>
      <w:proofErr w:type="spellStart"/>
      <w:r>
        <w:rPr>
          <w:rFonts w:ascii="Times New Roman" w:eastAsia="Times New Roman" w:hAnsi="Times New Roman" w:cs="Times New Roman"/>
          <w:i/>
          <w:iCs/>
          <w:sz w:val="22"/>
          <w:szCs w:val="22"/>
        </w:rPr>
        <w:t>Δλ</w:t>
      </w:r>
      <w:proofErr w:type="spellEnd"/>
      <w:r>
        <w:rPr>
          <w:rFonts w:ascii="Times New Roman" w:eastAsia="Times New Roman" w:hAnsi="Times New Roman" w:cs="Times New Roman"/>
          <w:i/>
          <w:iCs/>
          <w:sz w:val="22"/>
          <w:szCs w:val="22"/>
        </w:rPr>
        <w:t>/2</w:t>
      </w:r>
      <w:proofErr w:type="gramStart"/>
      <w:r>
        <w:rPr>
          <w:rFonts w:ascii="Times New Roman" w:eastAsia="Times New Roman" w:hAnsi="Times New Roman" w:cs="Times New Roman"/>
          <w:i/>
          <w:iCs/>
          <w:sz w:val="22"/>
          <w:szCs w:val="22"/>
        </w:rPr>
        <w:t>) )</w:t>
      </w:r>
      <w:proofErr w:type="gramEnd"/>
      <w:r>
        <w:rPr>
          <w:rFonts w:ascii="Times New Roman" w:eastAsia="Times New Roman" w:hAnsi="Times New Roman" w:cs="Times New Roman"/>
          <w:i/>
          <w:iCs/>
          <w:sz w:val="22"/>
          <w:szCs w:val="22"/>
        </w:rPr>
        <w:t xml:space="preserve"> )       </w:t>
      </w:r>
      <w:proofErr w:type="gramStart"/>
      <w:r>
        <w:rPr>
          <w:rFonts w:ascii="Times New Roman" w:eastAsia="Times New Roman" w:hAnsi="Times New Roman" w:cs="Times New Roman"/>
          <w:i/>
          <w:iCs/>
          <w:sz w:val="22"/>
          <w:szCs w:val="22"/>
        </w:rPr>
        <w:t xml:space="preserve">   (</w:t>
      </w:r>
      <w:proofErr w:type="gramEnd"/>
      <w:r>
        <w:rPr>
          <w:rFonts w:ascii="Times New Roman" w:eastAsia="Times New Roman" w:hAnsi="Times New Roman" w:cs="Times New Roman"/>
          <w:i/>
          <w:iCs/>
          <w:sz w:val="22"/>
          <w:szCs w:val="22"/>
        </w:rPr>
        <w:t>2)</w:t>
      </w:r>
    </w:p>
    <w:p w14:paraId="36BBC1B1" w14:textId="77777777" w:rsidR="00227E57" w:rsidRDefault="00227E57" w:rsidP="00227E57">
      <w:pPr>
        <w:spacing w:after="120" w:line="360" w:lineRule="auto"/>
        <w:jc w:val="both"/>
      </w:pPr>
      <w:r>
        <w:rPr>
          <w:rFonts w:ascii="Times New Roman" w:eastAsia="Times New Roman" w:hAnsi="Times New Roman" w:cs="Times New Roman"/>
          <w:sz w:val="22"/>
          <w:szCs w:val="22"/>
        </w:rPr>
        <w:t xml:space="preserve">Here R is the Earth's radius (6,371,000 m), φ and λ denote latitude and longitude respectively, and </w:t>
      </w:r>
      <w:proofErr w:type="spellStart"/>
      <w:r>
        <w:rPr>
          <w:rFonts w:ascii="Times New Roman" w:eastAsia="Times New Roman" w:hAnsi="Times New Roman" w:cs="Times New Roman"/>
          <w:sz w:val="22"/>
          <w:szCs w:val="22"/>
        </w:rPr>
        <w:t>Δφ</w:t>
      </w:r>
      <w:proofErr w:type="spellEnd"/>
      <w:r>
        <w:rPr>
          <w:rFonts w:ascii="Times New Roman" w:eastAsia="Times New Roman" w:hAnsi="Times New Roman" w:cs="Times New Roman"/>
          <w:sz w:val="22"/>
          <w:szCs w:val="22"/>
        </w:rPr>
        <w:t xml:space="preserve"> and </w:t>
      </w:r>
      <w:proofErr w:type="spellStart"/>
      <w:r>
        <w:rPr>
          <w:rFonts w:ascii="Times New Roman" w:eastAsia="Times New Roman" w:hAnsi="Times New Roman" w:cs="Times New Roman"/>
          <w:sz w:val="22"/>
          <w:szCs w:val="22"/>
        </w:rPr>
        <w:t>Δλ</w:t>
      </w:r>
      <w:proofErr w:type="spellEnd"/>
      <w:r>
        <w:rPr>
          <w:rFonts w:ascii="Times New Roman" w:eastAsia="Times New Roman" w:hAnsi="Times New Roman" w:cs="Times New Roman"/>
          <w:sz w:val="22"/>
          <w:szCs w:val="22"/>
        </w:rPr>
        <w:t xml:space="preserve"> denote their differences between query and prediction.</w:t>
      </w:r>
    </w:p>
    <w:p w14:paraId="5C0273B3" w14:textId="77777777" w:rsidR="00227E57" w:rsidRDefault="00227E57" w:rsidP="00227E57">
      <w:pPr>
        <w:spacing w:after="120" w:line="360" w:lineRule="auto"/>
        <w:jc w:val="both"/>
      </w:pPr>
      <w:r>
        <w:rPr>
          <w:rFonts w:ascii="Times New Roman" w:eastAsia="Times New Roman" w:hAnsi="Times New Roman" w:cs="Times New Roman"/>
          <w:b/>
          <w:bCs/>
          <w:sz w:val="22"/>
          <w:szCs w:val="22"/>
        </w:rPr>
        <w:t xml:space="preserve">Threshold-based recall (Recall@1 at threshold): </w:t>
      </w:r>
      <w:r>
        <w:rPr>
          <w:rFonts w:ascii="Times New Roman" w:eastAsia="Times New Roman" w:hAnsi="Times New Roman" w:cs="Times New Roman"/>
          <w:sz w:val="22"/>
          <w:szCs w:val="22"/>
        </w:rPr>
        <w:t xml:space="preserve">The fraction of queries whose </w:t>
      </w:r>
      <w:proofErr w:type="gramStart"/>
      <w:r>
        <w:rPr>
          <w:rFonts w:ascii="Times New Roman" w:eastAsia="Times New Roman" w:hAnsi="Times New Roman" w:cs="Times New Roman"/>
          <w:sz w:val="22"/>
          <w:szCs w:val="22"/>
        </w:rPr>
        <w:t>Top-1</w:t>
      </w:r>
      <w:proofErr w:type="gramEnd"/>
      <w:r>
        <w:rPr>
          <w:rFonts w:ascii="Times New Roman" w:eastAsia="Times New Roman" w:hAnsi="Times New Roman" w:cs="Times New Roman"/>
          <w:sz w:val="22"/>
          <w:szCs w:val="22"/>
        </w:rPr>
        <w:t xml:space="preserve"> prediction error falls below a set of standard thresholds (25 m, 50 m, 100 m, 500 m). This is the standard evaluation metric in VPR literature.</w:t>
      </w:r>
    </w:p>
    <w:p w14:paraId="651D700B" w14:textId="77777777" w:rsidR="00227E57" w:rsidRDefault="00227E57" w:rsidP="00227E57">
      <w:pPr>
        <w:spacing w:after="120" w:line="360" w:lineRule="auto"/>
        <w:jc w:val="both"/>
      </w:pPr>
      <w:r>
        <w:rPr>
          <w:rFonts w:ascii="Times New Roman" w:eastAsia="Times New Roman" w:hAnsi="Times New Roman" w:cs="Times New Roman"/>
          <w:b/>
          <w:bCs/>
          <w:sz w:val="22"/>
          <w:szCs w:val="22"/>
        </w:rPr>
        <w:t xml:space="preserve">Inference time: </w:t>
      </w:r>
      <w:r>
        <w:rPr>
          <w:rFonts w:ascii="Times New Roman" w:eastAsia="Times New Roman" w:hAnsi="Times New Roman" w:cs="Times New Roman"/>
          <w:sz w:val="22"/>
          <w:szCs w:val="22"/>
        </w:rPr>
        <w:t xml:space="preserve">As part of the computational cost analysis, single-image DINOv2 embedding time, per-query FAISS search time, and </w:t>
      </w:r>
      <w:proofErr w:type="spellStart"/>
      <w:r>
        <w:rPr>
          <w:rFonts w:ascii="Times New Roman" w:eastAsia="Times New Roman" w:hAnsi="Times New Roman" w:cs="Times New Roman"/>
          <w:sz w:val="22"/>
          <w:szCs w:val="22"/>
        </w:rPr>
        <w:t>LightGlue</w:t>
      </w:r>
      <w:proofErr w:type="spellEnd"/>
      <w:r>
        <w:rPr>
          <w:rFonts w:ascii="Times New Roman" w:eastAsia="Times New Roman" w:hAnsi="Times New Roman" w:cs="Times New Roman"/>
          <w:sz w:val="22"/>
          <w:szCs w:val="22"/>
        </w:rPr>
        <w:t xml:space="preserve"> re-ranking time (for 20 candidates) are measured separately.</w:t>
      </w:r>
    </w:p>
    <w:p w14:paraId="356043EB" w14:textId="77777777" w:rsidR="00227E57" w:rsidRDefault="00227E57" w:rsidP="00227E57">
      <w:pPr>
        <w:pStyle w:val="Balk2"/>
        <w:spacing w:after="150"/>
      </w:pPr>
      <w:r>
        <w:rPr>
          <w:rFonts w:ascii="Times New Roman" w:eastAsia="Times New Roman" w:hAnsi="Times New Roman" w:cs="Times New Roman"/>
          <w:b/>
          <w:bCs/>
          <w:sz w:val="24"/>
          <w:szCs w:val="24"/>
        </w:rPr>
        <w:t>3.9. Experimental Environment</w:t>
      </w:r>
    </w:p>
    <w:p w14:paraId="491A53C1" w14:textId="77777777" w:rsidR="00227E57" w:rsidRDefault="00227E57" w:rsidP="00227E57">
      <w:pPr>
        <w:spacing w:after="120" w:line="360" w:lineRule="auto"/>
        <w:jc w:val="both"/>
      </w:pPr>
      <w:r>
        <w:rPr>
          <w:rFonts w:ascii="Times New Roman" w:eastAsia="Times New Roman" w:hAnsi="Times New Roman" w:cs="Times New Roman"/>
          <w:sz w:val="22"/>
          <w:szCs w:val="22"/>
        </w:rPr>
        <w:t xml:space="preserve">All experiments are conducted in Google </w:t>
      </w:r>
      <w:proofErr w:type="spellStart"/>
      <w:r>
        <w:rPr>
          <w:rFonts w:ascii="Times New Roman" w:eastAsia="Times New Roman" w:hAnsi="Times New Roman" w:cs="Times New Roman"/>
          <w:sz w:val="22"/>
          <w:szCs w:val="22"/>
        </w:rPr>
        <w:t>Colab</w:t>
      </w:r>
      <w:proofErr w:type="spellEnd"/>
      <w:r>
        <w:rPr>
          <w:rFonts w:ascii="Times New Roman" w:eastAsia="Times New Roman" w:hAnsi="Times New Roman" w:cs="Times New Roman"/>
          <w:sz w:val="22"/>
          <w:szCs w:val="22"/>
        </w:rPr>
        <w:t xml:space="preserve"> on an NVIDIA L4 GPU (23.7 GB VRAM). The software stack consists of </w:t>
      </w:r>
      <w:proofErr w:type="spellStart"/>
      <w:r>
        <w:rPr>
          <w:rFonts w:ascii="Times New Roman" w:eastAsia="Times New Roman" w:hAnsi="Times New Roman" w:cs="Times New Roman"/>
          <w:sz w:val="22"/>
          <w:szCs w:val="22"/>
        </w:rPr>
        <w:t>PyTorch</w:t>
      </w:r>
      <w:proofErr w:type="spellEnd"/>
      <w:r>
        <w:rPr>
          <w:rFonts w:ascii="Times New Roman" w:eastAsia="Times New Roman" w:hAnsi="Times New Roman" w:cs="Times New Roman"/>
          <w:sz w:val="22"/>
          <w:szCs w:val="22"/>
        </w:rPr>
        <w:t xml:space="preserve"> (DINOv2 is loaded via </w:t>
      </w:r>
      <w:proofErr w:type="spellStart"/>
      <w:r>
        <w:rPr>
          <w:rFonts w:ascii="Times New Roman" w:eastAsia="Times New Roman" w:hAnsi="Times New Roman" w:cs="Times New Roman"/>
          <w:sz w:val="22"/>
          <w:szCs w:val="22"/>
        </w:rPr>
        <w:t>torch.hub</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pytorch</w:t>
      </w:r>
      <w:proofErr w:type="spellEnd"/>
      <w:r>
        <w:rPr>
          <w:rFonts w:ascii="Times New Roman" w:eastAsia="Times New Roman" w:hAnsi="Times New Roman" w:cs="Times New Roman"/>
          <w:sz w:val="22"/>
          <w:szCs w:val="22"/>
        </w:rPr>
        <w:t xml:space="preserve">-metric-learning (Multi-Similarity and Triplet losses, </w:t>
      </w:r>
      <w:proofErr w:type="spellStart"/>
      <w:r>
        <w:rPr>
          <w:rFonts w:ascii="Times New Roman" w:eastAsia="Times New Roman" w:hAnsi="Times New Roman" w:cs="Times New Roman"/>
          <w:sz w:val="22"/>
          <w:szCs w:val="22"/>
        </w:rPr>
        <w:t>MPerClassSampler</w:t>
      </w:r>
      <w:proofErr w:type="spellEnd"/>
      <w:r>
        <w:rPr>
          <w:rFonts w:ascii="Times New Roman" w:eastAsia="Times New Roman" w:hAnsi="Times New Roman" w:cs="Times New Roman"/>
          <w:sz w:val="22"/>
          <w:szCs w:val="22"/>
        </w:rPr>
        <w:t xml:space="preserve">), FAISS-CPU (vector search), the official </w:t>
      </w:r>
      <w:proofErr w:type="spellStart"/>
      <w:r>
        <w:rPr>
          <w:rFonts w:ascii="Times New Roman" w:eastAsia="Times New Roman" w:hAnsi="Times New Roman" w:cs="Times New Roman"/>
          <w:sz w:val="22"/>
          <w:szCs w:val="22"/>
        </w:rPr>
        <w:t>LightGlue</w:t>
      </w:r>
      <w:proofErr w:type="spellEnd"/>
      <w:r>
        <w:rPr>
          <w:rFonts w:ascii="Times New Roman" w:eastAsia="Times New Roman" w:hAnsi="Times New Roman" w:cs="Times New Roman"/>
          <w:sz w:val="22"/>
          <w:szCs w:val="22"/>
        </w:rPr>
        <w:t xml:space="preserve"> and ALIKED implementations, scikit-learn (</w:t>
      </w:r>
      <w:proofErr w:type="spellStart"/>
      <w:r>
        <w:rPr>
          <w:rFonts w:ascii="Times New Roman" w:eastAsia="Times New Roman" w:hAnsi="Times New Roman" w:cs="Times New Roman"/>
          <w:sz w:val="22"/>
          <w:szCs w:val="22"/>
        </w:rPr>
        <w:t>LabelEncoder</w:t>
      </w:r>
      <w:proofErr w:type="spellEnd"/>
      <w:r>
        <w:rPr>
          <w:rFonts w:ascii="Times New Roman" w:eastAsia="Times New Roman" w:hAnsi="Times New Roman" w:cs="Times New Roman"/>
          <w:sz w:val="22"/>
          <w:szCs w:val="22"/>
        </w:rPr>
        <w:t xml:space="preserve">), and folium (geographic visualization). For reproducibility, the random seeds of Python, NumPy, and </w:t>
      </w:r>
      <w:proofErr w:type="spellStart"/>
      <w:r>
        <w:rPr>
          <w:rFonts w:ascii="Times New Roman" w:eastAsia="Times New Roman" w:hAnsi="Times New Roman" w:cs="Times New Roman"/>
          <w:sz w:val="22"/>
          <w:szCs w:val="22"/>
        </w:rPr>
        <w:t>PyTorch</w:t>
      </w:r>
      <w:proofErr w:type="spellEnd"/>
      <w:r>
        <w:rPr>
          <w:rFonts w:ascii="Times New Roman" w:eastAsia="Times New Roman" w:hAnsi="Times New Roman" w:cs="Times New Roman"/>
          <w:sz w:val="22"/>
          <w:szCs w:val="22"/>
        </w:rPr>
        <w:t xml:space="preserve"> are fixed at 42.</w:t>
      </w:r>
    </w:p>
    <w:p w14:paraId="5CC02B70" w14:textId="77777777" w:rsidR="001956F4" w:rsidRDefault="001956F4"/>
    <w:p w14:paraId="039B7864" w14:textId="77777777" w:rsidR="001956F4" w:rsidRDefault="001956F4"/>
    <w:p w14:paraId="244F35AC" w14:textId="30019D88" w:rsidR="001956F4" w:rsidRDefault="001956F4">
      <w:r>
        <w:lastRenderedPageBreak/>
        <w:t>Result</w:t>
      </w:r>
    </w:p>
    <w:p w14:paraId="5EE93D5D" w14:textId="77777777" w:rsidR="00A954B6" w:rsidRPr="00A954B6" w:rsidRDefault="00A954B6" w:rsidP="00A954B6">
      <w:pPr>
        <w:rPr>
          <w:b/>
          <w:bCs/>
        </w:rPr>
      </w:pPr>
      <w:r w:rsidRPr="00A954B6">
        <w:rPr>
          <w:b/>
          <w:bCs/>
        </w:rPr>
        <w:t>4.1. Overview</w:t>
      </w:r>
    </w:p>
    <w:p w14:paraId="34E3F3D3" w14:textId="77777777" w:rsidR="00A954B6" w:rsidRPr="00A954B6" w:rsidRDefault="00A954B6" w:rsidP="00A954B6">
      <w:r w:rsidRPr="00A954B6">
        <w:t xml:space="preserve">This section reports the experimental outcomes obtained on the </w:t>
      </w:r>
      <w:proofErr w:type="spellStart"/>
      <w:r w:rsidRPr="00A954B6">
        <w:t>Kırşehir</w:t>
      </w:r>
      <w:proofErr w:type="spellEnd"/>
      <w:r w:rsidRPr="00A954B6">
        <w:t xml:space="preserve"> VPR dataset, which comprises 18,140 training, 6,060 database, and 2,020 query images. Results are organized in five subsections. Section 4.2 presents the main comparison among the frozen baseline, the two ablation variants, the proposed main model, and two </w:t>
      </w:r>
      <w:proofErr w:type="spellStart"/>
      <w:r w:rsidRPr="00A954B6">
        <w:t>LightGlue</w:t>
      </w:r>
      <w:proofErr w:type="spellEnd"/>
      <w:r w:rsidRPr="00A954B6">
        <w:t xml:space="preserve"> re-ranking variants. Section 4.3 reports the conditional re-ranking pipeline. Section 4.4 compares the </w:t>
      </w:r>
      <w:proofErr w:type="spellStart"/>
      <w:r w:rsidRPr="00A954B6">
        <w:t>ViT</w:t>
      </w:r>
      <w:proofErr w:type="spellEnd"/>
      <w:r w:rsidRPr="00A954B6">
        <w:t xml:space="preserve">-S/14 and </w:t>
      </w:r>
      <w:proofErr w:type="spellStart"/>
      <w:r w:rsidRPr="00A954B6">
        <w:t>ViT</w:t>
      </w:r>
      <w:proofErr w:type="spellEnd"/>
      <w:r w:rsidRPr="00A954B6">
        <w:t xml:space="preserve">-B/14 variants of DINOv2 under the size–performance trade-off. Section 4.5 presents the confidence-based rejection analysis. Section 4.6 reports the computational cost of each stage, and Section 4.7 provides </w:t>
      </w:r>
      <w:proofErr w:type="gramStart"/>
      <w:r w:rsidRPr="00A954B6">
        <w:t>the error</w:t>
      </w:r>
      <w:proofErr w:type="gramEnd"/>
      <w:r w:rsidRPr="00A954B6">
        <w:t xml:space="preserve"> and perceptual aliasing analyses.</w:t>
      </w:r>
    </w:p>
    <w:p w14:paraId="280DB3BB" w14:textId="77777777" w:rsidR="00A954B6" w:rsidRPr="00A954B6" w:rsidRDefault="00A954B6" w:rsidP="00A954B6">
      <w:pPr>
        <w:rPr>
          <w:b/>
          <w:bCs/>
        </w:rPr>
      </w:pPr>
      <w:r w:rsidRPr="00A954B6">
        <w:rPr>
          <w:b/>
          <w:bCs/>
        </w:rPr>
        <w:t>4.2. Main Comparison and Ablation Results</w:t>
      </w:r>
    </w:p>
    <w:p w14:paraId="30B4CAC0" w14:textId="77777777" w:rsidR="00A954B6" w:rsidRPr="00A954B6" w:rsidRDefault="00A954B6" w:rsidP="00A954B6">
      <w:r w:rsidRPr="00A954B6">
        <w:t xml:space="preserve">Table 3 summarizes the performance of all evaluated methods on the identical query set. Several patterns emerge from these results. First, fine-tuning a subset of DINOv2 parameters on the </w:t>
      </w:r>
      <w:proofErr w:type="spellStart"/>
      <w:r w:rsidRPr="00A954B6">
        <w:t>Kırşehir</w:t>
      </w:r>
      <w:proofErr w:type="spellEnd"/>
      <w:r w:rsidRPr="00A954B6">
        <w:t xml:space="preserve"> dataset yields a substantial improvement over the frozen baseline. The main model reaches 74.70% street-name accuracy and an 8.2 m median localization error, compared to 56.14% and 49.8 m obtained by the frozen variant. The relative improvement is particularly pronounced at tighter recall thresholds: R@1 &lt;25 m rises from 39.01% to 61.73%, indicating that fine-tuning is essential for obtaining near-metric localization accuracy. Second, the two ablation variants remain competitive but exhibit distinct trade-offs. Replacing MS Loss with the classical Triplet Loss degrades performance across all metrics (median error increases from 8.2 m to 12.3 m, R@1 &lt;100 m decreases from 81.24% to 78.02%), which is consistent with the known advantage of multi-pair weighting over single-triplet supervision in fine-grained retrieval (Wang et al., 2019). Third, and more unexpectedly, the CLS-token variant slightly outperforms the </w:t>
      </w:r>
      <w:proofErr w:type="spellStart"/>
      <w:r w:rsidRPr="00A954B6">
        <w:t>GeM</w:t>
      </w:r>
      <w:proofErr w:type="spellEnd"/>
      <w:r w:rsidRPr="00A954B6">
        <w:t xml:space="preserve">-pooling main model (76.58% vs. 74.70% street accuracy; 5.3 m vs. 8.2 m median error). This result deviates from the prevailing assumption in the VPR literature that spatially pooled patch tokens carry more discriminative information than global class </w:t>
      </w:r>
      <w:proofErr w:type="gramStart"/>
      <w:r w:rsidRPr="00A954B6">
        <w:t>tokens, and</w:t>
      </w:r>
      <w:proofErr w:type="gramEnd"/>
      <w:r w:rsidRPr="00A954B6">
        <w:t xml:space="preserve"> is further discussed in Section 5.</w:t>
      </w:r>
    </w:p>
    <w:p w14:paraId="22D2FBF9" w14:textId="0F7AD936" w:rsidR="00A954B6" w:rsidRPr="00A954B6" w:rsidRDefault="00A954B6" w:rsidP="00A954B6">
      <w:r w:rsidRPr="00A954B6">
        <w:t xml:space="preserve">In contrast, the </w:t>
      </w:r>
      <w:proofErr w:type="spellStart"/>
      <w:r w:rsidRPr="00A954B6">
        <w:t>LightGlue</w:t>
      </w:r>
      <w:proofErr w:type="spellEnd"/>
      <w:r w:rsidRPr="00A954B6">
        <w:t xml:space="preserve"> re-ranking stage does not improve upon the Stage-1 output when applied uniformly to all queries. Both the match-count and hybrid-score ranking criteria lead to a pronounced drop in performance: street-name accuracy falls from 74.70% to 48.32–49.41%, median error grows from 8.2 m to 60.4–64.8 m, and R@1 &lt;100 m drops from 81.24% to 56.78–58.17%. This outcome, although contrary to the typical global-then-local VPR design </w:t>
      </w:r>
      <w:r w:rsidR="00492D15">
        <w:fldChar w:fldCharType="begin"/>
      </w:r>
      <w:r w:rsidR="00492D15">
        <w:instrText xml:space="preserve"> ADDIN EN.CITE &lt;EndNote&gt;&lt;Cite&gt;&lt;Author&gt;Hausler&lt;/Author&gt;&lt;Year&gt;2021&lt;/Year&gt;&lt;RecNum&gt;1356&lt;/RecNum&gt;&lt;DisplayText&gt;(Hausler et al. 2021)&lt;/DisplayText&gt;&lt;record&gt;&lt;rec-number&gt;1356&lt;/rec-number&gt;&lt;foreign-keys&gt;&lt;key app="EN" db-id="dx50w9txmzwp0uex5r95r20sfz029raapfrf" timestamp="1776430036"&gt;1356&lt;/key&gt;&lt;/foreign-keys&gt;&lt;ref-type name="Conference Proceedings"&gt;10&lt;/ref-type&gt;&lt;contributors&gt;&lt;authors&gt;&lt;author&gt;Hausler, Stephen&lt;/author&gt;&lt;author&gt;Garg, Sourav&lt;/author&gt;&lt;author&gt;Xu, Ming&lt;/author&gt;&lt;author&gt;Milford, Michael&lt;/author&gt;&lt;author&gt;Fischer, Tobias&lt;/author&gt;&lt;/authors&gt;&lt;/contributors&gt;&lt;titles&gt;&lt;title&gt;Patch-netvlad: Multi-scale fusion of locally-global descriptors for place recognition&lt;/title&gt;&lt;secondary-title&gt;Proceedings of the IEEE/CVF conference on computer vision and pattern recognition&lt;/secondary-title&gt;&lt;/titles&gt;&lt;pages&gt;14141-14152&lt;/pages&gt;&lt;dates&gt;&lt;year&gt;2021&lt;/year&gt;&lt;/dates&gt;&lt;urls&gt;&lt;/urls&gt;&lt;/record&gt;&lt;/Cite&gt;&lt;/EndNote&gt;</w:instrText>
      </w:r>
      <w:r w:rsidR="00492D15">
        <w:fldChar w:fldCharType="separate"/>
      </w:r>
      <w:r w:rsidR="00492D15">
        <w:rPr>
          <w:noProof/>
        </w:rPr>
        <w:t>(Hausler et al. 2021)</w:t>
      </w:r>
      <w:r w:rsidR="00492D15">
        <w:fldChar w:fldCharType="end"/>
      </w:r>
      <w:r w:rsidRPr="00A954B6">
        <w:t>, is consistent across both ranking criteria and is stable throughout the full test set of 2,020 queries. A more detailed analysis of this phenomenon is presented through the conditional pipeline results in Section 4.3.</w:t>
      </w:r>
    </w:p>
    <w:p w14:paraId="1319393B" w14:textId="77777777" w:rsidR="00A954B6" w:rsidRPr="00A954B6" w:rsidRDefault="00A954B6" w:rsidP="00A954B6">
      <w:r w:rsidRPr="00A954B6">
        <w:rPr>
          <w:i/>
          <w:iCs/>
        </w:rPr>
        <w:lastRenderedPageBreak/>
        <w:t>Table 3. Main comparison of evaluated methods on the 2,020-query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6"/>
        <w:gridCol w:w="899"/>
        <w:gridCol w:w="966"/>
        <w:gridCol w:w="837"/>
        <w:gridCol w:w="837"/>
        <w:gridCol w:w="837"/>
        <w:gridCol w:w="837"/>
        <w:gridCol w:w="1391"/>
      </w:tblGrid>
      <w:tr w:rsidR="00A954B6" w:rsidRPr="00A954B6" w14:paraId="564E334F" w14:textId="77777777">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80" w:type="dxa"/>
              <w:bottom w:w="70" w:type="dxa"/>
              <w:right w:w="80" w:type="dxa"/>
            </w:tcMar>
            <w:vAlign w:val="center"/>
            <w:hideMark/>
          </w:tcPr>
          <w:p w14:paraId="49B541A2" w14:textId="77777777" w:rsidR="00A954B6" w:rsidRPr="00A954B6" w:rsidRDefault="00A954B6" w:rsidP="007C0C22">
            <w:pPr>
              <w:spacing w:after="0" w:line="240" w:lineRule="auto"/>
            </w:pPr>
            <w:r w:rsidRPr="00A954B6">
              <w:rPr>
                <w:b/>
                <w:bCs/>
              </w:rPr>
              <w:t>Method</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80" w:type="dxa"/>
              <w:bottom w:w="70" w:type="dxa"/>
              <w:right w:w="80" w:type="dxa"/>
            </w:tcMar>
            <w:vAlign w:val="center"/>
            <w:hideMark/>
          </w:tcPr>
          <w:p w14:paraId="49A3BC57" w14:textId="77777777" w:rsidR="00A954B6" w:rsidRPr="00A954B6" w:rsidRDefault="00A954B6" w:rsidP="007C0C22">
            <w:pPr>
              <w:spacing w:after="0" w:line="240" w:lineRule="auto"/>
            </w:pPr>
            <w:r w:rsidRPr="00A954B6">
              <w:rPr>
                <w:b/>
                <w:bCs/>
              </w:rPr>
              <w:t>Street Acc. (%)</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80" w:type="dxa"/>
              <w:bottom w:w="70" w:type="dxa"/>
              <w:right w:w="80" w:type="dxa"/>
            </w:tcMar>
            <w:vAlign w:val="center"/>
            <w:hideMark/>
          </w:tcPr>
          <w:p w14:paraId="297D434D" w14:textId="77777777" w:rsidR="00A954B6" w:rsidRPr="00A954B6" w:rsidRDefault="00A954B6" w:rsidP="007C0C22">
            <w:pPr>
              <w:spacing w:after="0" w:line="240" w:lineRule="auto"/>
            </w:pPr>
            <w:r w:rsidRPr="00A954B6">
              <w:rPr>
                <w:b/>
                <w:bCs/>
              </w:rPr>
              <w:t>Median Err. (m)</w:t>
            </w:r>
          </w:p>
        </w:tc>
        <w:tc>
          <w:tcPr>
            <w:tcW w:w="840" w:type="dxa"/>
            <w:tcBorders>
              <w:top w:val="single" w:sz="4" w:space="0" w:color="999999"/>
              <w:left w:val="single" w:sz="4" w:space="0" w:color="999999"/>
              <w:bottom w:val="single" w:sz="4" w:space="0" w:color="999999"/>
              <w:right w:val="single" w:sz="4" w:space="0" w:color="999999"/>
            </w:tcBorders>
            <w:shd w:val="clear" w:color="auto" w:fill="D9E2F3"/>
            <w:tcMar>
              <w:top w:w="70" w:type="dxa"/>
              <w:left w:w="80" w:type="dxa"/>
              <w:bottom w:w="70" w:type="dxa"/>
              <w:right w:w="80" w:type="dxa"/>
            </w:tcMar>
            <w:vAlign w:val="center"/>
            <w:hideMark/>
          </w:tcPr>
          <w:p w14:paraId="458BB7D1" w14:textId="77777777" w:rsidR="00A954B6" w:rsidRPr="00A954B6" w:rsidRDefault="00A954B6" w:rsidP="007C0C22">
            <w:pPr>
              <w:spacing w:after="0" w:line="240" w:lineRule="auto"/>
            </w:pPr>
            <w:r w:rsidRPr="00A954B6">
              <w:rPr>
                <w:b/>
                <w:bCs/>
              </w:rPr>
              <w:t>R@1 &lt;25 m</w:t>
            </w:r>
          </w:p>
        </w:tc>
        <w:tc>
          <w:tcPr>
            <w:tcW w:w="840" w:type="dxa"/>
            <w:tcBorders>
              <w:top w:val="single" w:sz="4" w:space="0" w:color="999999"/>
              <w:left w:val="single" w:sz="4" w:space="0" w:color="999999"/>
              <w:bottom w:val="single" w:sz="4" w:space="0" w:color="999999"/>
              <w:right w:val="single" w:sz="4" w:space="0" w:color="999999"/>
            </w:tcBorders>
            <w:shd w:val="clear" w:color="auto" w:fill="D9E2F3"/>
            <w:tcMar>
              <w:top w:w="70" w:type="dxa"/>
              <w:left w:w="80" w:type="dxa"/>
              <w:bottom w:w="70" w:type="dxa"/>
              <w:right w:w="80" w:type="dxa"/>
            </w:tcMar>
            <w:vAlign w:val="center"/>
            <w:hideMark/>
          </w:tcPr>
          <w:p w14:paraId="1C179469" w14:textId="77777777" w:rsidR="00A954B6" w:rsidRPr="00A954B6" w:rsidRDefault="00A954B6" w:rsidP="007C0C22">
            <w:pPr>
              <w:spacing w:after="0" w:line="240" w:lineRule="auto"/>
            </w:pPr>
            <w:r w:rsidRPr="00A954B6">
              <w:rPr>
                <w:b/>
                <w:bCs/>
              </w:rPr>
              <w:t>R@1 &lt;50 m</w:t>
            </w:r>
          </w:p>
        </w:tc>
        <w:tc>
          <w:tcPr>
            <w:tcW w:w="840" w:type="dxa"/>
            <w:tcBorders>
              <w:top w:val="single" w:sz="4" w:space="0" w:color="999999"/>
              <w:left w:val="single" w:sz="4" w:space="0" w:color="999999"/>
              <w:bottom w:val="single" w:sz="4" w:space="0" w:color="999999"/>
              <w:right w:val="single" w:sz="4" w:space="0" w:color="999999"/>
            </w:tcBorders>
            <w:shd w:val="clear" w:color="auto" w:fill="D9E2F3"/>
            <w:tcMar>
              <w:top w:w="70" w:type="dxa"/>
              <w:left w:w="80" w:type="dxa"/>
              <w:bottom w:w="70" w:type="dxa"/>
              <w:right w:w="80" w:type="dxa"/>
            </w:tcMar>
            <w:vAlign w:val="center"/>
            <w:hideMark/>
          </w:tcPr>
          <w:p w14:paraId="4FA53E8F" w14:textId="77777777" w:rsidR="00A954B6" w:rsidRPr="00A954B6" w:rsidRDefault="00A954B6" w:rsidP="007C0C22">
            <w:pPr>
              <w:spacing w:after="0" w:line="240" w:lineRule="auto"/>
            </w:pPr>
            <w:r w:rsidRPr="00A954B6">
              <w:rPr>
                <w:b/>
                <w:bCs/>
              </w:rPr>
              <w:t>R@1 &lt;100 m</w:t>
            </w:r>
          </w:p>
        </w:tc>
        <w:tc>
          <w:tcPr>
            <w:tcW w:w="840" w:type="dxa"/>
            <w:tcBorders>
              <w:top w:val="single" w:sz="4" w:space="0" w:color="999999"/>
              <w:left w:val="single" w:sz="4" w:space="0" w:color="999999"/>
              <w:bottom w:val="single" w:sz="4" w:space="0" w:color="999999"/>
              <w:right w:val="single" w:sz="4" w:space="0" w:color="999999"/>
            </w:tcBorders>
            <w:shd w:val="clear" w:color="auto" w:fill="D9E2F3"/>
            <w:tcMar>
              <w:top w:w="70" w:type="dxa"/>
              <w:left w:w="80" w:type="dxa"/>
              <w:bottom w:w="70" w:type="dxa"/>
              <w:right w:w="80" w:type="dxa"/>
            </w:tcMar>
            <w:vAlign w:val="center"/>
            <w:hideMark/>
          </w:tcPr>
          <w:p w14:paraId="115DD98E" w14:textId="77777777" w:rsidR="00A954B6" w:rsidRPr="00A954B6" w:rsidRDefault="00A954B6" w:rsidP="007C0C22">
            <w:pPr>
              <w:spacing w:after="0" w:line="240" w:lineRule="auto"/>
            </w:pPr>
            <w:r w:rsidRPr="00A954B6">
              <w:rPr>
                <w:b/>
                <w:bCs/>
              </w:rPr>
              <w:t>R@1 &lt;500 m</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80" w:type="dxa"/>
              <w:bottom w:w="70" w:type="dxa"/>
              <w:right w:w="80" w:type="dxa"/>
            </w:tcMar>
            <w:vAlign w:val="center"/>
            <w:hideMark/>
          </w:tcPr>
          <w:p w14:paraId="586FDBC0" w14:textId="77777777" w:rsidR="00A954B6" w:rsidRPr="00A954B6" w:rsidRDefault="00A954B6" w:rsidP="007C0C22">
            <w:pPr>
              <w:spacing w:after="0" w:line="240" w:lineRule="auto"/>
            </w:pPr>
            <w:r w:rsidRPr="00A954B6">
              <w:rPr>
                <w:b/>
                <w:bCs/>
              </w:rPr>
              <w:t>Notes</w:t>
            </w:r>
          </w:p>
        </w:tc>
      </w:tr>
      <w:tr w:rsidR="00A954B6" w:rsidRPr="00A954B6" w14:paraId="26D00AA6" w14:textId="77777777">
        <w:tc>
          <w:tcPr>
            <w:tcW w:w="28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1134062" w14:textId="77777777" w:rsidR="00A954B6" w:rsidRPr="00A954B6" w:rsidRDefault="00A954B6" w:rsidP="007C0C22">
            <w:pPr>
              <w:spacing w:after="0" w:line="240" w:lineRule="auto"/>
            </w:pPr>
            <w:r w:rsidRPr="00A954B6">
              <w:t>Frozen DINOv2 (head only)</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2A99AB8C" w14:textId="77777777" w:rsidR="00A954B6" w:rsidRPr="00A954B6" w:rsidRDefault="00A954B6" w:rsidP="007C0C22">
            <w:pPr>
              <w:spacing w:after="0" w:line="240" w:lineRule="auto"/>
            </w:pPr>
            <w:r w:rsidRPr="00A954B6">
              <w:t>56.14</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6456D952" w14:textId="77777777" w:rsidR="00A954B6" w:rsidRPr="00A954B6" w:rsidRDefault="00A954B6" w:rsidP="007C0C22">
            <w:pPr>
              <w:spacing w:after="0" w:line="240" w:lineRule="auto"/>
            </w:pPr>
            <w:r w:rsidRPr="00A954B6">
              <w:t>49.8</w:t>
            </w:r>
          </w:p>
        </w:tc>
        <w:tc>
          <w:tcPr>
            <w:tcW w:w="8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72DC1938" w14:textId="77777777" w:rsidR="00A954B6" w:rsidRPr="00A954B6" w:rsidRDefault="00A954B6" w:rsidP="007C0C22">
            <w:pPr>
              <w:spacing w:after="0" w:line="240" w:lineRule="auto"/>
            </w:pPr>
            <w:r w:rsidRPr="00A954B6">
              <w:t>39.01</w:t>
            </w:r>
          </w:p>
        </w:tc>
        <w:tc>
          <w:tcPr>
            <w:tcW w:w="8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00C071E8" w14:textId="77777777" w:rsidR="00A954B6" w:rsidRPr="00A954B6" w:rsidRDefault="00A954B6" w:rsidP="007C0C22">
            <w:pPr>
              <w:spacing w:after="0" w:line="240" w:lineRule="auto"/>
            </w:pPr>
            <w:r w:rsidRPr="00A954B6">
              <w:t>52.23</w:t>
            </w:r>
          </w:p>
        </w:tc>
        <w:tc>
          <w:tcPr>
            <w:tcW w:w="8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71DE8ECB" w14:textId="77777777" w:rsidR="00A954B6" w:rsidRPr="00A954B6" w:rsidRDefault="00A954B6" w:rsidP="007C0C22">
            <w:pPr>
              <w:spacing w:after="0" w:line="240" w:lineRule="auto"/>
            </w:pPr>
            <w:r w:rsidRPr="00A954B6">
              <w:t>64.11</w:t>
            </w:r>
          </w:p>
        </w:tc>
        <w:tc>
          <w:tcPr>
            <w:tcW w:w="8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021906D3" w14:textId="77777777" w:rsidR="00A954B6" w:rsidRPr="00A954B6" w:rsidRDefault="00A954B6" w:rsidP="007C0C22">
            <w:pPr>
              <w:spacing w:after="0" w:line="240" w:lineRule="auto"/>
            </w:pPr>
            <w:r w:rsidRPr="00A954B6">
              <w:t>81.34</w:t>
            </w:r>
          </w:p>
        </w:tc>
        <w:tc>
          <w:tcPr>
            <w:tcW w:w="14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5277C16" w14:textId="77777777" w:rsidR="00A954B6" w:rsidRPr="00A954B6" w:rsidRDefault="00A954B6" w:rsidP="007C0C22">
            <w:pPr>
              <w:spacing w:after="0" w:line="240" w:lineRule="auto"/>
            </w:pPr>
            <w:r w:rsidRPr="00A954B6">
              <w:rPr>
                <w:i/>
                <w:iCs/>
              </w:rPr>
              <w:t>Baseline</w:t>
            </w:r>
          </w:p>
        </w:tc>
      </w:tr>
      <w:tr w:rsidR="00A954B6" w:rsidRPr="00A954B6" w14:paraId="25A0F8FA" w14:textId="77777777">
        <w:tc>
          <w:tcPr>
            <w:tcW w:w="28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63544B2" w14:textId="77777777" w:rsidR="00A954B6" w:rsidRPr="00A954B6" w:rsidRDefault="00A954B6" w:rsidP="007C0C22">
            <w:pPr>
              <w:spacing w:after="0" w:line="240" w:lineRule="auto"/>
            </w:pPr>
            <w:r w:rsidRPr="00A954B6">
              <w:t>DINOv2 + Triplet Loss</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4991198" w14:textId="77777777" w:rsidR="00A954B6" w:rsidRPr="00A954B6" w:rsidRDefault="00A954B6" w:rsidP="007C0C22">
            <w:pPr>
              <w:spacing w:after="0" w:line="240" w:lineRule="auto"/>
            </w:pPr>
            <w:r w:rsidRPr="00A954B6">
              <w:t>71.04</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4F44BF25" w14:textId="77777777" w:rsidR="00A954B6" w:rsidRPr="00A954B6" w:rsidRDefault="00A954B6" w:rsidP="007C0C22">
            <w:pPr>
              <w:spacing w:after="0" w:line="240" w:lineRule="auto"/>
            </w:pPr>
            <w:r w:rsidRPr="00A954B6">
              <w:t>12.3</w:t>
            </w:r>
          </w:p>
        </w:tc>
        <w:tc>
          <w:tcPr>
            <w:tcW w:w="8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B65E0DC" w14:textId="77777777" w:rsidR="00A954B6" w:rsidRPr="00A954B6" w:rsidRDefault="00A954B6" w:rsidP="007C0C22">
            <w:pPr>
              <w:spacing w:after="0" w:line="240" w:lineRule="auto"/>
            </w:pPr>
            <w:r w:rsidRPr="00A954B6">
              <w:t>58.32</w:t>
            </w:r>
          </w:p>
        </w:tc>
        <w:tc>
          <w:tcPr>
            <w:tcW w:w="8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2E701969" w14:textId="77777777" w:rsidR="00A954B6" w:rsidRPr="00A954B6" w:rsidRDefault="00A954B6" w:rsidP="007C0C22">
            <w:pPr>
              <w:spacing w:after="0" w:line="240" w:lineRule="auto"/>
            </w:pPr>
            <w:r w:rsidRPr="00A954B6">
              <w:t>68.71</w:t>
            </w:r>
          </w:p>
        </w:tc>
        <w:tc>
          <w:tcPr>
            <w:tcW w:w="8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D8BA18C" w14:textId="77777777" w:rsidR="00A954B6" w:rsidRPr="00A954B6" w:rsidRDefault="00A954B6" w:rsidP="007C0C22">
            <w:pPr>
              <w:spacing w:after="0" w:line="240" w:lineRule="auto"/>
            </w:pPr>
            <w:r w:rsidRPr="00A954B6">
              <w:t>78.02</w:t>
            </w:r>
          </w:p>
        </w:tc>
        <w:tc>
          <w:tcPr>
            <w:tcW w:w="8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0C12784" w14:textId="77777777" w:rsidR="00A954B6" w:rsidRPr="00A954B6" w:rsidRDefault="00A954B6" w:rsidP="007C0C22">
            <w:pPr>
              <w:spacing w:after="0" w:line="240" w:lineRule="auto"/>
            </w:pPr>
            <w:r w:rsidRPr="00A954B6">
              <w:t>90.35</w:t>
            </w:r>
          </w:p>
        </w:tc>
        <w:tc>
          <w:tcPr>
            <w:tcW w:w="14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5D15BA82" w14:textId="77777777" w:rsidR="00A954B6" w:rsidRPr="00A954B6" w:rsidRDefault="00A954B6" w:rsidP="007C0C22">
            <w:pPr>
              <w:spacing w:after="0" w:line="240" w:lineRule="auto"/>
            </w:pPr>
            <w:r w:rsidRPr="00A954B6">
              <w:rPr>
                <w:i/>
                <w:iCs/>
              </w:rPr>
              <w:t>Ablation (loss)</w:t>
            </w:r>
          </w:p>
        </w:tc>
      </w:tr>
      <w:tr w:rsidR="00A954B6" w:rsidRPr="00A954B6" w14:paraId="149025C1" w14:textId="77777777">
        <w:tc>
          <w:tcPr>
            <w:tcW w:w="28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2B7C49F1" w14:textId="77777777" w:rsidR="00A954B6" w:rsidRPr="00A954B6" w:rsidRDefault="00A954B6" w:rsidP="007C0C22">
            <w:pPr>
              <w:spacing w:after="0" w:line="240" w:lineRule="auto"/>
            </w:pPr>
            <w:r w:rsidRPr="00A954B6">
              <w:t>DINOv2 + CLS token</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5A2D6217" w14:textId="77777777" w:rsidR="00A954B6" w:rsidRPr="00A954B6" w:rsidRDefault="00A954B6" w:rsidP="007C0C22">
            <w:pPr>
              <w:spacing w:after="0" w:line="240" w:lineRule="auto"/>
            </w:pPr>
            <w:r w:rsidRPr="00A954B6">
              <w:t>76.58</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A18E765" w14:textId="77777777" w:rsidR="00A954B6" w:rsidRPr="00A954B6" w:rsidRDefault="00A954B6" w:rsidP="007C0C22">
            <w:pPr>
              <w:spacing w:after="0" w:line="240" w:lineRule="auto"/>
            </w:pPr>
            <w:r w:rsidRPr="00A954B6">
              <w:t>5.3</w:t>
            </w:r>
          </w:p>
        </w:tc>
        <w:tc>
          <w:tcPr>
            <w:tcW w:w="8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4871DBC4" w14:textId="77777777" w:rsidR="00A954B6" w:rsidRPr="00A954B6" w:rsidRDefault="00A954B6" w:rsidP="007C0C22">
            <w:pPr>
              <w:spacing w:after="0" w:line="240" w:lineRule="auto"/>
            </w:pPr>
            <w:r w:rsidRPr="00A954B6">
              <w:t>64.90</w:t>
            </w:r>
          </w:p>
        </w:tc>
        <w:tc>
          <w:tcPr>
            <w:tcW w:w="8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5308D262" w14:textId="77777777" w:rsidR="00A954B6" w:rsidRPr="00A954B6" w:rsidRDefault="00A954B6" w:rsidP="007C0C22">
            <w:pPr>
              <w:spacing w:after="0" w:line="240" w:lineRule="auto"/>
            </w:pPr>
            <w:r w:rsidRPr="00A954B6">
              <w:t>75.89</w:t>
            </w:r>
          </w:p>
        </w:tc>
        <w:tc>
          <w:tcPr>
            <w:tcW w:w="8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47BCDD3" w14:textId="77777777" w:rsidR="00A954B6" w:rsidRPr="00A954B6" w:rsidRDefault="00A954B6" w:rsidP="007C0C22">
            <w:pPr>
              <w:spacing w:after="0" w:line="240" w:lineRule="auto"/>
            </w:pPr>
            <w:r w:rsidRPr="00A954B6">
              <w:t>83.71</w:t>
            </w:r>
          </w:p>
        </w:tc>
        <w:tc>
          <w:tcPr>
            <w:tcW w:w="8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6C93D16B" w14:textId="77777777" w:rsidR="00A954B6" w:rsidRPr="00A954B6" w:rsidRDefault="00A954B6" w:rsidP="007C0C22">
            <w:pPr>
              <w:spacing w:after="0" w:line="240" w:lineRule="auto"/>
            </w:pPr>
            <w:r w:rsidRPr="00A954B6">
              <w:t>91.73</w:t>
            </w:r>
          </w:p>
        </w:tc>
        <w:tc>
          <w:tcPr>
            <w:tcW w:w="14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7DD5F7CB" w14:textId="77777777" w:rsidR="00A954B6" w:rsidRPr="00A954B6" w:rsidRDefault="00A954B6" w:rsidP="007C0C22">
            <w:pPr>
              <w:spacing w:after="0" w:line="240" w:lineRule="auto"/>
            </w:pPr>
            <w:r w:rsidRPr="00A954B6">
              <w:rPr>
                <w:i/>
                <w:iCs/>
              </w:rPr>
              <w:t>Ablation (pooling)</w:t>
            </w:r>
          </w:p>
        </w:tc>
      </w:tr>
      <w:tr w:rsidR="00A954B6" w:rsidRPr="00A954B6" w14:paraId="1E1C3FD5" w14:textId="77777777">
        <w:tc>
          <w:tcPr>
            <w:tcW w:w="28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79050C17" w14:textId="77777777" w:rsidR="00A954B6" w:rsidRPr="00A954B6" w:rsidRDefault="00A954B6" w:rsidP="007C0C22">
            <w:pPr>
              <w:spacing w:after="0" w:line="240" w:lineRule="auto"/>
            </w:pPr>
            <w:r w:rsidRPr="00A954B6">
              <w:rPr>
                <w:b/>
                <w:bCs/>
              </w:rPr>
              <w:t xml:space="preserve">DINOv2 + </w:t>
            </w:r>
            <w:proofErr w:type="spellStart"/>
            <w:r w:rsidRPr="00A954B6">
              <w:rPr>
                <w:b/>
                <w:bCs/>
              </w:rPr>
              <w:t>GeM</w:t>
            </w:r>
            <w:proofErr w:type="spellEnd"/>
            <w:r w:rsidRPr="00A954B6">
              <w:rPr>
                <w:b/>
                <w:bCs/>
              </w:rPr>
              <w:t xml:space="preserve"> + MS Loss (main)</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51ADCA49" w14:textId="77777777" w:rsidR="00A954B6" w:rsidRPr="00A954B6" w:rsidRDefault="00A954B6" w:rsidP="007C0C22">
            <w:pPr>
              <w:spacing w:after="0" w:line="240" w:lineRule="auto"/>
            </w:pPr>
            <w:r w:rsidRPr="00A954B6">
              <w:rPr>
                <w:b/>
                <w:bCs/>
              </w:rPr>
              <w:t>74.70</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3363D25" w14:textId="77777777" w:rsidR="00A954B6" w:rsidRPr="00A954B6" w:rsidRDefault="00A954B6" w:rsidP="007C0C22">
            <w:pPr>
              <w:spacing w:after="0" w:line="240" w:lineRule="auto"/>
            </w:pPr>
            <w:r w:rsidRPr="00A954B6">
              <w:rPr>
                <w:b/>
                <w:bCs/>
              </w:rPr>
              <w:t>8.2</w:t>
            </w:r>
          </w:p>
        </w:tc>
        <w:tc>
          <w:tcPr>
            <w:tcW w:w="8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22D47A20" w14:textId="77777777" w:rsidR="00A954B6" w:rsidRPr="00A954B6" w:rsidRDefault="00A954B6" w:rsidP="007C0C22">
            <w:pPr>
              <w:spacing w:after="0" w:line="240" w:lineRule="auto"/>
            </w:pPr>
            <w:r w:rsidRPr="00A954B6">
              <w:rPr>
                <w:b/>
                <w:bCs/>
              </w:rPr>
              <w:t>61.73</w:t>
            </w:r>
          </w:p>
        </w:tc>
        <w:tc>
          <w:tcPr>
            <w:tcW w:w="8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4C5DF49E" w14:textId="77777777" w:rsidR="00A954B6" w:rsidRPr="00A954B6" w:rsidRDefault="00A954B6" w:rsidP="007C0C22">
            <w:pPr>
              <w:spacing w:after="0" w:line="240" w:lineRule="auto"/>
            </w:pPr>
            <w:r w:rsidRPr="00A954B6">
              <w:rPr>
                <w:b/>
                <w:bCs/>
              </w:rPr>
              <w:t>71.88</w:t>
            </w:r>
          </w:p>
        </w:tc>
        <w:tc>
          <w:tcPr>
            <w:tcW w:w="8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4B7E26D1" w14:textId="77777777" w:rsidR="00A954B6" w:rsidRPr="00A954B6" w:rsidRDefault="00A954B6" w:rsidP="007C0C22">
            <w:pPr>
              <w:spacing w:after="0" w:line="240" w:lineRule="auto"/>
            </w:pPr>
            <w:r w:rsidRPr="00A954B6">
              <w:rPr>
                <w:b/>
                <w:bCs/>
              </w:rPr>
              <w:t>81.24</w:t>
            </w:r>
          </w:p>
        </w:tc>
        <w:tc>
          <w:tcPr>
            <w:tcW w:w="8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41A3FC76" w14:textId="77777777" w:rsidR="00A954B6" w:rsidRPr="00A954B6" w:rsidRDefault="00A954B6" w:rsidP="007C0C22">
            <w:pPr>
              <w:spacing w:after="0" w:line="240" w:lineRule="auto"/>
            </w:pPr>
            <w:r w:rsidRPr="00A954B6">
              <w:rPr>
                <w:b/>
                <w:bCs/>
              </w:rPr>
              <w:t>91.39</w:t>
            </w:r>
          </w:p>
        </w:tc>
        <w:tc>
          <w:tcPr>
            <w:tcW w:w="14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4B192138" w14:textId="77777777" w:rsidR="00A954B6" w:rsidRPr="00A954B6" w:rsidRDefault="00A954B6" w:rsidP="007C0C22">
            <w:pPr>
              <w:spacing w:after="0" w:line="240" w:lineRule="auto"/>
            </w:pPr>
            <w:r w:rsidRPr="00A954B6">
              <w:rPr>
                <w:i/>
                <w:iCs/>
              </w:rPr>
              <w:t>Main model</w:t>
            </w:r>
          </w:p>
        </w:tc>
      </w:tr>
      <w:tr w:rsidR="00A954B6" w:rsidRPr="00A954B6" w14:paraId="398BA81A" w14:textId="77777777">
        <w:tc>
          <w:tcPr>
            <w:tcW w:w="28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3CC983BA" w14:textId="77777777" w:rsidR="00A954B6" w:rsidRPr="00A954B6" w:rsidRDefault="00A954B6" w:rsidP="007C0C22">
            <w:pPr>
              <w:spacing w:after="0" w:line="240" w:lineRule="auto"/>
            </w:pPr>
            <w:r w:rsidRPr="00A954B6">
              <w:t xml:space="preserve">+ </w:t>
            </w:r>
            <w:proofErr w:type="spellStart"/>
            <w:r w:rsidRPr="00A954B6">
              <w:t>LightGlue</w:t>
            </w:r>
            <w:proofErr w:type="spellEnd"/>
            <w:r w:rsidRPr="00A954B6">
              <w:t xml:space="preserve"> (Match Count)</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9CF5D00" w14:textId="77777777" w:rsidR="00A954B6" w:rsidRPr="00A954B6" w:rsidRDefault="00A954B6" w:rsidP="007C0C22">
            <w:pPr>
              <w:spacing w:after="0" w:line="240" w:lineRule="auto"/>
            </w:pPr>
            <w:r w:rsidRPr="00A954B6">
              <w:t>48.32</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432F8817" w14:textId="77777777" w:rsidR="00A954B6" w:rsidRPr="00A954B6" w:rsidRDefault="00A954B6" w:rsidP="007C0C22">
            <w:pPr>
              <w:spacing w:after="0" w:line="240" w:lineRule="auto"/>
            </w:pPr>
            <w:r w:rsidRPr="00A954B6">
              <w:t>64.8</w:t>
            </w:r>
          </w:p>
        </w:tc>
        <w:tc>
          <w:tcPr>
            <w:tcW w:w="8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184B1F3" w14:textId="77777777" w:rsidR="00A954B6" w:rsidRPr="00A954B6" w:rsidRDefault="00A954B6" w:rsidP="007C0C22">
            <w:pPr>
              <w:spacing w:after="0" w:line="240" w:lineRule="auto"/>
            </w:pPr>
            <w:r w:rsidRPr="00A954B6">
              <w:t>31.29</w:t>
            </w:r>
          </w:p>
        </w:tc>
        <w:tc>
          <w:tcPr>
            <w:tcW w:w="8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2AAB77B8" w14:textId="77777777" w:rsidR="00A954B6" w:rsidRPr="00A954B6" w:rsidRDefault="00A954B6" w:rsidP="007C0C22">
            <w:pPr>
              <w:spacing w:after="0" w:line="240" w:lineRule="auto"/>
            </w:pPr>
            <w:r w:rsidRPr="00A954B6">
              <w:t>44.95</w:t>
            </w:r>
          </w:p>
        </w:tc>
        <w:tc>
          <w:tcPr>
            <w:tcW w:w="8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0F1C896A" w14:textId="77777777" w:rsidR="00A954B6" w:rsidRPr="00A954B6" w:rsidRDefault="00A954B6" w:rsidP="007C0C22">
            <w:pPr>
              <w:spacing w:after="0" w:line="240" w:lineRule="auto"/>
            </w:pPr>
            <w:r w:rsidRPr="00A954B6">
              <w:t>56.78</w:t>
            </w:r>
          </w:p>
        </w:tc>
        <w:tc>
          <w:tcPr>
            <w:tcW w:w="8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54D06A7E" w14:textId="77777777" w:rsidR="00A954B6" w:rsidRPr="00A954B6" w:rsidRDefault="00A954B6" w:rsidP="007C0C22">
            <w:pPr>
              <w:spacing w:after="0" w:line="240" w:lineRule="auto"/>
            </w:pPr>
            <w:r w:rsidRPr="00A954B6">
              <w:t>76.53</w:t>
            </w:r>
          </w:p>
        </w:tc>
        <w:tc>
          <w:tcPr>
            <w:tcW w:w="14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5A924C72" w14:textId="77777777" w:rsidR="00A954B6" w:rsidRPr="00A954B6" w:rsidRDefault="00A954B6" w:rsidP="007C0C22">
            <w:pPr>
              <w:spacing w:after="0" w:line="240" w:lineRule="auto"/>
            </w:pPr>
            <w:r w:rsidRPr="00A954B6">
              <w:rPr>
                <w:i/>
                <w:iCs/>
              </w:rPr>
              <w:t>Re-rank (all)</w:t>
            </w:r>
          </w:p>
        </w:tc>
      </w:tr>
      <w:tr w:rsidR="00A954B6" w:rsidRPr="00A954B6" w14:paraId="75096E72" w14:textId="77777777">
        <w:tc>
          <w:tcPr>
            <w:tcW w:w="28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3DBCBC7F" w14:textId="77777777" w:rsidR="00A954B6" w:rsidRPr="00A954B6" w:rsidRDefault="00A954B6" w:rsidP="007C0C22">
            <w:pPr>
              <w:spacing w:after="0" w:line="240" w:lineRule="auto"/>
            </w:pPr>
            <w:r w:rsidRPr="00A954B6">
              <w:t xml:space="preserve">+ </w:t>
            </w:r>
            <w:proofErr w:type="spellStart"/>
            <w:r w:rsidRPr="00A954B6">
              <w:t>LightGlue</w:t>
            </w:r>
            <w:proofErr w:type="spellEnd"/>
            <w:r w:rsidRPr="00A954B6">
              <w:t xml:space="preserve"> (Hybrid Score)</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0C981FD1" w14:textId="77777777" w:rsidR="00A954B6" w:rsidRPr="00A954B6" w:rsidRDefault="00A954B6" w:rsidP="007C0C22">
            <w:pPr>
              <w:spacing w:after="0" w:line="240" w:lineRule="auto"/>
            </w:pPr>
            <w:r w:rsidRPr="00A954B6">
              <w:t>49.41</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430959EF" w14:textId="77777777" w:rsidR="00A954B6" w:rsidRPr="00A954B6" w:rsidRDefault="00A954B6" w:rsidP="007C0C22">
            <w:pPr>
              <w:spacing w:after="0" w:line="240" w:lineRule="auto"/>
            </w:pPr>
            <w:r w:rsidRPr="00A954B6">
              <w:t>60.4</w:t>
            </w:r>
          </w:p>
        </w:tc>
        <w:tc>
          <w:tcPr>
            <w:tcW w:w="8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58CC0AD4" w14:textId="77777777" w:rsidR="00A954B6" w:rsidRPr="00A954B6" w:rsidRDefault="00A954B6" w:rsidP="007C0C22">
            <w:pPr>
              <w:spacing w:after="0" w:line="240" w:lineRule="auto"/>
            </w:pPr>
            <w:r w:rsidRPr="00A954B6">
              <w:t>32.33</w:t>
            </w:r>
          </w:p>
        </w:tc>
        <w:tc>
          <w:tcPr>
            <w:tcW w:w="8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26C83B29" w14:textId="77777777" w:rsidR="00A954B6" w:rsidRPr="00A954B6" w:rsidRDefault="00A954B6" w:rsidP="007C0C22">
            <w:pPr>
              <w:spacing w:after="0" w:line="240" w:lineRule="auto"/>
            </w:pPr>
            <w:r w:rsidRPr="00A954B6">
              <w:t>46.24</w:t>
            </w:r>
          </w:p>
        </w:tc>
        <w:tc>
          <w:tcPr>
            <w:tcW w:w="8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6A926D0F" w14:textId="77777777" w:rsidR="00A954B6" w:rsidRPr="00A954B6" w:rsidRDefault="00A954B6" w:rsidP="007C0C22">
            <w:pPr>
              <w:spacing w:after="0" w:line="240" w:lineRule="auto"/>
            </w:pPr>
            <w:r w:rsidRPr="00A954B6">
              <w:t>58.17</w:t>
            </w:r>
          </w:p>
        </w:tc>
        <w:tc>
          <w:tcPr>
            <w:tcW w:w="8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0E6EB823" w14:textId="77777777" w:rsidR="00A954B6" w:rsidRPr="00A954B6" w:rsidRDefault="00A954B6" w:rsidP="007C0C22">
            <w:pPr>
              <w:spacing w:after="0" w:line="240" w:lineRule="auto"/>
            </w:pPr>
            <w:r w:rsidRPr="00A954B6">
              <w:t>77.13</w:t>
            </w:r>
          </w:p>
        </w:tc>
        <w:tc>
          <w:tcPr>
            <w:tcW w:w="14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489AC878" w14:textId="77777777" w:rsidR="00A954B6" w:rsidRPr="00A954B6" w:rsidRDefault="00A954B6" w:rsidP="007C0C22">
            <w:pPr>
              <w:spacing w:after="0" w:line="240" w:lineRule="auto"/>
            </w:pPr>
            <w:r w:rsidRPr="00A954B6">
              <w:rPr>
                <w:i/>
                <w:iCs/>
              </w:rPr>
              <w:t>Re-rank (all)</w:t>
            </w:r>
          </w:p>
        </w:tc>
      </w:tr>
    </w:tbl>
    <w:p w14:paraId="05DEF6DD" w14:textId="77777777" w:rsidR="00A954B6" w:rsidRDefault="00A954B6" w:rsidP="00A954B6"/>
    <w:p w14:paraId="73021647" w14:textId="118842C1" w:rsidR="007C0C22" w:rsidRPr="00A954B6" w:rsidRDefault="00684733" w:rsidP="00A954B6">
      <w:r>
        <w:rPr>
          <w:noProof/>
        </w:rPr>
        <w:drawing>
          <wp:inline distT="0" distB="0" distL="0" distR="0" wp14:anchorId="5BFB6BC8" wp14:editId="321311C5">
            <wp:extent cx="5749925" cy="2120265"/>
            <wp:effectExtent l="0" t="0" r="3175" b="0"/>
            <wp:docPr id="2073238977"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49925" cy="2120265"/>
                    </a:xfrm>
                    <a:prstGeom prst="rect">
                      <a:avLst/>
                    </a:prstGeom>
                    <a:noFill/>
                    <a:ln>
                      <a:noFill/>
                    </a:ln>
                  </pic:spPr>
                </pic:pic>
              </a:graphicData>
            </a:graphic>
          </wp:inline>
        </w:drawing>
      </w:r>
    </w:p>
    <w:p w14:paraId="0C3F7DF6" w14:textId="77777777" w:rsidR="00A954B6" w:rsidRPr="00A954B6" w:rsidRDefault="00A954B6" w:rsidP="00A954B6">
      <w:r w:rsidRPr="00A954B6">
        <w:rPr>
          <w:i/>
          <w:iCs/>
        </w:rPr>
        <w:t xml:space="preserve">Figure 4. Cumulative distribution functions (CDFs) of </w:t>
      </w:r>
      <w:proofErr w:type="gramStart"/>
      <w:r w:rsidRPr="00A954B6">
        <w:rPr>
          <w:i/>
          <w:iCs/>
        </w:rPr>
        <w:t>Top-1</w:t>
      </w:r>
      <w:proofErr w:type="gramEnd"/>
      <w:r w:rsidRPr="00A954B6">
        <w:rPr>
          <w:i/>
          <w:iCs/>
        </w:rPr>
        <w:t xml:space="preserve"> localization errors. Left: comparison across all methods, showing the clear advantage of fine-tuned variants over the frozen baseline and the underperformance of uniform </w:t>
      </w:r>
      <w:proofErr w:type="spellStart"/>
      <w:r w:rsidRPr="00A954B6">
        <w:rPr>
          <w:i/>
          <w:iCs/>
        </w:rPr>
        <w:t>LightGlue</w:t>
      </w:r>
      <w:proofErr w:type="spellEnd"/>
      <w:r w:rsidRPr="00A954B6">
        <w:rPr>
          <w:i/>
          <w:iCs/>
        </w:rPr>
        <w:t xml:space="preserve"> re-ranking. Right: comparison between </w:t>
      </w:r>
      <w:proofErr w:type="gramStart"/>
      <w:r w:rsidRPr="00A954B6">
        <w:rPr>
          <w:i/>
          <w:iCs/>
        </w:rPr>
        <w:t>Top-1</w:t>
      </w:r>
      <w:proofErr w:type="gramEnd"/>
      <w:r w:rsidRPr="00A954B6">
        <w:rPr>
          <w:i/>
          <w:iCs/>
        </w:rPr>
        <w:t xml:space="preserve"> retrieval and </w:t>
      </w:r>
      <w:proofErr w:type="gramStart"/>
      <w:r w:rsidRPr="00A954B6">
        <w:rPr>
          <w:i/>
          <w:iCs/>
        </w:rPr>
        <w:t>Top-5</w:t>
      </w:r>
      <w:proofErr w:type="gramEnd"/>
      <w:r w:rsidRPr="00A954B6">
        <w:rPr>
          <w:i/>
          <w:iCs/>
        </w:rPr>
        <w:t xml:space="preserve"> Spatial Voting applied to the main model. Spatial Voting systematically degrades the result, indicating that the ranks beyond </w:t>
      </w:r>
      <w:proofErr w:type="gramStart"/>
      <w:r w:rsidRPr="00A954B6">
        <w:rPr>
          <w:i/>
          <w:iCs/>
        </w:rPr>
        <w:t>Top-1</w:t>
      </w:r>
      <w:proofErr w:type="gramEnd"/>
      <w:r w:rsidRPr="00A954B6">
        <w:rPr>
          <w:i/>
          <w:iCs/>
        </w:rPr>
        <w:t xml:space="preserve"> are not sufficiently reliable to support coordinate averaging.</w:t>
      </w:r>
    </w:p>
    <w:p w14:paraId="7ACFF14C" w14:textId="77777777" w:rsidR="00A954B6" w:rsidRPr="00A954B6" w:rsidRDefault="00A954B6" w:rsidP="00A954B6">
      <w:pPr>
        <w:rPr>
          <w:b/>
          <w:bCs/>
        </w:rPr>
      </w:pPr>
      <w:r w:rsidRPr="00A954B6">
        <w:rPr>
          <w:b/>
          <w:bCs/>
        </w:rPr>
        <w:t>4.3. Conditional Two-Stage Pipeline</w:t>
      </w:r>
    </w:p>
    <w:p w14:paraId="1668F3E3" w14:textId="386B3B24" w:rsidR="00A954B6" w:rsidRPr="00A954B6" w:rsidRDefault="00A954B6" w:rsidP="00A954B6">
      <w:r w:rsidRPr="00A954B6">
        <w:t xml:space="preserve">Given the negative effect of uniform </w:t>
      </w:r>
      <w:proofErr w:type="spellStart"/>
      <w:r w:rsidRPr="00A954B6">
        <w:t>LightGlue</w:t>
      </w:r>
      <w:proofErr w:type="spellEnd"/>
      <w:r w:rsidRPr="00A954B6">
        <w:t xml:space="preserve"> re-ranking reported in Section 4.2, we investigate whether re-ranking can be applied selectively to low-confidence queries only. Table 4 reports the conditional pipeline for six threshold values</w:t>
      </w:r>
      <w:r w:rsidR="008D4C91">
        <w:t xml:space="preserve"> </w:t>
      </w:r>
      <w:r w:rsidR="008D4C91" w:rsidRPr="008D4C91">
        <w:t xml:space="preserve">θ </w:t>
      </w:r>
      <w:r w:rsidR="008D4C91" w:rsidRPr="008D4C91">
        <w:rPr>
          <w:rFonts w:ascii="Cambria Math" w:hAnsi="Cambria Math" w:cs="Cambria Math"/>
        </w:rPr>
        <w:t>∈</w:t>
      </w:r>
      <w:r w:rsidR="008D4C91" w:rsidRPr="008D4C91">
        <w:t xml:space="preserve"> </w:t>
      </w:r>
      <w:r w:rsidR="00D469BC">
        <w:t>(</w:t>
      </w:r>
      <w:r w:rsidR="008D4C91" w:rsidRPr="008D4C91">
        <w:t xml:space="preserve">0.70, 0.75, </w:t>
      </w:r>
      <w:r w:rsidR="008D4C91" w:rsidRPr="008D4C91">
        <w:lastRenderedPageBreak/>
        <w:t>0.78, 0.80, 0.82, 0.85</w:t>
      </w:r>
      <w:r w:rsidR="00D469BC">
        <w:t>)</w:t>
      </w:r>
      <w:r w:rsidRPr="00A954B6">
        <w:t xml:space="preserve">. For each </w:t>
      </w:r>
      <w:r w:rsidRPr="00A954B6">
        <w:rPr>
          <w:rFonts w:ascii="Aptos" w:hAnsi="Aptos" w:cs="Aptos"/>
        </w:rPr>
        <w:t>θ</w:t>
      </w:r>
      <w:r w:rsidRPr="00A954B6">
        <w:t xml:space="preserve">, queries with a DINOv2 </w:t>
      </w:r>
      <w:proofErr w:type="gramStart"/>
      <w:r w:rsidRPr="00A954B6">
        <w:t>Top-1</w:t>
      </w:r>
      <w:proofErr w:type="gramEnd"/>
      <w:r w:rsidRPr="00A954B6">
        <w:t xml:space="preserve"> cosine similarity score </w:t>
      </w:r>
      <w:r w:rsidRPr="00A954B6">
        <w:rPr>
          <w:rFonts w:ascii="Aptos" w:hAnsi="Aptos" w:cs="Aptos"/>
        </w:rPr>
        <w:t>≥</w:t>
      </w:r>
      <w:r w:rsidRPr="00A954B6">
        <w:t xml:space="preserve"> </w:t>
      </w:r>
      <w:r w:rsidRPr="00A954B6">
        <w:rPr>
          <w:rFonts w:ascii="Aptos" w:hAnsi="Aptos" w:cs="Aptos"/>
        </w:rPr>
        <w:t>θ</w:t>
      </w:r>
      <w:r w:rsidRPr="00A954B6">
        <w:t xml:space="preserve"> are accepted directly, and the remaining queries are re-ranked with </w:t>
      </w:r>
      <w:proofErr w:type="spellStart"/>
      <w:r w:rsidRPr="00A954B6">
        <w:t>LightGlue</w:t>
      </w:r>
      <w:proofErr w:type="spellEnd"/>
      <w:r w:rsidRPr="00A954B6">
        <w:t xml:space="preserve"> over the </w:t>
      </w:r>
      <w:proofErr w:type="gramStart"/>
      <w:r w:rsidRPr="00A954B6">
        <w:t>Top-20</w:t>
      </w:r>
      <w:proofErr w:type="gramEnd"/>
      <w:r w:rsidRPr="00A954B6">
        <w:t xml:space="preserve"> candidates. The proportion of queries subjected to </w:t>
      </w:r>
      <w:proofErr w:type="spellStart"/>
      <w:r w:rsidRPr="00A954B6">
        <w:t>LightGlue</w:t>
      </w:r>
      <w:proofErr w:type="spellEnd"/>
      <w:r w:rsidRPr="00A954B6">
        <w:t xml:space="preserve"> grows from 0.9% (19/2,020) at θ = 0.70 to 53.8% (1,087/2,020) at θ = 0.85.</w:t>
      </w:r>
    </w:p>
    <w:p w14:paraId="536107EE" w14:textId="77777777" w:rsidR="00A954B6" w:rsidRPr="00A954B6" w:rsidRDefault="00A954B6" w:rsidP="00A954B6">
      <w:r w:rsidRPr="00A954B6">
        <w:t xml:space="preserve">Across all tested thresholds, the conditional pipeline yields either a marginal or a larger decrease in performance relative to DINOv2-only. At θ = 0.70, where fewer than 1% of queries are re-ranked, the outcome is almost identical to the baseline (81.09% vs. 81.24% R@1 &lt;100 m; −0.15 percentage points). As θ increases and more queries are routed to </w:t>
      </w:r>
      <w:proofErr w:type="spellStart"/>
      <w:r w:rsidRPr="00A954B6">
        <w:t>LightGlue</w:t>
      </w:r>
      <w:proofErr w:type="spellEnd"/>
      <w:r w:rsidRPr="00A954B6">
        <w:t xml:space="preserve">, performance degrades monotonically, reaching 66.83% R@1 &lt;100 m at θ = 0.85 — a 14.4 percentage-point reduction relative to the main model. Median localization error exhibits the same monotonic trend (8.2 m → 36.8 m). These results imply that, on this dataset, </w:t>
      </w:r>
      <w:proofErr w:type="spellStart"/>
      <w:r w:rsidRPr="00A954B6">
        <w:t>LightGlue</w:t>
      </w:r>
      <w:proofErr w:type="spellEnd"/>
      <w:r w:rsidRPr="00A954B6">
        <w:t xml:space="preserve">-based re-ranking is harmful to the output of the first stage irrespective of whether it is applied to high- or low-confidence queries. In other words, the local geometric cues captured by ALIKED + </w:t>
      </w:r>
      <w:proofErr w:type="spellStart"/>
      <w:r w:rsidRPr="00A954B6">
        <w:t>LightGlue</w:t>
      </w:r>
      <w:proofErr w:type="spellEnd"/>
      <w:r w:rsidRPr="00A954B6">
        <w:t xml:space="preserve"> on Google Street View imagery cannot improve upon the global semantic representation produced by the fine-tuned DINOv2 model. Potential causes for this behavior are discussed in Section 5.</w:t>
      </w:r>
    </w:p>
    <w:p w14:paraId="4C7A25B4" w14:textId="77777777" w:rsidR="00A954B6" w:rsidRPr="00A954B6" w:rsidRDefault="00A954B6" w:rsidP="00A954B6">
      <w:r w:rsidRPr="00A954B6">
        <w:rPr>
          <w:i/>
          <w:iCs/>
        </w:rPr>
        <w:t xml:space="preserve">Table 4. Conditional pipeline results. θ is the DINOv2 </w:t>
      </w:r>
      <w:proofErr w:type="gramStart"/>
      <w:r w:rsidRPr="00A954B6">
        <w:rPr>
          <w:i/>
          <w:iCs/>
        </w:rPr>
        <w:t>Top-1</w:t>
      </w:r>
      <w:proofErr w:type="gramEnd"/>
      <w:r w:rsidRPr="00A954B6">
        <w:rPr>
          <w:i/>
          <w:iCs/>
        </w:rPr>
        <w:t xml:space="preserve"> cosine similarity threshold; queries with scores below θ are re-ranked with </w:t>
      </w:r>
      <w:proofErr w:type="spellStart"/>
      <w:r w:rsidRPr="00A954B6">
        <w:rPr>
          <w:i/>
          <w:iCs/>
        </w:rPr>
        <w:t>LightGlue</w:t>
      </w:r>
      <w:proofErr w:type="spellEnd"/>
      <w:r w:rsidRPr="00A954B6">
        <w:rPr>
          <w:i/>
          <w:iCs/>
        </w:rPr>
        <w:t>. The first row corresponds to DINOv2-only without any re-ranking.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
        <w:gridCol w:w="1085"/>
        <w:gridCol w:w="1070"/>
        <w:gridCol w:w="979"/>
        <w:gridCol w:w="1131"/>
        <w:gridCol w:w="1050"/>
        <w:gridCol w:w="979"/>
        <w:gridCol w:w="979"/>
        <w:gridCol w:w="1109"/>
      </w:tblGrid>
      <w:tr w:rsidR="00A954B6" w:rsidRPr="00A954B6" w14:paraId="00F05D00" w14:textId="77777777">
        <w:tc>
          <w:tcPr>
            <w:tcW w:w="9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80" w:type="dxa"/>
              <w:bottom w:w="70" w:type="dxa"/>
              <w:right w:w="80" w:type="dxa"/>
            </w:tcMar>
            <w:vAlign w:val="center"/>
            <w:hideMark/>
          </w:tcPr>
          <w:p w14:paraId="050547FB" w14:textId="77777777" w:rsidR="00A954B6" w:rsidRPr="00A954B6" w:rsidRDefault="00A954B6" w:rsidP="009F160D">
            <w:pPr>
              <w:spacing w:after="0" w:line="240" w:lineRule="auto"/>
            </w:pPr>
            <w:r w:rsidRPr="00A954B6">
              <w:rPr>
                <w:b/>
                <w:bCs/>
              </w:rPr>
              <w:t>θ</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80" w:type="dxa"/>
              <w:bottom w:w="70" w:type="dxa"/>
              <w:right w:w="80" w:type="dxa"/>
            </w:tcMar>
            <w:vAlign w:val="center"/>
            <w:hideMark/>
          </w:tcPr>
          <w:p w14:paraId="36A716A4" w14:textId="77777777" w:rsidR="00A954B6" w:rsidRPr="00A954B6" w:rsidRDefault="00A954B6" w:rsidP="009F160D">
            <w:pPr>
              <w:spacing w:after="0" w:line="240" w:lineRule="auto"/>
            </w:pPr>
            <w:r w:rsidRPr="00A954B6">
              <w:rPr>
                <w:b/>
                <w:bCs/>
              </w:rPr>
              <w:t>DINOv2 kept</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80" w:type="dxa"/>
              <w:bottom w:w="70" w:type="dxa"/>
              <w:right w:w="80" w:type="dxa"/>
            </w:tcMar>
            <w:vAlign w:val="center"/>
            <w:hideMark/>
          </w:tcPr>
          <w:p w14:paraId="431C5CBB" w14:textId="77777777" w:rsidR="00A954B6" w:rsidRPr="00A954B6" w:rsidRDefault="00A954B6" w:rsidP="009F160D">
            <w:pPr>
              <w:spacing w:after="0" w:line="240" w:lineRule="auto"/>
            </w:pPr>
            <w:r w:rsidRPr="00A954B6">
              <w:rPr>
                <w:b/>
                <w:bCs/>
              </w:rPr>
              <w:t>LG applied</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80" w:type="dxa"/>
              <w:bottom w:w="70" w:type="dxa"/>
              <w:right w:w="80" w:type="dxa"/>
            </w:tcMar>
            <w:vAlign w:val="center"/>
            <w:hideMark/>
          </w:tcPr>
          <w:p w14:paraId="321E52E4" w14:textId="77777777" w:rsidR="00A954B6" w:rsidRPr="00A954B6" w:rsidRDefault="00A954B6" w:rsidP="009F160D">
            <w:pPr>
              <w:spacing w:after="0" w:line="240" w:lineRule="auto"/>
            </w:pPr>
            <w:r w:rsidRPr="00A954B6">
              <w:rPr>
                <w:b/>
                <w:bCs/>
              </w:rPr>
              <w:t>LG %</w:t>
            </w:r>
          </w:p>
        </w:tc>
        <w:tc>
          <w:tcPr>
            <w:tcW w:w="1040" w:type="dxa"/>
            <w:tcBorders>
              <w:top w:val="single" w:sz="4" w:space="0" w:color="999999"/>
              <w:left w:val="single" w:sz="4" w:space="0" w:color="999999"/>
              <w:bottom w:val="single" w:sz="4" w:space="0" w:color="999999"/>
              <w:right w:val="single" w:sz="4" w:space="0" w:color="999999"/>
            </w:tcBorders>
            <w:shd w:val="clear" w:color="auto" w:fill="D9E2F3"/>
            <w:tcMar>
              <w:top w:w="70" w:type="dxa"/>
              <w:left w:w="80" w:type="dxa"/>
              <w:bottom w:w="70" w:type="dxa"/>
              <w:right w:w="80" w:type="dxa"/>
            </w:tcMar>
            <w:vAlign w:val="center"/>
            <w:hideMark/>
          </w:tcPr>
          <w:p w14:paraId="505ED051" w14:textId="77777777" w:rsidR="00A954B6" w:rsidRPr="00A954B6" w:rsidRDefault="00A954B6" w:rsidP="009F160D">
            <w:pPr>
              <w:spacing w:after="0" w:line="240" w:lineRule="auto"/>
            </w:pPr>
            <w:r w:rsidRPr="00A954B6">
              <w:rPr>
                <w:b/>
                <w:bCs/>
              </w:rPr>
              <w:t>Street Acc. (%)</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80" w:type="dxa"/>
              <w:bottom w:w="70" w:type="dxa"/>
              <w:right w:w="80" w:type="dxa"/>
            </w:tcMar>
            <w:vAlign w:val="center"/>
            <w:hideMark/>
          </w:tcPr>
          <w:p w14:paraId="606A84F2" w14:textId="77777777" w:rsidR="00A954B6" w:rsidRPr="00A954B6" w:rsidRDefault="00A954B6" w:rsidP="009F160D">
            <w:pPr>
              <w:spacing w:after="0" w:line="240" w:lineRule="auto"/>
            </w:pPr>
            <w:r w:rsidRPr="00A954B6">
              <w:rPr>
                <w:b/>
                <w:bCs/>
              </w:rPr>
              <w:t>Median Err. (m)</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80" w:type="dxa"/>
              <w:bottom w:w="70" w:type="dxa"/>
              <w:right w:w="80" w:type="dxa"/>
            </w:tcMar>
            <w:vAlign w:val="center"/>
            <w:hideMark/>
          </w:tcPr>
          <w:p w14:paraId="717B29BA" w14:textId="77777777" w:rsidR="00A954B6" w:rsidRPr="00A954B6" w:rsidRDefault="00A954B6" w:rsidP="009F160D">
            <w:pPr>
              <w:spacing w:after="0" w:line="240" w:lineRule="auto"/>
            </w:pPr>
            <w:r w:rsidRPr="00A954B6">
              <w:rPr>
                <w:b/>
                <w:bCs/>
              </w:rPr>
              <w:t>R@1 &lt;25 m</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80" w:type="dxa"/>
              <w:bottom w:w="70" w:type="dxa"/>
              <w:right w:w="80" w:type="dxa"/>
            </w:tcMar>
            <w:vAlign w:val="center"/>
            <w:hideMark/>
          </w:tcPr>
          <w:p w14:paraId="1CFCC167" w14:textId="77777777" w:rsidR="00A954B6" w:rsidRPr="00A954B6" w:rsidRDefault="00A954B6" w:rsidP="009F160D">
            <w:pPr>
              <w:spacing w:after="0" w:line="240" w:lineRule="auto"/>
            </w:pPr>
            <w:r w:rsidRPr="00A954B6">
              <w:rPr>
                <w:b/>
                <w:bCs/>
              </w:rPr>
              <w:t>R@1 &lt;100 m</w:t>
            </w:r>
          </w:p>
        </w:tc>
        <w:tc>
          <w:tcPr>
            <w:tcW w:w="1020" w:type="dxa"/>
            <w:tcBorders>
              <w:top w:val="single" w:sz="4" w:space="0" w:color="999999"/>
              <w:left w:val="single" w:sz="4" w:space="0" w:color="999999"/>
              <w:bottom w:val="single" w:sz="4" w:space="0" w:color="999999"/>
              <w:right w:val="single" w:sz="4" w:space="0" w:color="999999"/>
            </w:tcBorders>
            <w:shd w:val="clear" w:color="auto" w:fill="D9E2F3"/>
            <w:tcMar>
              <w:top w:w="70" w:type="dxa"/>
              <w:left w:w="80" w:type="dxa"/>
              <w:bottom w:w="70" w:type="dxa"/>
              <w:right w:w="80" w:type="dxa"/>
            </w:tcMar>
            <w:vAlign w:val="center"/>
            <w:hideMark/>
          </w:tcPr>
          <w:p w14:paraId="27945793" w14:textId="77777777" w:rsidR="00A954B6" w:rsidRPr="00A954B6" w:rsidRDefault="00A954B6" w:rsidP="009F160D">
            <w:pPr>
              <w:spacing w:after="0" w:line="240" w:lineRule="auto"/>
            </w:pPr>
            <w:r w:rsidRPr="00A954B6">
              <w:rPr>
                <w:b/>
                <w:bCs/>
              </w:rPr>
              <w:t>R@1 &lt;500 m</w:t>
            </w:r>
          </w:p>
        </w:tc>
      </w:tr>
      <w:tr w:rsidR="00A954B6" w:rsidRPr="00A954B6" w14:paraId="40D1AE7B" w14:textId="77777777">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202C7E20" w14:textId="77777777" w:rsidR="00A954B6" w:rsidRPr="00A954B6" w:rsidRDefault="00A954B6" w:rsidP="009F160D">
            <w:pPr>
              <w:spacing w:after="0" w:line="240" w:lineRule="auto"/>
            </w:pPr>
            <w:r w:rsidRPr="00A954B6">
              <w:rPr>
                <w:b/>
                <w:bCs/>
              </w:rPr>
              <w:t>—</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65EF6325" w14:textId="77777777" w:rsidR="00A954B6" w:rsidRPr="00A954B6" w:rsidRDefault="00A954B6" w:rsidP="009F160D">
            <w:pPr>
              <w:spacing w:after="0" w:line="240" w:lineRule="auto"/>
            </w:pPr>
            <w:r w:rsidRPr="00A954B6">
              <w:rPr>
                <w:b/>
                <w:bCs/>
              </w:rPr>
              <w:t>2020</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2BBB7FC3" w14:textId="77777777" w:rsidR="00A954B6" w:rsidRPr="00A954B6" w:rsidRDefault="00A954B6" w:rsidP="009F160D">
            <w:pPr>
              <w:spacing w:after="0" w:line="240" w:lineRule="auto"/>
            </w:pPr>
            <w:r w:rsidRPr="00A954B6">
              <w:rPr>
                <w:b/>
                <w:bCs/>
              </w:rPr>
              <w:t>0</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53211AA1" w14:textId="77777777" w:rsidR="00A954B6" w:rsidRPr="00A954B6" w:rsidRDefault="00A954B6" w:rsidP="009F160D">
            <w:pPr>
              <w:spacing w:after="0" w:line="240" w:lineRule="auto"/>
            </w:pPr>
            <w:r w:rsidRPr="00A954B6">
              <w:rPr>
                <w:b/>
                <w:bCs/>
              </w:rPr>
              <w:t>0.0</w:t>
            </w:r>
          </w:p>
        </w:tc>
        <w:tc>
          <w:tcPr>
            <w:tcW w:w="10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38077492" w14:textId="77777777" w:rsidR="00A954B6" w:rsidRPr="00A954B6" w:rsidRDefault="00A954B6" w:rsidP="009F160D">
            <w:pPr>
              <w:spacing w:after="0" w:line="240" w:lineRule="auto"/>
            </w:pPr>
            <w:r w:rsidRPr="00A954B6">
              <w:rPr>
                <w:b/>
                <w:bCs/>
              </w:rPr>
              <w:t>74.70</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10FD5F7" w14:textId="77777777" w:rsidR="00A954B6" w:rsidRPr="00A954B6" w:rsidRDefault="00A954B6" w:rsidP="009F160D">
            <w:pPr>
              <w:spacing w:after="0" w:line="240" w:lineRule="auto"/>
            </w:pPr>
            <w:r w:rsidRPr="00A954B6">
              <w:rPr>
                <w:b/>
                <w:bCs/>
              </w:rPr>
              <w:t>8.2</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27901ECD" w14:textId="77777777" w:rsidR="00A954B6" w:rsidRPr="00A954B6" w:rsidRDefault="00A954B6" w:rsidP="009F160D">
            <w:pPr>
              <w:spacing w:after="0" w:line="240" w:lineRule="auto"/>
            </w:pPr>
            <w:r w:rsidRPr="00A954B6">
              <w:rPr>
                <w:b/>
                <w:bCs/>
              </w:rPr>
              <w:t>61.68</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5EFA6F8B" w14:textId="77777777" w:rsidR="00A954B6" w:rsidRPr="00A954B6" w:rsidRDefault="00A954B6" w:rsidP="009F160D">
            <w:pPr>
              <w:spacing w:after="0" w:line="240" w:lineRule="auto"/>
            </w:pPr>
            <w:r w:rsidRPr="00A954B6">
              <w:rPr>
                <w:b/>
                <w:bCs/>
              </w:rPr>
              <w:t>81.24</w:t>
            </w:r>
          </w:p>
        </w:tc>
        <w:tc>
          <w:tcPr>
            <w:tcW w:w="102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489615DE" w14:textId="77777777" w:rsidR="00A954B6" w:rsidRPr="00A954B6" w:rsidRDefault="00A954B6" w:rsidP="009F160D">
            <w:pPr>
              <w:spacing w:after="0" w:line="240" w:lineRule="auto"/>
            </w:pPr>
            <w:r w:rsidRPr="00A954B6">
              <w:rPr>
                <w:b/>
                <w:bCs/>
              </w:rPr>
              <w:t>91.39</w:t>
            </w:r>
          </w:p>
        </w:tc>
      </w:tr>
      <w:tr w:rsidR="00A954B6" w:rsidRPr="00A954B6" w14:paraId="5CBF6714" w14:textId="77777777">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471F6D70" w14:textId="77777777" w:rsidR="00A954B6" w:rsidRPr="00A954B6" w:rsidRDefault="00A954B6" w:rsidP="009F160D">
            <w:pPr>
              <w:spacing w:after="0" w:line="240" w:lineRule="auto"/>
            </w:pPr>
            <w:r w:rsidRPr="00A954B6">
              <w:t>0.70</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BB649D7" w14:textId="77777777" w:rsidR="00A954B6" w:rsidRPr="00A954B6" w:rsidRDefault="00A954B6" w:rsidP="009F160D">
            <w:pPr>
              <w:spacing w:after="0" w:line="240" w:lineRule="auto"/>
            </w:pPr>
            <w:r w:rsidRPr="00A954B6">
              <w:t>2001</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3B3B8304" w14:textId="77777777" w:rsidR="00A954B6" w:rsidRPr="00A954B6" w:rsidRDefault="00A954B6" w:rsidP="009F160D">
            <w:pPr>
              <w:spacing w:after="0" w:line="240" w:lineRule="auto"/>
            </w:pPr>
            <w:r w:rsidRPr="00A954B6">
              <w:t>19</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751DF5FC" w14:textId="77777777" w:rsidR="00A954B6" w:rsidRPr="00A954B6" w:rsidRDefault="00A954B6" w:rsidP="009F160D">
            <w:pPr>
              <w:spacing w:after="0" w:line="240" w:lineRule="auto"/>
            </w:pPr>
            <w:r w:rsidRPr="00A954B6">
              <w:t>0.9</w:t>
            </w:r>
          </w:p>
        </w:tc>
        <w:tc>
          <w:tcPr>
            <w:tcW w:w="10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972B3F8" w14:textId="77777777" w:rsidR="00A954B6" w:rsidRPr="00A954B6" w:rsidRDefault="00A954B6" w:rsidP="009F160D">
            <w:pPr>
              <w:spacing w:after="0" w:line="240" w:lineRule="auto"/>
            </w:pPr>
            <w:r w:rsidRPr="00A954B6">
              <w:t>74.50</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606EE877" w14:textId="77777777" w:rsidR="00A954B6" w:rsidRPr="00A954B6" w:rsidRDefault="00A954B6" w:rsidP="009F160D">
            <w:pPr>
              <w:spacing w:after="0" w:line="240" w:lineRule="auto"/>
            </w:pPr>
            <w:r w:rsidRPr="00A954B6">
              <w:t>8.5</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9D8FFFD" w14:textId="77777777" w:rsidR="00A954B6" w:rsidRPr="00A954B6" w:rsidRDefault="00A954B6" w:rsidP="009F160D">
            <w:pPr>
              <w:spacing w:after="0" w:line="240" w:lineRule="auto"/>
            </w:pPr>
            <w:r w:rsidRPr="00A954B6">
              <w:t>61.58</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34E14FD2" w14:textId="77777777" w:rsidR="00A954B6" w:rsidRPr="00A954B6" w:rsidRDefault="00A954B6" w:rsidP="009F160D">
            <w:pPr>
              <w:spacing w:after="0" w:line="240" w:lineRule="auto"/>
            </w:pPr>
            <w:r w:rsidRPr="00A954B6">
              <w:t>81.09</w:t>
            </w:r>
          </w:p>
        </w:tc>
        <w:tc>
          <w:tcPr>
            <w:tcW w:w="102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42C00CFF" w14:textId="77777777" w:rsidR="00A954B6" w:rsidRPr="00A954B6" w:rsidRDefault="00A954B6" w:rsidP="009F160D">
            <w:pPr>
              <w:spacing w:after="0" w:line="240" w:lineRule="auto"/>
            </w:pPr>
            <w:r w:rsidRPr="00A954B6">
              <w:t>91.34</w:t>
            </w:r>
          </w:p>
        </w:tc>
      </w:tr>
      <w:tr w:rsidR="00A954B6" w:rsidRPr="00A954B6" w14:paraId="331D8E6F" w14:textId="77777777">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35E25F4E" w14:textId="77777777" w:rsidR="00A954B6" w:rsidRPr="00A954B6" w:rsidRDefault="00A954B6" w:rsidP="009F160D">
            <w:pPr>
              <w:spacing w:after="0" w:line="240" w:lineRule="auto"/>
            </w:pPr>
            <w:r w:rsidRPr="00A954B6">
              <w:t>0.75</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486F0289" w14:textId="77777777" w:rsidR="00A954B6" w:rsidRPr="00A954B6" w:rsidRDefault="00A954B6" w:rsidP="009F160D">
            <w:pPr>
              <w:spacing w:after="0" w:line="240" w:lineRule="auto"/>
            </w:pPr>
            <w:r w:rsidRPr="00A954B6">
              <w:t>1919</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65C11B62" w14:textId="77777777" w:rsidR="00A954B6" w:rsidRPr="00A954B6" w:rsidRDefault="00A954B6" w:rsidP="009F160D">
            <w:pPr>
              <w:spacing w:after="0" w:line="240" w:lineRule="auto"/>
            </w:pPr>
            <w:r w:rsidRPr="00A954B6">
              <w:t>101</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3C4461BB" w14:textId="77777777" w:rsidR="00A954B6" w:rsidRPr="00A954B6" w:rsidRDefault="00A954B6" w:rsidP="009F160D">
            <w:pPr>
              <w:spacing w:after="0" w:line="240" w:lineRule="auto"/>
            </w:pPr>
            <w:r w:rsidRPr="00A954B6">
              <w:t>5.0</w:t>
            </w:r>
          </w:p>
        </w:tc>
        <w:tc>
          <w:tcPr>
            <w:tcW w:w="10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266628B0" w14:textId="77777777" w:rsidR="00A954B6" w:rsidRPr="00A954B6" w:rsidRDefault="00A954B6" w:rsidP="009F160D">
            <w:pPr>
              <w:spacing w:after="0" w:line="240" w:lineRule="auto"/>
            </w:pPr>
            <w:r w:rsidRPr="00A954B6">
              <w:t>73.32</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3833B50A" w14:textId="77777777" w:rsidR="00A954B6" w:rsidRPr="00A954B6" w:rsidRDefault="00A954B6" w:rsidP="009F160D">
            <w:pPr>
              <w:spacing w:after="0" w:line="240" w:lineRule="auto"/>
            </w:pPr>
            <w:r w:rsidRPr="00A954B6">
              <w:t>9.8</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32B516F4" w14:textId="77777777" w:rsidR="00A954B6" w:rsidRPr="00A954B6" w:rsidRDefault="00A954B6" w:rsidP="009F160D">
            <w:pPr>
              <w:spacing w:after="0" w:line="240" w:lineRule="auto"/>
            </w:pPr>
            <w:r w:rsidRPr="00A954B6">
              <w:t>60.54</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683E4BB4" w14:textId="77777777" w:rsidR="00A954B6" w:rsidRPr="00A954B6" w:rsidRDefault="00A954B6" w:rsidP="009F160D">
            <w:pPr>
              <w:spacing w:after="0" w:line="240" w:lineRule="auto"/>
            </w:pPr>
            <w:r w:rsidRPr="00A954B6">
              <w:t>80.15</w:t>
            </w:r>
          </w:p>
        </w:tc>
        <w:tc>
          <w:tcPr>
            <w:tcW w:w="102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38EB3A04" w14:textId="77777777" w:rsidR="00A954B6" w:rsidRPr="00A954B6" w:rsidRDefault="00A954B6" w:rsidP="009F160D">
            <w:pPr>
              <w:spacing w:after="0" w:line="240" w:lineRule="auto"/>
            </w:pPr>
            <w:r w:rsidRPr="00A954B6">
              <w:t>90.30</w:t>
            </w:r>
          </w:p>
        </w:tc>
      </w:tr>
      <w:tr w:rsidR="00A954B6" w:rsidRPr="00A954B6" w14:paraId="07B68EC9" w14:textId="77777777">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0FEE1025" w14:textId="77777777" w:rsidR="00A954B6" w:rsidRPr="00A954B6" w:rsidRDefault="00A954B6" w:rsidP="009F160D">
            <w:pPr>
              <w:spacing w:after="0" w:line="240" w:lineRule="auto"/>
            </w:pPr>
            <w:r w:rsidRPr="00A954B6">
              <w:t>0.78</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3AEE0A6C" w14:textId="77777777" w:rsidR="00A954B6" w:rsidRPr="00A954B6" w:rsidRDefault="00A954B6" w:rsidP="009F160D">
            <w:pPr>
              <w:spacing w:after="0" w:line="240" w:lineRule="auto"/>
            </w:pPr>
            <w:r w:rsidRPr="00A954B6">
              <w:t>1786</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5912A6CD" w14:textId="77777777" w:rsidR="00A954B6" w:rsidRPr="00A954B6" w:rsidRDefault="00A954B6" w:rsidP="009F160D">
            <w:pPr>
              <w:spacing w:after="0" w:line="240" w:lineRule="auto"/>
            </w:pPr>
            <w:r w:rsidRPr="00A954B6">
              <w:t>234</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3B95F0F2" w14:textId="77777777" w:rsidR="00A954B6" w:rsidRPr="00A954B6" w:rsidRDefault="00A954B6" w:rsidP="009F160D">
            <w:pPr>
              <w:spacing w:after="0" w:line="240" w:lineRule="auto"/>
            </w:pPr>
            <w:r w:rsidRPr="00A954B6">
              <w:t>11.6</w:t>
            </w:r>
          </w:p>
        </w:tc>
        <w:tc>
          <w:tcPr>
            <w:tcW w:w="10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02495207" w14:textId="77777777" w:rsidR="00A954B6" w:rsidRPr="00A954B6" w:rsidRDefault="00A954B6" w:rsidP="009F160D">
            <w:pPr>
              <w:spacing w:after="0" w:line="240" w:lineRule="auto"/>
            </w:pPr>
            <w:r w:rsidRPr="00A954B6">
              <w:t>71.63</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51DC8F6A" w14:textId="77777777" w:rsidR="00A954B6" w:rsidRPr="00A954B6" w:rsidRDefault="00A954B6" w:rsidP="009F160D">
            <w:pPr>
              <w:spacing w:after="0" w:line="240" w:lineRule="auto"/>
            </w:pPr>
            <w:r w:rsidRPr="00A954B6">
              <w:t>11.2</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576AA2F" w14:textId="77777777" w:rsidR="00A954B6" w:rsidRPr="00A954B6" w:rsidRDefault="00A954B6" w:rsidP="009F160D">
            <w:pPr>
              <w:spacing w:after="0" w:line="240" w:lineRule="auto"/>
            </w:pPr>
            <w:r w:rsidRPr="00A954B6">
              <w:t>58.56</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046B7AEF" w14:textId="77777777" w:rsidR="00A954B6" w:rsidRPr="00A954B6" w:rsidRDefault="00A954B6" w:rsidP="009F160D">
            <w:pPr>
              <w:spacing w:after="0" w:line="240" w:lineRule="auto"/>
            </w:pPr>
            <w:r w:rsidRPr="00A954B6">
              <w:t>78.07</w:t>
            </w:r>
          </w:p>
        </w:tc>
        <w:tc>
          <w:tcPr>
            <w:tcW w:w="102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2A57DC98" w14:textId="77777777" w:rsidR="00A954B6" w:rsidRPr="00A954B6" w:rsidRDefault="00A954B6" w:rsidP="009F160D">
            <w:pPr>
              <w:spacing w:after="0" w:line="240" w:lineRule="auto"/>
            </w:pPr>
            <w:r w:rsidRPr="00A954B6">
              <w:t>88.76</w:t>
            </w:r>
          </w:p>
        </w:tc>
      </w:tr>
      <w:tr w:rsidR="00A954B6" w:rsidRPr="00A954B6" w14:paraId="76AB83E2" w14:textId="77777777">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01906727" w14:textId="77777777" w:rsidR="00A954B6" w:rsidRPr="00A954B6" w:rsidRDefault="00A954B6" w:rsidP="009F160D">
            <w:pPr>
              <w:spacing w:after="0" w:line="240" w:lineRule="auto"/>
            </w:pPr>
            <w:r w:rsidRPr="00A954B6">
              <w:t>0.80</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BD1E424" w14:textId="77777777" w:rsidR="00A954B6" w:rsidRPr="00A954B6" w:rsidRDefault="00A954B6" w:rsidP="009F160D">
            <w:pPr>
              <w:spacing w:after="0" w:line="240" w:lineRule="auto"/>
            </w:pPr>
            <w:r w:rsidRPr="00A954B6">
              <w:t>1626</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5E29E98E" w14:textId="77777777" w:rsidR="00A954B6" w:rsidRPr="00A954B6" w:rsidRDefault="00A954B6" w:rsidP="009F160D">
            <w:pPr>
              <w:spacing w:after="0" w:line="240" w:lineRule="auto"/>
            </w:pPr>
            <w:r w:rsidRPr="00A954B6">
              <w:t>394</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08F1E5F0" w14:textId="77777777" w:rsidR="00A954B6" w:rsidRPr="00A954B6" w:rsidRDefault="00A954B6" w:rsidP="009F160D">
            <w:pPr>
              <w:spacing w:after="0" w:line="240" w:lineRule="auto"/>
            </w:pPr>
            <w:r w:rsidRPr="00A954B6">
              <w:t>19.5</w:t>
            </w:r>
          </w:p>
        </w:tc>
        <w:tc>
          <w:tcPr>
            <w:tcW w:w="10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430ECEDA" w14:textId="77777777" w:rsidR="00A954B6" w:rsidRPr="00A954B6" w:rsidRDefault="00A954B6" w:rsidP="009F160D">
            <w:pPr>
              <w:spacing w:after="0" w:line="240" w:lineRule="auto"/>
            </w:pPr>
            <w:r w:rsidRPr="00A954B6">
              <w:t>69.36</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2A22508C" w14:textId="77777777" w:rsidR="00A954B6" w:rsidRPr="00A954B6" w:rsidRDefault="00A954B6" w:rsidP="009F160D">
            <w:pPr>
              <w:spacing w:after="0" w:line="240" w:lineRule="auto"/>
            </w:pPr>
            <w:r w:rsidRPr="00A954B6">
              <w:t>14.6</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0178CC0D" w14:textId="77777777" w:rsidR="00A954B6" w:rsidRPr="00A954B6" w:rsidRDefault="00A954B6" w:rsidP="009F160D">
            <w:pPr>
              <w:spacing w:after="0" w:line="240" w:lineRule="auto"/>
            </w:pPr>
            <w:r w:rsidRPr="00A954B6">
              <w:t>56.14</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238C340" w14:textId="77777777" w:rsidR="00A954B6" w:rsidRPr="00A954B6" w:rsidRDefault="00A954B6" w:rsidP="009F160D">
            <w:pPr>
              <w:spacing w:after="0" w:line="240" w:lineRule="auto"/>
            </w:pPr>
            <w:r w:rsidRPr="00A954B6">
              <w:t>75.69</w:t>
            </w:r>
          </w:p>
        </w:tc>
        <w:tc>
          <w:tcPr>
            <w:tcW w:w="102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26A72E64" w14:textId="77777777" w:rsidR="00A954B6" w:rsidRPr="00A954B6" w:rsidRDefault="00A954B6" w:rsidP="009F160D">
            <w:pPr>
              <w:spacing w:after="0" w:line="240" w:lineRule="auto"/>
            </w:pPr>
            <w:r w:rsidRPr="00A954B6">
              <w:t>87.28</w:t>
            </w:r>
          </w:p>
        </w:tc>
      </w:tr>
      <w:tr w:rsidR="00A954B6" w:rsidRPr="00A954B6" w14:paraId="6C42B87E" w14:textId="77777777">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2CEF7D96" w14:textId="77777777" w:rsidR="00A954B6" w:rsidRPr="00A954B6" w:rsidRDefault="00A954B6" w:rsidP="009F160D">
            <w:pPr>
              <w:spacing w:after="0" w:line="240" w:lineRule="auto"/>
            </w:pPr>
            <w:r w:rsidRPr="00A954B6">
              <w:t>0.82</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7AB1A4C0" w14:textId="77777777" w:rsidR="00A954B6" w:rsidRPr="00A954B6" w:rsidRDefault="00A954B6" w:rsidP="009F160D">
            <w:pPr>
              <w:spacing w:after="0" w:line="240" w:lineRule="auto"/>
            </w:pPr>
            <w:r w:rsidRPr="00A954B6">
              <w:t>1413</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0C0A61F9" w14:textId="77777777" w:rsidR="00A954B6" w:rsidRPr="00A954B6" w:rsidRDefault="00A954B6" w:rsidP="009F160D">
            <w:pPr>
              <w:spacing w:after="0" w:line="240" w:lineRule="auto"/>
            </w:pPr>
            <w:r w:rsidRPr="00A954B6">
              <w:t>607</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055D49A1" w14:textId="77777777" w:rsidR="00A954B6" w:rsidRPr="00A954B6" w:rsidRDefault="00A954B6" w:rsidP="009F160D">
            <w:pPr>
              <w:spacing w:after="0" w:line="240" w:lineRule="auto"/>
            </w:pPr>
            <w:r w:rsidRPr="00A954B6">
              <w:t>30.0</w:t>
            </w:r>
          </w:p>
        </w:tc>
        <w:tc>
          <w:tcPr>
            <w:tcW w:w="10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66DE537E" w14:textId="77777777" w:rsidR="00A954B6" w:rsidRPr="00A954B6" w:rsidRDefault="00A954B6" w:rsidP="009F160D">
            <w:pPr>
              <w:spacing w:after="0" w:line="240" w:lineRule="auto"/>
            </w:pPr>
            <w:r w:rsidRPr="00A954B6">
              <w:t>66.49</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7A35F6D7" w14:textId="77777777" w:rsidR="00A954B6" w:rsidRPr="00A954B6" w:rsidRDefault="00A954B6" w:rsidP="009F160D">
            <w:pPr>
              <w:spacing w:after="0" w:line="240" w:lineRule="auto"/>
            </w:pPr>
            <w:r w:rsidRPr="00A954B6">
              <w:t>19.2</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034B8FCB" w14:textId="77777777" w:rsidR="00A954B6" w:rsidRPr="00A954B6" w:rsidRDefault="00A954B6" w:rsidP="009F160D">
            <w:pPr>
              <w:spacing w:after="0" w:line="240" w:lineRule="auto"/>
            </w:pPr>
            <w:r w:rsidRPr="00A954B6">
              <w:t>53.17</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04D811A0" w14:textId="77777777" w:rsidR="00A954B6" w:rsidRPr="00A954B6" w:rsidRDefault="00A954B6" w:rsidP="009F160D">
            <w:pPr>
              <w:spacing w:after="0" w:line="240" w:lineRule="auto"/>
            </w:pPr>
            <w:r w:rsidRPr="00A954B6">
              <w:t>72.72</w:t>
            </w:r>
          </w:p>
        </w:tc>
        <w:tc>
          <w:tcPr>
            <w:tcW w:w="102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7028E76A" w14:textId="77777777" w:rsidR="00A954B6" w:rsidRPr="00A954B6" w:rsidRDefault="00A954B6" w:rsidP="009F160D">
            <w:pPr>
              <w:spacing w:after="0" w:line="240" w:lineRule="auto"/>
            </w:pPr>
            <w:r w:rsidRPr="00A954B6">
              <w:t>85.59</w:t>
            </w:r>
          </w:p>
        </w:tc>
      </w:tr>
      <w:tr w:rsidR="00A954B6" w:rsidRPr="00A954B6" w14:paraId="3BBBF199" w14:textId="77777777">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56ACB986" w14:textId="77777777" w:rsidR="00A954B6" w:rsidRPr="00A954B6" w:rsidRDefault="00A954B6" w:rsidP="009F160D">
            <w:pPr>
              <w:spacing w:after="0" w:line="240" w:lineRule="auto"/>
            </w:pPr>
            <w:r w:rsidRPr="00A954B6">
              <w:t>0.85</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3B563E58" w14:textId="77777777" w:rsidR="00A954B6" w:rsidRPr="00A954B6" w:rsidRDefault="00A954B6" w:rsidP="009F160D">
            <w:pPr>
              <w:spacing w:after="0" w:line="240" w:lineRule="auto"/>
            </w:pPr>
            <w:r w:rsidRPr="00A954B6">
              <w:t>933</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76A288B0" w14:textId="77777777" w:rsidR="00A954B6" w:rsidRPr="00A954B6" w:rsidRDefault="00A954B6" w:rsidP="009F160D">
            <w:pPr>
              <w:spacing w:after="0" w:line="240" w:lineRule="auto"/>
            </w:pPr>
            <w:r w:rsidRPr="00A954B6">
              <w:t>1087</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5462B628" w14:textId="77777777" w:rsidR="00A954B6" w:rsidRPr="00A954B6" w:rsidRDefault="00A954B6" w:rsidP="009F160D">
            <w:pPr>
              <w:spacing w:after="0" w:line="240" w:lineRule="auto"/>
            </w:pPr>
            <w:r w:rsidRPr="00A954B6">
              <w:t>53.8</w:t>
            </w:r>
          </w:p>
        </w:tc>
        <w:tc>
          <w:tcPr>
            <w:tcW w:w="104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69F2FDDC" w14:textId="77777777" w:rsidR="00A954B6" w:rsidRPr="00A954B6" w:rsidRDefault="00A954B6" w:rsidP="009F160D">
            <w:pPr>
              <w:spacing w:after="0" w:line="240" w:lineRule="auto"/>
            </w:pPr>
            <w:r w:rsidRPr="00A954B6">
              <w:t>59.80</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2A01DF41" w14:textId="77777777" w:rsidR="00A954B6" w:rsidRPr="00A954B6" w:rsidRDefault="00A954B6" w:rsidP="009F160D">
            <w:pPr>
              <w:spacing w:after="0" w:line="240" w:lineRule="auto"/>
            </w:pPr>
            <w:r w:rsidRPr="00A954B6">
              <w:t>36.8</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24DE7D88" w14:textId="77777777" w:rsidR="00A954B6" w:rsidRPr="00A954B6" w:rsidRDefault="00A954B6" w:rsidP="009F160D">
            <w:pPr>
              <w:spacing w:after="0" w:line="240" w:lineRule="auto"/>
            </w:pPr>
            <w:r w:rsidRPr="00A954B6">
              <w:t>45.30</w:t>
            </w:r>
          </w:p>
        </w:tc>
        <w:tc>
          <w:tcPr>
            <w:tcW w:w="9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068297BC" w14:textId="77777777" w:rsidR="00A954B6" w:rsidRPr="00A954B6" w:rsidRDefault="00A954B6" w:rsidP="009F160D">
            <w:pPr>
              <w:spacing w:after="0" w:line="240" w:lineRule="auto"/>
            </w:pPr>
            <w:r w:rsidRPr="00A954B6">
              <w:t>66.83</w:t>
            </w:r>
          </w:p>
        </w:tc>
        <w:tc>
          <w:tcPr>
            <w:tcW w:w="102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5B03CC28" w14:textId="77777777" w:rsidR="00A954B6" w:rsidRPr="00A954B6" w:rsidRDefault="00A954B6" w:rsidP="009F160D">
            <w:pPr>
              <w:spacing w:after="0" w:line="240" w:lineRule="auto"/>
            </w:pPr>
            <w:r w:rsidRPr="00A954B6">
              <w:t>81.83</w:t>
            </w:r>
          </w:p>
        </w:tc>
      </w:tr>
    </w:tbl>
    <w:p w14:paraId="343056F8" w14:textId="77777777" w:rsidR="00A954B6" w:rsidRDefault="00A954B6" w:rsidP="00A954B6"/>
    <w:p w14:paraId="42723D71" w14:textId="2455C667" w:rsidR="00684733" w:rsidRPr="00A954B6" w:rsidRDefault="00684733" w:rsidP="00A954B6">
      <w:r>
        <w:rPr>
          <w:noProof/>
        </w:rPr>
        <w:lastRenderedPageBreak/>
        <w:drawing>
          <wp:inline distT="0" distB="0" distL="0" distR="0" wp14:anchorId="7871487C" wp14:editId="1B56EA3C">
            <wp:extent cx="5744210" cy="2086610"/>
            <wp:effectExtent l="0" t="0" r="8890" b="8890"/>
            <wp:docPr id="1087993912"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4210" cy="2086610"/>
                    </a:xfrm>
                    <a:prstGeom prst="rect">
                      <a:avLst/>
                    </a:prstGeom>
                    <a:noFill/>
                    <a:ln>
                      <a:noFill/>
                    </a:ln>
                  </pic:spPr>
                </pic:pic>
              </a:graphicData>
            </a:graphic>
          </wp:inline>
        </w:drawing>
      </w:r>
    </w:p>
    <w:p w14:paraId="3C08A1F4" w14:textId="77777777" w:rsidR="00A954B6" w:rsidRPr="00A954B6" w:rsidRDefault="00A954B6" w:rsidP="00A954B6">
      <w:r w:rsidRPr="00A954B6">
        <w:rPr>
          <w:i/>
          <w:iCs/>
        </w:rPr>
        <w:t xml:space="preserve">Figure 5. Conditional pipeline analysis. Left: the CDFs of DINOv2-only and the best conditional configuration (θ = 0.70) are nearly indistinguishable, confirming that limited </w:t>
      </w:r>
      <w:proofErr w:type="spellStart"/>
      <w:r w:rsidRPr="00A954B6">
        <w:rPr>
          <w:i/>
          <w:iCs/>
        </w:rPr>
        <w:t>LightGlue</w:t>
      </w:r>
      <w:proofErr w:type="spellEnd"/>
      <w:r w:rsidRPr="00A954B6">
        <w:rPr>
          <w:i/>
          <w:iCs/>
        </w:rPr>
        <w:t xml:space="preserve"> intervention cannot improve the baseline. Right: monotonic degradation of R@1 &lt;100 m as the fraction of queries routed to </w:t>
      </w:r>
      <w:proofErr w:type="spellStart"/>
      <w:r w:rsidRPr="00A954B6">
        <w:rPr>
          <w:i/>
          <w:iCs/>
        </w:rPr>
        <w:t>LightGlue</w:t>
      </w:r>
      <w:proofErr w:type="spellEnd"/>
      <w:r w:rsidRPr="00A954B6">
        <w:rPr>
          <w:i/>
          <w:iCs/>
        </w:rPr>
        <w:t xml:space="preserve"> increases.</w:t>
      </w:r>
    </w:p>
    <w:p w14:paraId="3239E89B" w14:textId="77777777" w:rsidR="00A954B6" w:rsidRPr="00A954B6" w:rsidRDefault="00A954B6" w:rsidP="00A954B6">
      <w:pPr>
        <w:rPr>
          <w:b/>
          <w:bCs/>
        </w:rPr>
      </w:pPr>
      <w:r w:rsidRPr="00A954B6">
        <w:rPr>
          <w:b/>
          <w:bCs/>
        </w:rPr>
        <w:t xml:space="preserve">4.4. DINOv2 Variant Comparison: </w:t>
      </w:r>
      <w:proofErr w:type="spellStart"/>
      <w:r w:rsidRPr="00A954B6">
        <w:rPr>
          <w:b/>
          <w:bCs/>
        </w:rPr>
        <w:t>ViT</w:t>
      </w:r>
      <w:proofErr w:type="spellEnd"/>
      <w:r w:rsidRPr="00A954B6">
        <w:rPr>
          <w:b/>
          <w:bCs/>
        </w:rPr>
        <w:t xml:space="preserve">-S/14 vs. </w:t>
      </w:r>
      <w:proofErr w:type="spellStart"/>
      <w:r w:rsidRPr="00A954B6">
        <w:rPr>
          <w:b/>
          <w:bCs/>
        </w:rPr>
        <w:t>ViT</w:t>
      </w:r>
      <w:proofErr w:type="spellEnd"/>
      <w:r w:rsidRPr="00A954B6">
        <w:rPr>
          <w:b/>
          <w:bCs/>
        </w:rPr>
        <w:t>-B/14</w:t>
      </w:r>
    </w:p>
    <w:p w14:paraId="729D496A" w14:textId="77777777" w:rsidR="00A954B6" w:rsidRPr="00A954B6" w:rsidRDefault="00A954B6" w:rsidP="00A954B6">
      <w:r w:rsidRPr="00A954B6">
        <w:t xml:space="preserve">Table 5 summarizes the comparison between the </w:t>
      </w:r>
      <w:proofErr w:type="spellStart"/>
      <w:r w:rsidRPr="00A954B6">
        <w:t>ViT</w:t>
      </w:r>
      <w:proofErr w:type="spellEnd"/>
      <w:r w:rsidRPr="00A954B6">
        <w:t xml:space="preserve">-S/14 and </w:t>
      </w:r>
      <w:proofErr w:type="spellStart"/>
      <w:r w:rsidRPr="00A954B6">
        <w:t>ViT</w:t>
      </w:r>
      <w:proofErr w:type="spellEnd"/>
      <w:r w:rsidRPr="00A954B6">
        <w:t xml:space="preserve">-B/14 variants of DINOv2 under the identical fine-tuning protocol. The </w:t>
      </w:r>
      <w:proofErr w:type="spellStart"/>
      <w:r w:rsidRPr="00A954B6">
        <w:t>ViT</w:t>
      </w:r>
      <w:proofErr w:type="spellEnd"/>
      <w:r w:rsidRPr="00A954B6">
        <w:t xml:space="preserve">-S/14 model contains 22,402,305 parameters and occupies 85.5 MB on disk, corresponding to 25.6% of the parameter count and 25.6% of the storage footprint of the </w:t>
      </w:r>
      <w:proofErr w:type="spellStart"/>
      <w:r w:rsidRPr="00A954B6">
        <w:t>ViT</w:t>
      </w:r>
      <w:proofErr w:type="spellEnd"/>
      <w:r w:rsidRPr="00A954B6">
        <w:t xml:space="preserve">-B/14 model. With this reduced capacity, the </w:t>
      </w:r>
      <w:proofErr w:type="spellStart"/>
      <w:r w:rsidRPr="00A954B6">
        <w:t>ViT</w:t>
      </w:r>
      <w:proofErr w:type="spellEnd"/>
      <w:r w:rsidRPr="00A954B6">
        <w:t xml:space="preserve">-S/14 variant achieves 69.80% street-name accuracy, a 13.2 m median error, and 76.73% R@1 &lt;100 m. Relative to the </w:t>
      </w:r>
      <w:proofErr w:type="spellStart"/>
      <w:r w:rsidRPr="00A954B6">
        <w:t>ViT</w:t>
      </w:r>
      <w:proofErr w:type="spellEnd"/>
      <w:r w:rsidRPr="00A954B6">
        <w:t xml:space="preserve">-B/14 main model (74.70% / 8.2 m / 81.24%), the smaller backbone recovers 94.5% of the R@1 &lt;100 m performance while reducing the median single-image inference time from 37.6 </w:t>
      </w:r>
      <w:proofErr w:type="spellStart"/>
      <w:r w:rsidRPr="00A954B6">
        <w:t>ms</w:t>
      </w:r>
      <w:proofErr w:type="spellEnd"/>
      <w:r w:rsidRPr="00A954B6">
        <w:t xml:space="preserve"> to 12.9 </w:t>
      </w:r>
      <w:proofErr w:type="spellStart"/>
      <w:r w:rsidRPr="00A954B6">
        <w:t>ms</w:t>
      </w:r>
      <w:proofErr w:type="spellEnd"/>
      <w:r w:rsidRPr="00A954B6">
        <w:t xml:space="preserve"> on the NVIDIA L4 GPU — a 2.9× speed-up. This trade-off is particularly relevant for deployment scenarios in which memory or real-time latency budgets are constrained.</w:t>
      </w:r>
    </w:p>
    <w:p w14:paraId="17164FD0" w14:textId="77777777" w:rsidR="00A954B6" w:rsidRPr="00A954B6" w:rsidRDefault="00A954B6" w:rsidP="00A954B6">
      <w:r w:rsidRPr="00A954B6">
        <w:rPr>
          <w:i/>
          <w:iCs/>
        </w:rPr>
        <w:t xml:space="preserve">Table 5. Comparison of DINOv2 </w:t>
      </w:r>
      <w:proofErr w:type="spellStart"/>
      <w:r w:rsidRPr="00A954B6">
        <w:rPr>
          <w:i/>
          <w:iCs/>
        </w:rPr>
        <w:t>ViT</w:t>
      </w:r>
      <w:proofErr w:type="spellEnd"/>
      <w:r w:rsidRPr="00A954B6">
        <w:rPr>
          <w:i/>
          <w:iCs/>
        </w:rPr>
        <w:t xml:space="preserve">-S/14 and </w:t>
      </w:r>
      <w:proofErr w:type="spellStart"/>
      <w:r w:rsidRPr="00A954B6">
        <w:rPr>
          <w:i/>
          <w:iCs/>
        </w:rPr>
        <w:t>ViT</w:t>
      </w:r>
      <w:proofErr w:type="spellEnd"/>
      <w:r w:rsidRPr="00A954B6">
        <w:rPr>
          <w:i/>
          <w:iCs/>
        </w:rPr>
        <w:t>-B/14 under the identical fine-tuning protocol.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280"/>
        <w:gridCol w:w="2280"/>
      </w:tblGrid>
      <w:tr w:rsidR="00A954B6" w:rsidRPr="00A954B6" w14:paraId="1CACD594" w14:textId="77777777">
        <w:tc>
          <w:tcPr>
            <w:tcW w:w="48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80" w:type="dxa"/>
              <w:bottom w:w="70" w:type="dxa"/>
              <w:right w:w="80" w:type="dxa"/>
            </w:tcMar>
            <w:vAlign w:val="center"/>
            <w:hideMark/>
          </w:tcPr>
          <w:p w14:paraId="4E008C0B" w14:textId="77777777" w:rsidR="00A954B6" w:rsidRPr="00A954B6" w:rsidRDefault="00A954B6" w:rsidP="00684733">
            <w:pPr>
              <w:spacing w:after="0" w:line="240" w:lineRule="auto"/>
            </w:pPr>
            <w:r w:rsidRPr="00A954B6">
              <w:rPr>
                <w:b/>
                <w:bCs/>
              </w:rPr>
              <w:t>Metric</w:t>
            </w:r>
          </w:p>
        </w:tc>
        <w:tc>
          <w:tcPr>
            <w:tcW w:w="2280" w:type="dxa"/>
            <w:tcBorders>
              <w:top w:val="single" w:sz="4" w:space="0" w:color="999999"/>
              <w:left w:val="single" w:sz="4" w:space="0" w:color="999999"/>
              <w:bottom w:val="single" w:sz="4" w:space="0" w:color="999999"/>
              <w:right w:val="single" w:sz="4" w:space="0" w:color="999999"/>
            </w:tcBorders>
            <w:shd w:val="clear" w:color="auto" w:fill="D9E2F3"/>
            <w:tcMar>
              <w:top w:w="70" w:type="dxa"/>
              <w:left w:w="80" w:type="dxa"/>
              <w:bottom w:w="70" w:type="dxa"/>
              <w:right w:w="80" w:type="dxa"/>
            </w:tcMar>
            <w:vAlign w:val="center"/>
            <w:hideMark/>
          </w:tcPr>
          <w:p w14:paraId="060965A8" w14:textId="77777777" w:rsidR="00A954B6" w:rsidRPr="00A954B6" w:rsidRDefault="00A954B6" w:rsidP="00684733">
            <w:pPr>
              <w:spacing w:after="0" w:line="240" w:lineRule="auto"/>
            </w:pPr>
            <w:proofErr w:type="spellStart"/>
            <w:r w:rsidRPr="00A954B6">
              <w:rPr>
                <w:b/>
                <w:bCs/>
              </w:rPr>
              <w:t>ViT</w:t>
            </w:r>
            <w:proofErr w:type="spellEnd"/>
            <w:r w:rsidRPr="00A954B6">
              <w:rPr>
                <w:b/>
                <w:bCs/>
              </w:rPr>
              <w:t>-S/14</w:t>
            </w:r>
          </w:p>
        </w:tc>
        <w:tc>
          <w:tcPr>
            <w:tcW w:w="2280" w:type="dxa"/>
            <w:tcBorders>
              <w:top w:val="single" w:sz="4" w:space="0" w:color="999999"/>
              <w:left w:val="single" w:sz="4" w:space="0" w:color="999999"/>
              <w:bottom w:val="single" w:sz="4" w:space="0" w:color="999999"/>
              <w:right w:val="single" w:sz="4" w:space="0" w:color="999999"/>
            </w:tcBorders>
            <w:shd w:val="clear" w:color="auto" w:fill="D9E2F3"/>
            <w:tcMar>
              <w:top w:w="70" w:type="dxa"/>
              <w:left w:w="80" w:type="dxa"/>
              <w:bottom w:w="70" w:type="dxa"/>
              <w:right w:w="80" w:type="dxa"/>
            </w:tcMar>
            <w:vAlign w:val="center"/>
            <w:hideMark/>
          </w:tcPr>
          <w:p w14:paraId="318D8179" w14:textId="77777777" w:rsidR="00A954B6" w:rsidRPr="00A954B6" w:rsidRDefault="00A954B6" w:rsidP="00684733">
            <w:pPr>
              <w:spacing w:after="0" w:line="240" w:lineRule="auto"/>
            </w:pPr>
            <w:proofErr w:type="spellStart"/>
            <w:r w:rsidRPr="00A954B6">
              <w:rPr>
                <w:b/>
                <w:bCs/>
              </w:rPr>
              <w:t>ViT</w:t>
            </w:r>
            <w:proofErr w:type="spellEnd"/>
            <w:r w:rsidRPr="00A954B6">
              <w:rPr>
                <w:b/>
                <w:bCs/>
              </w:rPr>
              <w:t>-B/14</w:t>
            </w:r>
          </w:p>
        </w:tc>
      </w:tr>
      <w:tr w:rsidR="00A954B6" w:rsidRPr="00A954B6" w14:paraId="17273461" w14:textId="77777777">
        <w:tc>
          <w:tcPr>
            <w:tcW w:w="48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2D8A4158" w14:textId="77777777" w:rsidR="00A954B6" w:rsidRPr="00A954B6" w:rsidRDefault="00A954B6" w:rsidP="00684733">
            <w:pPr>
              <w:spacing w:after="0" w:line="240" w:lineRule="auto"/>
            </w:pPr>
            <w:r w:rsidRPr="00A954B6">
              <w:t>Backbone architecture</w:t>
            </w:r>
          </w:p>
        </w:tc>
        <w:tc>
          <w:tcPr>
            <w:tcW w:w="228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2BF997C0" w14:textId="77777777" w:rsidR="00A954B6" w:rsidRPr="00A954B6" w:rsidRDefault="00A954B6" w:rsidP="00684733">
            <w:pPr>
              <w:spacing w:after="0" w:line="240" w:lineRule="auto"/>
            </w:pPr>
            <w:proofErr w:type="spellStart"/>
            <w:r w:rsidRPr="00A954B6">
              <w:t>ViT</w:t>
            </w:r>
            <w:proofErr w:type="spellEnd"/>
            <w:r w:rsidRPr="00A954B6">
              <w:t>-Small (384-dim)</w:t>
            </w:r>
          </w:p>
        </w:tc>
        <w:tc>
          <w:tcPr>
            <w:tcW w:w="228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213F5EDE" w14:textId="77777777" w:rsidR="00A954B6" w:rsidRPr="00A954B6" w:rsidRDefault="00A954B6" w:rsidP="00684733">
            <w:pPr>
              <w:spacing w:after="0" w:line="240" w:lineRule="auto"/>
            </w:pPr>
            <w:proofErr w:type="spellStart"/>
            <w:r w:rsidRPr="00A954B6">
              <w:t>ViT</w:t>
            </w:r>
            <w:proofErr w:type="spellEnd"/>
            <w:r w:rsidRPr="00A954B6">
              <w:t>-Base (768-dim)</w:t>
            </w:r>
          </w:p>
        </w:tc>
      </w:tr>
      <w:tr w:rsidR="00A954B6" w:rsidRPr="00A954B6" w14:paraId="48FCA37D" w14:textId="77777777">
        <w:tc>
          <w:tcPr>
            <w:tcW w:w="48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56113CE3" w14:textId="77777777" w:rsidR="00A954B6" w:rsidRPr="00A954B6" w:rsidRDefault="00A954B6" w:rsidP="00684733">
            <w:pPr>
              <w:spacing w:after="0" w:line="240" w:lineRule="auto"/>
            </w:pPr>
            <w:r w:rsidRPr="00A954B6">
              <w:t>Total parameters</w:t>
            </w:r>
          </w:p>
        </w:tc>
        <w:tc>
          <w:tcPr>
            <w:tcW w:w="228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6E59AD86" w14:textId="77777777" w:rsidR="00A954B6" w:rsidRPr="00A954B6" w:rsidRDefault="00A954B6" w:rsidP="00684733">
            <w:pPr>
              <w:spacing w:after="0" w:line="240" w:lineRule="auto"/>
            </w:pPr>
            <w:r w:rsidRPr="00A954B6">
              <w:t>22,402,305</w:t>
            </w:r>
          </w:p>
        </w:tc>
        <w:tc>
          <w:tcPr>
            <w:tcW w:w="228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0162DE73" w14:textId="77777777" w:rsidR="00A954B6" w:rsidRPr="00A954B6" w:rsidRDefault="00A954B6" w:rsidP="00684733">
            <w:pPr>
              <w:spacing w:after="0" w:line="240" w:lineRule="auto"/>
            </w:pPr>
            <w:r w:rsidRPr="00A954B6">
              <w:t>87,566,337</w:t>
            </w:r>
          </w:p>
        </w:tc>
      </w:tr>
      <w:tr w:rsidR="00A954B6" w:rsidRPr="00A954B6" w14:paraId="0AAC7126" w14:textId="77777777">
        <w:tc>
          <w:tcPr>
            <w:tcW w:w="48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F18D7B7" w14:textId="77777777" w:rsidR="00A954B6" w:rsidRPr="00A954B6" w:rsidRDefault="00A954B6" w:rsidP="00684733">
            <w:pPr>
              <w:spacing w:after="0" w:line="240" w:lineRule="auto"/>
            </w:pPr>
            <w:r w:rsidRPr="00A954B6">
              <w:t>On-disk model size</w:t>
            </w:r>
          </w:p>
        </w:tc>
        <w:tc>
          <w:tcPr>
            <w:tcW w:w="228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7185C9A" w14:textId="77777777" w:rsidR="00A954B6" w:rsidRPr="00A954B6" w:rsidRDefault="00A954B6" w:rsidP="00684733">
            <w:pPr>
              <w:spacing w:after="0" w:line="240" w:lineRule="auto"/>
            </w:pPr>
            <w:r w:rsidRPr="00A954B6">
              <w:t>85.5 MB</w:t>
            </w:r>
          </w:p>
        </w:tc>
        <w:tc>
          <w:tcPr>
            <w:tcW w:w="228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CA5409C" w14:textId="77777777" w:rsidR="00A954B6" w:rsidRPr="00A954B6" w:rsidRDefault="00A954B6" w:rsidP="00684733">
            <w:pPr>
              <w:spacing w:after="0" w:line="240" w:lineRule="auto"/>
            </w:pPr>
            <w:r w:rsidRPr="00A954B6">
              <w:t>334.1 MB</w:t>
            </w:r>
          </w:p>
        </w:tc>
      </w:tr>
      <w:tr w:rsidR="00A954B6" w:rsidRPr="00A954B6" w14:paraId="59C5DF85" w14:textId="77777777">
        <w:tc>
          <w:tcPr>
            <w:tcW w:w="48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47D756E" w14:textId="77777777" w:rsidR="00A954B6" w:rsidRPr="00A954B6" w:rsidRDefault="00A954B6" w:rsidP="00684733">
            <w:pPr>
              <w:spacing w:after="0" w:line="240" w:lineRule="auto"/>
            </w:pPr>
            <w:r w:rsidRPr="00A954B6">
              <w:t>Single-image inference (median)</w:t>
            </w:r>
          </w:p>
        </w:tc>
        <w:tc>
          <w:tcPr>
            <w:tcW w:w="228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2C0EC066" w14:textId="77777777" w:rsidR="00A954B6" w:rsidRPr="00A954B6" w:rsidRDefault="00A954B6" w:rsidP="00684733">
            <w:pPr>
              <w:spacing w:after="0" w:line="240" w:lineRule="auto"/>
            </w:pPr>
            <w:r w:rsidRPr="00A954B6">
              <w:t xml:space="preserve">12.9 </w:t>
            </w:r>
            <w:proofErr w:type="spellStart"/>
            <w:r w:rsidRPr="00A954B6">
              <w:t>ms</w:t>
            </w:r>
            <w:proofErr w:type="spellEnd"/>
          </w:p>
        </w:tc>
        <w:tc>
          <w:tcPr>
            <w:tcW w:w="228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4CF7CED0" w14:textId="77777777" w:rsidR="00A954B6" w:rsidRPr="00A954B6" w:rsidRDefault="00A954B6" w:rsidP="00684733">
            <w:pPr>
              <w:spacing w:after="0" w:line="240" w:lineRule="auto"/>
            </w:pPr>
            <w:r w:rsidRPr="00A954B6">
              <w:t xml:space="preserve">37.6 </w:t>
            </w:r>
            <w:proofErr w:type="spellStart"/>
            <w:r w:rsidRPr="00A954B6">
              <w:t>ms</w:t>
            </w:r>
            <w:proofErr w:type="spellEnd"/>
          </w:p>
        </w:tc>
      </w:tr>
      <w:tr w:rsidR="00A954B6" w:rsidRPr="00A954B6" w14:paraId="3B112415" w14:textId="77777777">
        <w:tc>
          <w:tcPr>
            <w:tcW w:w="48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71CE8FB" w14:textId="77777777" w:rsidR="00A954B6" w:rsidRPr="00A954B6" w:rsidRDefault="00A954B6" w:rsidP="00684733">
            <w:pPr>
              <w:spacing w:after="0" w:line="240" w:lineRule="auto"/>
            </w:pPr>
            <w:r w:rsidRPr="00A954B6">
              <w:t>Street-name accuracy (%)</w:t>
            </w:r>
          </w:p>
        </w:tc>
        <w:tc>
          <w:tcPr>
            <w:tcW w:w="228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4B229BBB" w14:textId="77777777" w:rsidR="00A954B6" w:rsidRPr="00A954B6" w:rsidRDefault="00A954B6" w:rsidP="00684733">
            <w:pPr>
              <w:spacing w:after="0" w:line="240" w:lineRule="auto"/>
            </w:pPr>
            <w:r w:rsidRPr="00A954B6">
              <w:t>69.80</w:t>
            </w:r>
          </w:p>
        </w:tc>
        <w:tc>
          <w:tcPr>
            <w:tcW w:w="228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09BD37C5" w14:textId="77777777" w:rsidR="00A954B6" w:rsidRPr="00A954B6" w:rsidRDefault="00A954B6" w:rsidP="00684733">
            <w:pPr>
              <w:spacing w:after="0" w:line="240" w:lineRule="auto"/>
            </w:pPr>
            <w:r w:rsidRPr="00A954B6">
              <w:t>74.70</w:t>
            </w:r>
          </w:p>
        </w:tc>
      </w:tr>
      <w:tr w:rsidR="00A954B6" w:rsidRPr="00A954B6" w14:paraId="505D0715" w14:textId="77777777">
        <w:tc>
          <w:tcPr>
            <w:tcW w:w="48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BA21738" w14:textId="77777777" w:rsidR="00A954B6" w:rsidRPr="00A954B6" w:rsidRDefault="00A954B6" w:rsidP="00684733">
            <w:pPr>
              <w:spacing w:after="0" w:line="240" w:lineRule="auto"/>
            </w:pPr>
            <w:r w:rsidRPr="00A954B6">
              <w:t>Median localization error (m)</w:t>
            </w:r>
          </w:p>
        </w:tc>
        <w:tc>
          <w:tcPr>
            <w:tcW w:w="228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34616DCD" w14:textId="77777777" w:rsidR="00A954B6" w:rsidRPr="00A954B6" w:rsidRDefault="00A954B6" w:rsidP="00684733">
            <w:pPr>
              <w:spacing w:after="0" w:line="240" w:lineRule="auto"/>
            </w:pPr>
            <w:r w:rsidRPr="00A954B6">
              <w:t>13.2</w:t>
            </w:r>
          </w:p>
        </w:tc>
        <w:tc>
          <w:tcPr>
            <w:tcW w:w="228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8BE1CA1" w14:textId="77777777" w:rsidR="00A954B6" w:rsidRPr="00A954B6" w:rsidRDefault="00A954B6" w:rsidP="00684733">
            <w:pPr>
              <w:spacing w:after="0" w:line="240" w:lineRule="auto"/>
            </w:pPr>
            <w:r w:rsidRPr="00A954B6">
              <w:t>8.2</w:t>
            </w:r>
          </w:p>
        </w:tc>
      </w:tr>
      <w:tr w:rsidR="00A954B6" w:rsidRPr="00A954B6" w14:paraId="3F4D9468" w14:textId="77777777">
        <w:tc>
          <w:tcPr>
            <w:tcW w:w="48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BE58C1E" w14:textId="77777777" w:rsidR="00A954B6" w:rsidRPr="00A954B6" w:rsidRDefault="00A954B6" w:rsidP="00684733">
            <w:pPr>
              <w:spacing w:after="0" w:line="240" w:lineRule="auto"/>
            </w:pPr>
            <w:r w:rsidRPr="00A954B6">
              <w:t>Mean localization error (m)</w:t>
            </w:r>
          </w:p>
        </w:tc>
        <w:tc>
          <w:tcPr>
            <w:tcW w:w="228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503D2C6B" w14:textId="77777777" w:rsidR="00A954B6" w:rsidRPr="00A954B6" w:rsidRDefault="00A954B6" w:rsidP="00684733">
            <w:pPr>
              <w:spacing w:after="0" w:line="240" w:lineRule="auto"/>
            </w:pPr>
            <w:r w:rsidRPr="00A954B6">
              <w:t>229.6</w:t>
            </w:r>
          </w:p>
        </w:tc>
        <w:tc>
          <w:tcPr>
            <w:tcW w:w="228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55DDF6B0" w14:textId="77777777" w:rsidR="00A954B6" w:rsidRPr="00A954B6" w:rsidRDefault="00A954B6" w:rsidP="00684733">
            <w:pPr>
              <w:spacing w:after="0" w:line="240" w:lineRule="auto"/>
            </w:pPr>
            <w:r w:rsidRPr="00A954B6">
              <w:t>179.6</w:t>
            </w:r>
          </w:p>
        </w:tc>
      </w:tr>
      <w:tr w:rsidR="00A954B6" w:rsidRPr="00A954B6" w14:paraId="60D86D8E" w14:textId="77777777">
        <w:tc>
          <w:tcPr>
            <w:tcW w:w="48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E4324C9" w14:textId="77777777" w:rsidR="00A954B6" w:rsidRPr="00A954B6" w:rsidRDefault="00A954B6" w:rsidP="00684733">
            <w:pPr>
              <w:spacing w:after="0" w:line="240" w:lineRule="auto"/>
            </w:pPr>
            <w:r w:rsidRPr="00A954B6">
              <w:t>R@1 &lt;25 m (%)</w:t>
            </w:r>
          </w:p>
        </w:tc>
        <w:tc>
          <w:tcPr>
            <w:tcW w:w="228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0E7060B" w14:textId="77777777" w:rsidR="00A954B6" w:rsidRPr="00A954B6" w:rsidRDefault="00A954B6" w:rsidP="00684733">
            <w:pPr>
              <w:spacing w:after="0" w:line="240" w:lineRule="auto"/>
            </w:pPr>
            <w:r w:rsidRPr="00A954B6">
              <w:t>56.83</w:t>
            </w:r>
          </w:p>
        </w:tc>
        <w:tc>
          <w:tcPr>
            <w:tcW w:w="228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09DF915E" w14:textId="77777777" w:rsidR="00A954B6" w:rsidRPr="00A954B6" w:rsidRDefault="00A954B6" w:rsidP="00684733">
            <w:pPr>
              <w:spacing w:after="0" w:line="240" w:lineRule="auto"/>
            </w:pPr>
            <w:r w:rsidRPr="00A954B6">
              <w:t>61.68</w:t>
            </w:r>
          </w:p>
        </w:tc>
      </w:tr>
      <w:tr w:rsidR="00A954B6" w:rsidRPr="00A954B6" w14:paraId="4AC1BBAD" w14:textId="77777777">
        <w:tc>
          <w:tcPr>
            <w:tcW w:w="48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69EFD971" w14:textId="77777777" w:rsidR="00A954B6" w:rsidRPr="00A954B6" w:rsidRDefault="00A954B6" w:rsidP="00684733">
            <w:pPr>
              <w:spacing w:after="0" w:line="240" w:lineRule="auto"/>
            </w:pPr>
            <w:r w:rsidRPr="00A954B6">
              <w:lastRenderedPageBreak/>
              <w:t>R@1 &lt;50 m (%)</w:t>
            </w:r>
          </w:p>
        </w:tc>
        <w:tc>
          <w:tcPr>
            <w:tcW w:w="228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3175C3BB" w14:textId="77777777" w:rsidR="00A954B6" w:rsidRPr="00A954B6" w:rsidRDefault="00A954B6" w:rsidP="00684733">
            <w:pPr>
              <w:spacing w:after="0" w:line="240" w:lineRule="auto"/>
            </w:pPr>
            <w:r w:rsidRPr="00A954B6">
              <w:t>67.77</w:t>
            </w:r>
          </w:p>
        </w:tc>
        <w:tc>
          <w:tcPr>
            <w:tcW w:w="228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0DE2A432" w14:textId="77777777" w:rsidR="00A954B6" w:rsidRPr="00A954B6" w:rsidRDefault="00A954B6" w:rsidP="00684733">
            <w:pPr>
              <w:spacing w:after="0" w:line="240" w:lineRule="auto"/>
            </w:pPr>
            <w:r w:rsidRPr="00A954B6">
              <w:t>71.78</w:t>
            </w:r>
          </w:p>
        </w:tc>
      </w:tr>
      <w:tr w:rsidR="00A954B6" w:rsidRPr="00A954B6" w14:paraId="13FBC197" w14:textId="77777777">
        <w:tc>
          <w:tcPr>
            <w:tcW w:w="48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0549A774" w14:textId="77777777" w:rsidR="00A954B6" w:rsidRPr="00A954B6" w:rsidRDefault="00A954B6" w:rsidP="00684733">
            <w:pPr>
              <w:spacing w:after="0" w:line="240" w:lineRule="auto"/>
            </w:pPr>
            <w:r w:rsidRPr="00A954B6">
              <w:t>R@1 &lt;100 m (%)</w:t>
            </w:r>
          </w:p>
        </w:tc>
        <w:tc>
          <w:tcPr>
            <w:tcW w:w="228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75A9CB2E" w14:textId="77777777" w:rsidR="00A954B6" w:rsidRPr="00A954B6" w:rsidRDefault="00A954B6" w:rsidP="00684733">
            <w:pPr>
              <w:spacing w:after="0" w:line="240" w:lineRule="auto"/>
            </w:pPr>
            <w:r w:rsidRPr="00A954B6">
              <w:t>76.73</w:t>
            </w:r>
          </w:p>
        </w:tc>
        <w:tc>
          <w:tcPr>
            <w:tcW w:w="228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0DE48CD7" w14:textId="77777777" w:rsidR="00A954B6" w:rsidRPr="00A954B6" w:rsidRDefault="00A954B6" w:rsidP="00684733">
            <w:pPr>
              <w:spacing w:after="0" w:line="240" w:lineRule="auto"/>
            </w:pPr>
            <w:r w:rsidRPr="00A954B6">
              <w:t>81.24</w:t>
            </w:r>
          </w:p>
        </w:tc>
      </w:tr>
      <w:tr w:rsidR="00A954B6" w:rsidRPr="00A954B6" w14:paraId="610BE4D2" w14:textId="77777777">
        <w:tc>
          <w:tcPr>
            <w:tcW w:w="48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3C3E7B26" w14:textId="77777777" w:rsidR="00A954B6" w:rsidRPr="00A954B6" w:rsidRDefault="00A954B6" w:rsidP="00684733">
            <w:pPr>
              <w:spacing w:after="0" w:line="240" w:lineRule="auto"/>
            </w:pPr>
            <w:r w:rsidRPr="00A954B6">
              <w:t>R@1 &lt;500 m (%)</w:t>
            </w:r>
          </w:p>
        </w:tc>
        <w:tc>
          <w:tcPr>
            <w:tcW w:w="228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44072A9C" w14:textId="77777777" w:rsidR="00A954B6" w:rsidRPr="00A954B6" w:rsidRDefault="00A954B6" w:rsidP="00684733">
            <w:pPr>
              <w:spacing w:after="0" w:line="240" w:lineRule="auto"/>
            </w:pPr>
            <w:r w:rsidRPr="00A954B6">
              <w:t>88.76</w:t>
            </w:r>
          </w:p>
        </w:tc>
        <w:tc>
          <w:tcPr>
            <w:tcW w:w="228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61FA794A" w14:textId="77777777" w:rsidR="00A954B6" w:rsidRPr="00A954B6" w:rsidRDefault="00A954B6" w:rsidP="00684733">
            <w:pPr>
              <w:spacing w:after="0" w:line="240" w:lineRule="auto"/>
            </w:pPr>
            <w:r w:rsidRPr="00A954B6">
              <w:t>91.39</w:t>
            </w:r>
          </w:p>
        </w:tc>
      </w:tr>
    </w:tbl>
    <w:p w14:paraId="20563D6F" w14:textId="77777777" w:rsidR="00A954B6" w:rsidRDefault="00A954B6" w:rsidP="00A954B6"/>
    <w:p w14:paraId="112B2E86" w14:textId="4B70323A" w:rsidR="00FB1C89" w:rsidRPr="00A954B6" w:rsidRDefault="00FB1C89" w:rsidP="00A954B6">
      <w:r>
        <w:rPr>
          <w:noProof/>
        </w:rPr>
        <w:drawing>
          <wp:inline distT="0" distB="0" distL="0" distR="0" wp14:anchorId="327610BF" wp14:editId="40A5C212">
            <wp:extent cx="5755640" cy="1570990"/>
            <wp:effectExtent l="0" t="0" r="0" b="0"/>
            <wp:docPr id="548836108"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5640" cy="1570990"/>
                    </a:xfrm>
                    <a:prstGeom prst="rect">
                      <a:avLst/>
                    </a:prstGeom>
                    <a:noFill/>
                    <a:ln>
                      <a:noFill/>
                    </a:ln>
                  </pic:spPr>
                </pic:pic>
              </a:graphicData>
            </a:graphic>
          </wp:inline>
        </w:drawing>
      </w:r>
    </w:p>
    <w:p w14:paraId="62C87DC7" w14:textId="77777777" w:rsidR="00A954B6" w:rsidRPr="00A954B6" w:rsidRDefault="00A954B6" w:rsidP="00A954B6">
      <w:r w:rsidRPr="00A954B6">
        <w:rPr>
          <w:i/>
          <w:iCs/>
        </w:rPr>
        <w:t xml:space="preserve">Figure 6. DINOv2 variant comparison. Left: CDF of </w:t>
      </w:r>
      <w:proofErr w:type="gramStart"/>
      <w:r w:rsidRPr="00A954B6">
        <w:rPr>
          <w:i/>
          <w:iCs/>
        </w:rPr>
        <w:t>Top-1</w:t>
      </w:r>
      <w:proofErr w:type="gramEnd"/>
      <w:r w:rsidRPr="00A954B6">
        <w:rPr>
          <w:i/>
          <w:iCs/>
        </w:rPr>
        <w:t xml:space="preserve"> localization errors. Center: per-metric bar comparison. Right: size–performance scatter, in which the </w:t>
      </w:r>
      <w:proofErr w:type="spellStart"/>
      <w:r w:rsidRPr="00A954B6">
        <w:rPr>
          <w:i/>
          <w:iCs/>
        </w:rPr>
        <w:t>ViT</w:t>
      </w:r>
      <w:proofErr w:type="spellEnd"/>
      <w:r w:rsidRPr="00A954B6">
        <w:rPr>
          <w:i/>
          <w:iCs/>
        </w:rPr>
        <w:t xml:space="preserve">-S/14 model preserves 94.5% of the </w:t>
      </w:r>
      <w:proofErr w:type="spellStart"/>
      <w:r w:rsidRPr="00A954B6">
        <w:rPr>
          <w:i/>
          <w:iCs/>
        </w:rPr>
        <w:t>ViT</w:t>
      </w:r>
      <w:proofErr w:type="spellEnd"/>
      <w:r w:rsidRPr="00A954B6">
        <w:rPr>
          <w:i/>
          <w:iCs/>
        </w:rPr>
        <w:t>-B/14 performance (R@1 &lt;100 m) while using 25.6% of the parameters.</w:t>
      </w:r>
    </w:p>
    <w:p w14:paraId="408E314E" w14:textId="77777777" w:rsidR="00A954B6" w:rsidRPr="00A954B6" w:rsidRDefault="00A954B6" w:rsidP="00A954B6">
      <w:pPr>
        <w:rPr>
          <w:b/>
          <w:bCs/>
        </w:rPr>
      </w:pPr>
      <w:r w:rsidRPr="00A954B6">
        <w:rPr>
          <w:b/>
          <w:bCs/>
        </w:rPr>
        <w:t>4.5. Confidence-Based Rejection</w:t>
      </w:r>
    </w:p>
    <w:p w14:paraId="2A065A66" w14:textId="77777777" w:rsidR="00A954B6" w:rsidRPr="00A954B6" w:rsidRDefault="00A954B6" w:rsidP="00A954B6">
      <w:r w:rsidRPr="00A954B6">
        <w:t xml:space="preserve">The confidence-based rejection analysis sweeps the DINOv2 </w:t>
      </w:r>
      <w:proofErr w:type="gramStart"/>
      <w:r w:rsidRPr="00A954B6">
        <w:t>Top-1</w:t>
      </w:r>
      <w:proofErr w:type="gramEnd"/>
      <w:r w:rsidRPr="00A954B6">
        <w:t xml:space="preserve"> cosine similarity threshold θ across the interval [0.60, 0.95]. The observed score distribution for the 2,020 queries is tightly concentrated in [0.65, 0.95] (Figure 7, right), with no query scoring below 0.66. As a result, thresholds θ ≤ 0.60 retain 100% coverage and yield the baseline metrics of the main model (74.70% street accuracy, 8.2 m median error, 81.24% R@1 &lt;100 m). Increasing θ beyond 0.70 progressively reduces coverage; however, the corresponding gain in accuracy among accepted queries is negligible. The accuracy–coverage trade-off curve (Figure 7, left) is essentially flat across the entire coverage range between approximately 20% and 100%, with R@1 &lt;100 m remaining within a 3–5 percentage-point band. The median error curve (Figure 7, middle) likewise remains near the baseline value of 8 m up to θ ≈ 0.93 and only rises when fewer than </w:t>
      </w:r>
      <w:r w:rsidRPr="00A954B6">
        <w:rPr>
          <w:rFonts w:ascii="Cambria Math" w:hAnsi="Cambria Math" w:cs="Cambria Math"/>
        </w:rPr>
        <w:t>∼</w:t>
      </w:r>
      <w:r w:rsidRPr="00A954B6">
        <w:t xml:space="preserve">10% of queries are accepted. Quantitatively, the automatically selected operating point </w:t>
      </w:r>
      <w:r w:rsidRPr="00A954B6">
        <w:rPr>
          <w:rFonts w:ascii="Aptos" w:hAnsi="Aptos" w:cs="Aptos"/>
        </w:rPr>
        <w:t>—</w:t>
      </w:r>
      <w:r w:rsidRPr="00A954B6">
        <w:t xml:space="preserve"> chosen by maximizing the harmonic mean of coverage and R@1 &lt;100 m — coincides with θ = 0.60 at full coverage, indicating that no confidence threshold improves upon accepting all queries.</w:t>
      </w:r>
    </w:p>
    <w:p w14:paraId="50C6C575" w14:textId="77777777" w:rsidR="00A954B6" w:rsidRDefault="00A954B6" w:rsidP="00A954B6">
      <w:r w:rsidRPr="00A954B6">
        <w:t>This result suggests that the cosine similarity between the query descriptor and its nearest database neighbor is not a well-calibrated confidence signal for the fine-tuned DINOv2 model on this dataset. The distribution of scores is narrow and largely overlaps between correct and incorrect predictions (see the score-distribution analysis in Section 4.7), which limits the usefulness of score-based rejection. Calibration-aware confidence estimation is therefore identified as a direction for future work.</w:t>
      </w:r>
    </w:p>
    <w:p w14:paraId="1D796C90" w14:textId="04A8C5A0" w:rsidR="00FB1C89" w:rsidRDefault="00FB1C89" w:rsidP="00A954B6">
      <w:r>
        <w:rPr>
          <w:noProof/>
        </w:rPr>
        <w:lastRenderedPageBreak/>
        <w:drawing>
          <wp:inline distT="0" distB="0" distL="0" distR="0" wp14:anchorId="43EC3634" wp14:editId="1230E8ED">
            <wp:extent cx="5749925" cy="1559560"/>
            <wp:effectExtent l="0" t="0" r="3175" b="2540"/>
            <wp:docPr id="92855464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9925" cy="1559560"/>
                    </a:xfrm>
                    <a:prstGeom prst="rect">
                      <a:avLst/>
                    </a:prstGeom>
                    <a:noFill/>
                    <a:ln>
                      <a:noFill/>
                    </a:ln>
                  </pic:spPr>
                </pic:pic>
              </a:graphicData>
            </a:graphic>
          </wp:inline>
        </w:drawing>
      </w:r>
    </w:p>
    <w:p w14:paraId="20509033" w14:textId="77777777" w:rsidR="00A954B6" w:rsidRPr="00A954B6" w:rsidRDefault="00A954B6" w:rsidP="00A954B6">
      <w:r w:rsidRPr="00A954B6">
        <w:rPr>
          <w:i/>
          <w:iCs/>
        </w:rPr>
        <w:t xml:space="preserve">Figure 7. Confidence-based rejection analysis. Left: accuracy–coverage trade-off showing that recall is essentially flat across a wide range of coverage values. Middle: median and mean localization errors remain close to the baseline up to θ ≈ 0.93. Right: the DINOv2 </w:t>
      </w:r>
      <w:proofErr w:type="gramStart"/>
      <w:r w:rsidRPr="00A954B6">
        <w:rPr>
          <w:i/>
          <w:iCs/>
        </w:rPr>
        <w:t>Top-1</w:t>
      </w:r>
      <w:proofErr w:type="gramEnd"/>
      <w:r w:rsidRPr="00A954B6">
        <w:rPr>
          <w:i/>
          <w:iCs/>
        </w:rPr>
        <w:t xml:space="preserve"> score distribution is concentrated in [0.65, 0.95], leaving very few queries available for rejection at low thresholds.</w:t>
      </w:r>
    </w:p>
    <w:p w14:paraId="4DB8C261" w14:textId="77777777" w:rsidR="00A954B6" w:rsidRPr="00A954B6" w:rsidRDefault="00A954B6" w:rsidP="00A954B6">
      <w:pPr>
        <w:rPr>
          <w:b/>
          <w:bCs/>
        </w:rPr>
      </w:pPr>
      <w:r w:rsidRPr="00A954B6">
        <w:rPr>
          <w:b/>
          <w:bCs/>
        </w:rPr>
        <w:t>4.6. Computational Cost</w:t>
      </w:r>
    </w:p>
    <w:p w14:paraId="4405D283" w14:textId="77777777" w:rsidR="00A954B6" w:rsidRPr="00A954B6" w:rsidRDefault="00A954B6" w:rsidP="00A954B6">
      <w:r w:rsidRPr="00A954B6">
        <w:t xml:space="preserve">All runtime measurements were obtained on a single NVIDIA L4 GPU (23.7 GB VRAM) within the Google </w:t>
      </w:r>
      <w:proofErr w:type="spellStart"/>
      <w:r w:rsidRPr="00A954B6">
        <w:t>Colab</w:t>
      </w:r>
      <w:proofErr w:type="spellEnd"/>
      <w:r w:rsidRPr="00A954B6">
        <w:t xml:space="preserve"> environment. Table 6 summarizes the per-stage computational costs. For a single query, Stage 1 (DINOv2 embedding followed by FAISS </w:t>
      </w:r>
      <w:proofErr w:type="gramStart"/>
      <w:r w:rsidRPr="00A954B6">
        <w:t>Top-K</w:t>
      </w:r>
      <w:proofErr w:type="gramEnd"/>
      <w:r w:rsidRPr="00A954B6">
        <w:t xml:space="preserve"> search over 6,060 database vectors) takes approximately 36 </w:t>
      </w:r>
      <w:proofErr w:type="spellStart"/>
      <w:r w:rsidRPr="00A954B6">
        <w:t>ms</w:t>
      </w:r>
      <w:proofErr w:type="spellEnd"/>
      <w:r w:rsidRPr="00A954B6">
        <w:t xml:space="preserve"> with </w:t>
      </w:r>
      <w:proofErr w:type="spellStart"/>
      <w:r w:rsidRPr="00A954B6">
        <w:t>ViT</w:t>
      </w:r>
      <w:proofErr w:type="spellEnd"/>
      <w:r w:rsidRPr="00A954B6">
        <w:t xml:space="preserve">-B/14 and about 13 </w:t>
      </w:r>
      <w:proofErr w:type="spellStart"/>
      <w:r w:rsidRPr="00A954B6">
        <w:t>ms</w:t>
      </w:r>
      <w:proofErr w:type="spellEnd"/>
      <w:r w:rsidRPr="00A954B6">
        <w:t xml:space="preserve"> with </w:t>
      </w:r>
      <w:proofErr w:type="spellStart"/>
      <w:r w:rsidRPr="00A954B6">
        <w:t>ViT</w:t>
      </w:r>
      <w:proofErr w:type="spellEnd"/>
      <w:r w:rsidRPr="00A954B6">
        <w:t xml:space="preserve">-S/14. The FAISS search component itself contributes negligibly (0.064 </w:t>
      </w:r>
      <w:proofErr w:type="spellStart"/>
      <w:r w:rsidRPr="00A954B6">
        <w:t>ms</w:t>
      </w:r>
      <w:proofErr w:type="spellEnd"/>
      <w:r w:rsidRPr="00A954B6">
        <w:t xml:space="preserve"> per query), so the overall Stage-1 latency is dominated by the DINOv2 forward pass.</w:t>
      </w:r>
    </w:p>
    <w:p w14:paraId="2E69CC2C" w14:textId="77777777" w:rsidR="00A954B6" w:rsidRPr="00A954B6" w:rsidRDefault="00A954B6" w:rsidP="00A954B6">
      <w:r w:rsidRPr="00A954B6">
        <w:t xml:space="preserve">In contrast, a full Stage-2 pass — </w:t>
      </w:r>
      <w:proofErr w:type="spellStart"/>
      <w:r w:rsidRPr="00A954B6">
        <w:t>LightGlue</w:t>
      </w:r>
      <w:proofErr w:type="spellEnd"/>
      <w:r w:rsidRPr="00A954B6">
        <w:t xml:space="preserve"> re-ranking over 20 candidates — requires 0.38 s on average per query, roughly an order of magnitude more than Stage 1. Database preparation (embedding extraction for 6,060 images) takes approximately 4 min 24 s with </w:t>
      </w:r>
      <w:proofErr w:type="spellStart"/>
      <w:r w:rsidRPr="00A954B6">
        <w:t>ViT</w:t>
      </w:r>
      <w:proofErr w:type="spellEnd"/>
      <w:r w:rsidRPr="00A954B6">
        <w:t>-B/14 and is a one-time offline cost. Considering that Stage-2 re-ranking did not improve recall on this dataset (Sections 4.2–4.3), these measurements provide a useful quantitative argument for preferring a Stage-1-only deployment.</w:t>
      </w:r>
    </w:p>
    <w:p w14:paraId="2BCA92FF" w14:textId="77777777" w:rsidR="00A954B6" w:rsidRPr="00A954B6" w:rsidRDefault="00A954B6" w:rsidP="00A954B6">
      <w:r w:rsidRPr="00A954B6">
        <w:rPr>
          <w:i/>
          <w:iCs/>
        </w:rPr>
        <w:t>Table 6. Per-stage computational cost on an NVIDIA L4 GPU.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A954B6" w:rsidRPr="00A954B6" w14:paraId="1C6976B7" w14:textId="77777777">
        <w:tc>
          <w:tcPr>
            <w:tcW w:w="60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80" w:type="dxa"/>
              <w:bottom w:w="70" w:type="dxa"/>
              <w:right w:w="80" w:type="dxa"/>
            </w:tcMar>
            <w:vAlign w:val="center"/>
            <w:hideMark/>
          </w:tcPr>
          <w:p w14:paraId="15760067" w14:textId="77777777" w:rsidR="00A954B6" w:rsidRPr="00A954B6" w:rsidRDefault="00A954B6" w:rsidP="00FB1C89">
            <w:pPr>
              <w:spacing w:after="0" w:line="240" w:lineRule="auto"/>
            </w:pPr>
            <w:r w:rsidRPr="00A954B6">
              <w:rPr>
                <w:b/>
                <w:bCs/>
              </w:rPr>
              <w:t>Stage / Operation</w:t>
            </w:r>
          </w:p>
        </w:tc>
        <w:tc>
          <w:tcPr>
            <w:tcW w:w="3360" w:type="dxa"/>
            <w:tcBorders>
              <w:top w:val="single" w:sz="4" w:space="0" w:color="999999"/>
              <w:left w:val="single" w:sz="4" w:space="0" w:color="999999"/>
              <w:bottom w:val="single" w:sz="4" w:space="0" w:color="999999"/>
              <w:right w:val="single" w:sz="4" w:space="0" w:color="999999"/>
            </w:tcBorders>
            <w:shd w:val="clear" w:color="auto" w:fill="D9E2F3"/>
            <w:tcMar>
              <w:top w:w="70" w:type="dxa"/>
              <w:left w:w="80" w:type="dxa"/>
              <w:bottom w:w="70" w:type="dxa"/>
              <w:right w:w="80" w:type="dxa"/>
            </w:tcMar>
            <w:vAlign w:val="center"/>
            <w:hideMark/>
          </w:tcPr>
          <w:p w14:paraId="6AFA38FF" w14:textId="77777777" w:rsidR="00A954B6" w:rsidRPr="00A954B6" w:rsidRDefault="00A954B6" w:rsidP="00FB1C89">
            <w:pPr>
              <w:spacing w:after="0" w:line="240" w:lineRule="auto"/>
            </w:pPr>
            <w:r w:rsidRPr="00A954B6">
              <w:rPr>
                <w:b/>
                <w:bCs/>
              </w:rPr>
              <w:t>Time</w:t>
            </w:r>
          </w:p>
        </w:tc>
      </w:tr>
      <w:tr w:rsidR="00A954B6" w:rsidRPr="00A954B6" w14:paraId="73538665" w14:textId="77777777">
        <w:tc>
          <w:tcPr>
            <w:tcW w:w="60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4FC0980" w14:textId="77777777" w:rsidR="00A954B6" w:rsidRPr="00A954B6" w:rsidRDefault="00A954B6" w:rsidP="00FB1C89">
            <w:pPr>
              <w:spacing w:after="0" w:line="240" w:lineRule="auto"/>
            </w:pPr>
            <w:r w:rsidRPr="00A954B6">
              <w:t xml:space="preserve">Stage 1 — DINOv2 embedding (single image, </w:t>
            </w:r>
            <w:proofErr w:type="spellStart"/>
            <w:r w:rsidRPr="00A954B6">
              <w:t>ViT</w:t>
            </w:r>
            <w:proofErr w:type="spellEnd"/>
            <w:r w:rsidRPr="00A954B6">
              <w:t>-B/14)</w:t>
            </w:r>
          </w:p>
        </w:tc>
        <w:tc>
          <w:tcPr>
            <w:tcW w:w="336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24051DC3" w14:textId="77777777" w:rsidR="00A954B6" w:rsidRPr="00A954B6" w:rsidRDefault="00A954B6" w:rsidP="00FB1C89">
            <w:pPr>
              <w:spacing w:after="0" w:line="240" w:lineRule="auto"/>
            </w:pPr>
            <w:r w:rsidRPr="00A954B6">
              <w:t xml:space="preserve">35.9 </w:t>
            </w:r>
            <w:proofErr w:type="spellStart"/>
            <w:r w:rsidRPr="00A954B6">
              <w:t>ms</w:t>
            </w:r>
            <w:proofErr w:type="spellEnd"/>
            <w:r w:rsidRPr="00A954B6">
              <w:t xml:space="preserve"> (median)</w:t>
            </w:r>
          </w:p>
        </w:tc>
      </w:tr>
      <w:tr w:rsidR="00A954B6" w:rsidRPr="00A954B6" w14:paraId="3835FC28" w14:textId="77777777">
        <w:tc>
          <w:tcPr>
            <w:tcW w:w="60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6657D89C" w14:textId="77777777" w:rsidR="00A954B6" w:rsidRPr="00A954B6" w:rsidRDefault="00A954B6" w:rsidP="00FB1C89">
            <w:pPr>
              <w:spacing w:after="0" w:line="240" w:lineRule="auto"/>
            </w:pPr>
            <w:r w:rsidRPr="00A954B6">
              <w:t xml:space="preserve">Stage 1 — DINOv2 embedding (single image, </w:t>
            </w:r>
            <w:proofErr w:type="spellStart"/>
            <w:r w:rsidRPr="00A954B6">
              <w:t>ViT</w:t>
            </w:r>
            <w:proofErr w:type="spellEnd"/>
            <w:r w:rsidRPr="00A954B6">
              <w:t>-S/14)</w:t>
            </w:r>
          </w:p>
        </w:tc>
        <w:tc>
          <w:tcPr>
            <w:tcW w:w="336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531DC5B1" w14:textId="77777777" w:rsidR="00A954B6" w:rsidRPr="00A954B6" w:rsidRDefault="00A954B6" w:rsidP="00FB1C89">
            <w:pPr>
              <w:spacing w:after="0" w:line="240" w:lineRule="auto"/>
            </w:pPr>
            <w:r w:rsidRPr="00A954B6">
              <w:t xml:space="preserve">12.9 </w:t>
            </w:r>
            <w:proofErr w:type="spellStart"/>
            <w:r w:rsidRPr="00A954B6">
              <w:t>ms</w:t>
            </w:r>
            <w:proofErr w:type="spellEnd"/>
            <w:r w:rsidRPr="00A954B6">
              <w:t xml:space="preserve"> (median)</w:t>
            </w:r>
          </w:p>
        </w:tc>
      </w:tr>
      <w:tr w:rsidR="00A954B6" w:rsidRPr="00A954B6" w14:paraId="691D1F1C" w14:textId="77777777">
        <w:tc>
          <w:tcPr>
            <w:tcW w:w="60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0A1750BE" w14:textId="77777777" w:rsidR="00A954B6" w:rsidRPr="00A954B6" w:rsidRDefault="00A954B6" w:rsidP="00FB1C89">
            <w:pPr>
              <w:spacing w:after="0" w:line="240" w:lineRule="auto"/>
            </w:pPr>
            <w:r w:rsidRPr="00A954B6">
              <w:t xml:space="preserve">Stage 1 — DB embedding extraction (6,060 images, </w:t>
            </w:r>
            <w:proofErr w:type="spellStart"/>
            <w:r w:rsidRPr="00A954B6">
              <w:t>ViT</w:t>
            </w:r>
            <w:proofErr w:type="spellEnd"/>
            <w:r w:rsidRPr="00A954B6">
              <w:t>-B/14)</w:t>
            </w:r>
          </w:p>
        </w:tc>
        <w:tc>
          <w:tcPr>
            <w:tcW w:w="336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3B814411" w14:textId="77777777" w:rsidR="00A954B6" w:rsidRPr="00A954B6" w:rsidRDefault="00A954B6" w:rsidP="00FB1C89">
            <w:pPr>
              <w:spacing w:after="0" w:line="240" w:lineRule="auto"/>
            </w:pPr>
            <w:r w:rsidRPr="00A954B6">
              <w:t>263.6 s</w:t>
            </w:r>
          </w:p>
        </w:tc>
      </w:tr>
      <w:tr w:rsidR="00A954B6" w:rsidRPr="00A954B6" w14:paraId="21A32B78" w14:textId="77777777">
        <w:tc>
          <w:tcPr>
            <w:tcW w:w="60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D3F5455" w14:textId="77777777" w:rsidR="00A954B6" w:rsidRPr="00A954B6" w:rsidRDefault="00A954B6" w:rsidP="00FB1C89">
            <w:pPr>
              <w:spacing w:after="0" w:line="240" w:lineRule="auto"/>
            </w:pPr>
            <w:r w:rsidRPr="00A954B6">
              <w:t xml:space="preserve">Stage 1 — FAISS search (single query, </w:t>
            </w:r>
            <w:proofErr w:type="gramStart"/>
            <w:r w:rsidRPr="00A954B6">
              <w:t>Top-10</w:t>
            </w:r>
            <w:proofErr w:type="gramEnd"/>
            <w:r w:rsidRPr="00A954B6">
              <w:t>)</w:t>
            </w:r>
          </w:p>
        </w:tc>
        <w:tc>
          <w:tcPr>
            <w:tcW w:w="336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21930E95" w14:textId="77777777" w:rsidR="00A954B6" w:rsidRPr="00A954B6" w:rsidRDefault="00A954B6" w:rsidP="00FB1C89">
            <w:pPr>
              <w:spacing w:after="0" w:line="240" w:lineRule="auto"/>
            </w:pPr>
            <w:r w:rsidRPr="00A954B6">
              <w:t xml:space="preserve">0.064 </w:t>
            </w:r>
            <w:proofErr w:type="spellStart"/>
            <w:r w:rsidRPr="00A954B6">
              <w:t>ms</w:t>
            </w:r>
            <w:proofErr w:type="spellEnd"/>
          </w:p>
        </w:tc>
      </w:tr>
      <w:tr w:rsidR="00A954B6" w:rsidRPr="00A954B6" w14:paraId="7A64DD23" w14:textId="77777777">
        <w:tc>
          <w:tcPr>
            <w:tcW w:w="60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0BC75D0F" w14:textId="77777777" w:rsidR="00A954B6" w:rsidRPr="00A954B6" w:rsidRDefault="00A954B6" w:rsidP="00FB1C89">
            <w:pPr>
              <w:spacing w:after="0" w:line="240" w:lineRule="auto"/>
            </w:pPr>
            <w:r w:rsidRPr="00A954B6">
              <w:t>Stage 1 — Total pipeline (single query)</w:t>
            </w:r>
          </w:p>
        </w:tc>
        <w:tc>
          <w:tcPr>
            <w:tcW w:w="336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7A49C058" w14:textId="77777777" w:rsidR="00A954B6" w:rsidRPr="00A954B6" w:rsidRDefault="00A954B6" w:rsidP="00FB1C89">
            <w:pPr>
              <w:spacing w:after="0" w:line="240" w:lineRule="auto"/>
            </w:pPr>
            <w:r w:rsidRPr="00A954B6">
              <w:t xml:space="preserve">≈ 36 </w:t>
            </w:r>
            <w:proofErr w:type="spellStart"/>
            <w:r w:rsidRPr="00A954B6">
              <w:t>ms</w:t>
            </w:r>
            <w:proofErr w:type="spellEnd"/>
          </w:p>
        </w:tc>
      </w:tr>
      <w:tr w:rsidR="00A954B6" w:rsidRPr="00A954B6" w14:paraId="429E02B8" w14:textId="77777777">
        <w:tc>
          <w:tcPr>
            <w:tcW w:w="600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0A847A95" w14:textId="77777777" w:rsidR="00A954B6" w:rsidRPr="00A954B6" w:rsidRDefault="00A954B6" w:rsidP="00FB1C89">
            <w:pPr>
              <w:spacing w:after="0" w:line="240" w:lineRule="auto"/>
            </w:pPr>
            <w:r w:rsidRPr="00A954B6">
              <w:t xml:space="preserve">Stage 2 — </w:t>
            </w:r>
            <w:proofErr w:type="spellStart"/>
            <w:r w:rsidRPr="00A954B6">
              <w:t>LightGlue</w:t>
            </w:r>
            <w:proofErr w:type="spellEnd"/>
            <w:r w:rsidRPr="00A954B6">
              <w:t xml:space="preserve"> re-ranking (20 candidates, single query)</w:t>
            </w:r>
          </w:p>
        </w:tc>
        <w:tc>
          <w:tcPr>
            <w:tcW w:w="3360" w:type="dxa"/>
            <w:tcBorders>
              <w:top w:val="single" w:sz="4" w:space="0" w:color="999999"/>
              <w:left w:val="single" w:sz="4" w:space="0" w:color="999999"/>
              <w:bottom w:val="single" w:sz="4" w:space="0" w:color="999999"/>
              <w:right w:val="single" w:sz="4" w:space="0" w:color="999999"/>
            </w:tcBorders>
            <w:tcMar>
              <w:top w:w="70" w:type="dxa"/>
              <w:left w:w="80" w:type="dxa"/>
              <w:bottom w:w="70" w:type="dxa"/>
              <w:right w:w="80" w:type="dxa"/>
            </w:tcMar>
            <w:vAlign w:val="center"/>
            <w:hideMark/>
          </w:tcPr>
          <w:p w14:paraId="175F6B24" w14:textId="77777777" w:rsidR="00A954B6" w:rsidRPr="00A954B6" w:rsidRDefault="00A954B6" w:rsidP="00FB1C89">
            <w:pPr>
              <w:spacing w:after="0" w:line="240" w:lineRule="auto"/>
            </w:pPr>
            <w:r w:rsidRPr="00A954B6">
              <w:t>0.38 s (avg.)</w:t>
            </w:r>
          </w:p>
        </w:tc>
      </w:tr>
    </w:tbl>
    <w:p w14:paraId="42DB20FD" w14:textId="77777777" w:rsidR="00A954B6" w:rsidRPr="00A954B6" w:rsidRDefault="00A954B6" w:rsidP="00A954B6"/>
    <w:p w14:paraId="6B8D6313" w14:textId="77777777" w:rsidR="00A954B6" w:rsidRPr="00A954B6" w:rsidRDefault="00A954B6" w:rsidP="00A954B6">
      <w:pPr>
        <w:rPr>
          <w:b/>
          <w:bCs/>
        </w:rPr>
      </w:pPr>
      <w:r w:rsidRPr="00A954B6">
        <w:rPr>
          <w:b/>
          <w:bCs/>
        </w:rPr>
        <w:lastRenderedPageBreak/>
        <w:t>4.7. Error and Perceptual Aliasing Analysis</w:t>
      </w:r>
    </w:p>
    <w:p w14:paraId="2A1EAF96" w14:textId="77777777" w:rsidR="00A954B6" w:rsidRPr="00A954B6" w:rsidRDefault="00A954B6" w:rsidP="00A954B6">
      <w:pPr>
        <w:rPr>
          <w:b/>
          <w:bCs/>
          <w:i/>
          <w:iCs/>
        </w:rPr>
      </w:pPr>
      <w:r w:rsidRPr="00A954B6">
        <w:rPr>
          <w:b/>
          <w:bCs/>
          <w:i/>
          <w:iCs/>
        </w:rPr>
        <w:t>4.7.1. Error Distribution</w:t>
      </w:r>
    </w:p>
    <w:p w14:paraId="7642E5AE" w14:textId="77777777" w:rsidR="00A954B6" w:rsidRDefault="00A954B6" w:rsidP="00A954B6">
      <w:r w:rsidRPr="00A954B6">
        <w:t xml:space="preserve">The distribution of Top-1 localization errors for the main model is highly skewed: of the 2,020 queries, 1,207 (59.8%) have errors below 25 m, an additional 204 (10.1%) fall between 25 and 50 m, 191 (9.5%) between 50 and 100 m, 134 (6.6%) between 100 and 250 m, 71 (3.5%) between 250 and 500 m, and 174 (8.6%) exceed 500 m. The median error (8.2 m) therefore lies well below the mean (179.6 m), indicating a small but heavy-tailed subset of queries that are mislocalized by hundreds of meters. Among the 2,020 queries, 1,509 (74.7%) </w:t>
      </w:r>
      <w:proofErr w:type="gramStart"/>
      <w:r w:rsidRPr="00A954B6">
        <w:t>receive</w:t>
      </w:r>
      <w:proofErr w:type="gramEnd"/>
      <w:r w:rsidRPr="00A954B6">
        <w:t xml:space="preserve"> the correct street label as the </w:t>
      </w:r>
      <w:proofErr w:type="gramStart"/>
      <w:r w:rsidRPr="00A954B6">
        <w:t>Top-1</w:t>
      </w:r>
      <w:proofErr w:type="gramEnd"/>
      <w:r w:rsidRPr="00A954B6">
        <w:t xml:space="preserve"> result and 511 (25.3%) </w:t>
      </w:r>
      <w:proofErr w:type="gramStart"/>
      <w:r w:rsidRPr="00A954B6">
        <w:t>do</w:t>
      </w:r>
      <w:proofErr w:type="gramEnd"/>
      <w:r w:rsidRPr="00A954B6">
        <w:t xml:space="preserve"> not. Figure 8 shows the error histogram together with the spatial distribution of correct and incorrect predictions across the city.</w:t>
      </w:r>
    </w:p>
    <w:p w14:paraId="0D46E0A1" w14:textId="0AE9CEDB" w:rsidR="00FB1C89" w:rsidRPr="00A954B6" w:rsidRDefault="00FB1C89" w:rsidP="00A954B6">
      <w:r>
        <w:rPr>
          <w:noProof/>
        </w:rPr>
        <w:drawing>
          <wp:inline distT="0" distB="0" distL="0" distR="0" wp14:anchorId="7077B1F1" wp14:editId="1DAD08A2">
            <wp:extent cx="5749925" cy="2244090"/>
            <wp:effectExtent l="0" t="0" r="3175" b="3810"/>
            <wp:docPr id="1954200065"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49925" cy="2244090"/>
                    </a:xfrm>
                    <a:prstGeom prst="rect">
                      <a:avLst/>
                    </a:prstGeom>
                    <a:noFill/>
                    <a:ln>
                      <a:noFill/>
                    </a:ln>
                  </pic:spPr>
                </pic:pic>
              </a:graphicData>
            </a:graphic>
          </wp:inline>
        </w:drawing>
      </w:r>
    </w:p>
    <w:p w14:paraId="5C83D604" w14:textId="77777777" w:rsidR="00A954B6" w:rsidRPr="00A954B6" w:rsidRDefault="00A954B6" w:rsidP="00A954B6">
      <w:r w:rsidRPr="00A954B6">
        <w:rPr>
          <w:i/>
          <w:iCs/>
        </w:rPr>
        <w:t xml:space="preserve">Figure 8. Error distribution of the main model. Left: histogram of </w:t>
      </w:r>
      <w:proofErr w:type="gramStart"/>
      <w:r w:rsidRPr="00A954B6">
        <w:rPr>
          <w:i/>
          <w:iCs/>
        </w:rPr>
        <w:t>Top-1</w:t>
      </w:r>
      <w:proofErr w:type="gramEnd"/>
      <w:r w:rsidRPr="00A954B6">
        <w:rPr>
          <w:i/>
          <w:iCs/>
        </w:rPr>
        <w:t xml:space="preserve"> localization errors with a median of 8 m and a heavy right tail. Right: spatial distribution of correct (green) and incorrect (red) street predictions over the </w:t>
      </w:r>
      <w:proofErr w:type="spellStart"/>
      <w:r w:rsidRPr="00A954B6">
        <w:rPr>
          <w:i/>
          <w:iCs/>
        </w:rPr>
        <w:t>Kırşehir</w:t>
      </w:r>
      <w:proofErr w:type="spellEnd"/>
      <w:r w:rsidRPr="00A954B6">
        <w:rPr>
          <w:i/>
          <w:iCs/>
        </w:rPr>
        <w:t xml:space="preserve"> road network.</w:t>
      </w:r>
    </w:p>
    <w:p w14:paraId="48B643E0" w14:textId="77777777" w:rsidR="00A954B6" w:rsidRPr="00A954B6" w:rsidRDefault="00A954B6" w:rsidP="00A954B6">
      <w:pPr>
        <w:rPr>
          <w:b/>
          <w:bCs/>
          <w:i/>
          <w:iCs/>
        </w:rPr>
      </w:pPr>
      <w:r w:rsidRPr="00A954B6">
        <w:rPr>
          <w:b/>
          <w:bCs/>
          <w:i/>
          <w:iCs/>
        </w:rPr>
        <w:t>4.7.2. Per-Street Patterns</w:t>
      </w:r>
    </w:p>
    <w:p w14:paraId="1356BBD9" w14:textId="77777777" w:rsidR="00A954B6" w:rsidRPr="00A954B6" w:rsidRDefault="00A954B6" w:rsidP="00A954B6">
      <w:r w:rsidRPr="00A954B6">
        <w:t xml:space="preserve">The per-street error analysis reveals a clear relationship between database density and localization accuracy. Streets with the lowest median errors (≤ 10 m) are those with high database coverage, such as 1090. Sokak (n = 30, 87% street-correct, median 8 m), Mustafa Kemal Paşa </w:t>
      </w:r>
      <w:proofErr w:type="spellStart"/>
      <w:r w:rsidRPr="00A954B6">
        <w:t>Caddesi</w:t>
      </w:r>
      <w:proofErr w:type="spellEnd"/>
      <w:r w:rsidRPr="00A954B6">
        <w:t xml:space="preserve"> (n = 9, 100% correct, 8 m), and </w:t>
      </w:r>
      <w:proofErr w:type="spellStart"/>
      <w:r w:rsidRPr="00A954B6">
        <w:t>Şehit</w:t>
      </w:r>
      <w:proofErr w:type="spellEnd"/>
      <w:r w:rsidRPr="00A954B6">
        <w:t xml:space="preserve"> Sahir Kurutluoğlu </w:t>
      </w:r>
      <w:proofErr w:type="spellStart"/>
      <w:r w:rsidRPr="00A954B6">
        <w:t>Caddesi</w:t>
      </w:r>
      <w:proofErr w:type="spellEnd"/>
      <w:r w:rsidRPr="00A954B6">
        <w:t xml:space="preserve"> (n = 24, 88% correct, 9 m). Conversely, the largest errors appear on streets represented by only one or a few query points — for example 1731. Sokak (n = 1, 3,982 m), 1396. Sokak (n = 1, 3,392 m), and </w:t>
      </w:r>
      <w:proofErr w:type="spellStart"/>
      <w:r w:rsidRPr="00A954B6">
        <w:t>Şehit</w:t>
      </w:r>
      <w:proofErr w:type="spellEnd"/>
      <w:r w:rsidRPr="00A954B6">
        <w:t xml:space="preserve"> Turgut </w:t>
      </w:r>
      <w:proofErr w:type="spellStart"/>
      <w:r w:rsidRPr="00A954B6">
        <w:t>İlanbey</w:t>
      </w:r>
      <w:proofErr w:type="spellEnd"/>
      <w:r w:rsidRPr="00A954B6">
        <w:t xml:space="preserve"> </w:t>
      </w:r>
      <w:proofErr w:type="spellStart"/>
      <w:r w:rsidRPr="00A954B6">
        <w:t>Caddesi</w:t>
      </w:r>
      <w:proofErr w:type="spellEnd"/>
      <w:r w:rsidRPr="00A954B6">
        <w:t xml:space="preserve"> (n = 1, 2,640 m). This pattern indicates that the model's performance is substantially more reliable on streets with denser database representation, whereas isolated, sparsely sampled points in the test blocks are at risk of being matched to visually similar streets far away.</w:t>
      </w:r>
    </w:p>
    <w:p w14:paraId="017134A6" w14:textId="77777777" w:rsidR="00A954B6" w:rsidRDefault="00A954B6" w:rsidP="00A954B6">
      <w:r w:rsidRPr="00A954B6">
        <w:t xml:space="preserve">A scatter plot of retrieval confidence versus error (Figure 9, left) further reveals that high cosine similarity scores do not guarantee small localization errors: a considerable </w:t>
      </w:r>
      <w:r w:rsidRPr="00A954B6">
        <w:lastRenderedPageBreak/>
        <w:t>fraction of queries with scores in the 0.85–0.95 range are nevertheless mislocalized by hundreds of meters. This observation motivates the perceptual aliasing analysis in the next subsection.</w:t>
      </w:r>
    </w:p>
    <w:p w14:paraId="4A996ACF" w14:textId="52E08E75" w:rsidR="00FB1C89" w:rsidRPr="00A954B6" w:rsidRDefault="00FB1C89" w:rsidP="00A954B6">
      <w:r>
        <w:rPr>
          <w:noProof/>
        </w:rPr>
        <w:drawing>
          <wp:inline distT="0" distB="0" distL="0" distR="0" wp14:anchorId="2CE2FDF8" wp14:editId="78819138">
            <wp:extent cx="5749925" cy="2187575"/>
            <wp:effectExtent l="0" t="0" r="3175" b="3175"/>
            <wp:docPr id="1034831329"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9925" cy="2187575"/>
                    </a:xfrm>
                    <a:prstGeom prst="rect">
                      <a:avLst/>
                    </a:prstGeom>
                    <a:noFill/>
                    <a:ln>
                      <a:noFill/>
                    </a:ln>
                  </pic:spPr>
                </pic:pic>
              </a:graphicData>
            </a:graphic>
          </wp:inline>
        </w:drawing>
      </w:r>
    </w:p>
    <w:p w14:paraId="0D985D72" w14:textId="77777777" w:rsidR="00A954B6" w:rsidRPr="00A954B6" w:rsidRDefault="00A954B6" w:rsidP="00A954B6">
      <w:r w:rsidRPr="00A954B6">
        <w:rPr>
          <w:i/>
          <w:iCs/>
        </w:rPr>
        <w:t>Figure 9. Relation between retrieval confidence and error (left) and per-street error distribution for the 15 streets with the most query examples (right).</w:t>
      </w:r>
    </w:p>
    <w:p w14:paraId="294587DA" w14:textId="77777777" w:rsidR="00A954B6" w:rsidRPr="00A954B6" w:rsidRDefault="00A954B6" w:rsidP="00A954B6">
      <w:pPr>
        <w:rPr>
          <w:b/>
          <w:bCs/>
          <w:i/>
          <w:iCs/>
        </w:rPr>
      </w:pPr>
      <w:r w:rsidRPr="00A954B6">
        <w:rPr>
          <w:b/>
          <w:bCs/>
          <w:i/>
          <w:iCs/>
        </w:rPr>
        <w:t>4.7.3. Perceptual Aliasing</w:t>
      </w:r>
    </w:p>
    <w:p w14:paraId="6B797AD4" w14:textId="77777777" w:rsidR="00A954B6" w:rsidRPr="00A954B6" w:rsidRDefault="00A954B6" w:rsidP="00A954B6">
      <w:r w:rsidRPr="00A954B6">
        <w:t xml:space="preserve">Perceptual aliasing is operationalized here as cases in which a query receives a </w:t>
      </w:r>
      <w:proofErr w:type="gramStart"/>
      <w:r w:rsidRPr="00A954B6">
        <w:t>Top-1</w:t>
      </w:r>
      <w:proofErr w:type="gramEnd"/>
      <w:r w:rsidRPr="00A954B6">
        <w:t xml:space="preserve"> cosine similarity score in the upper quartile (&gt; 0.877) but is nevertheless assigned to an incorrect street. Among the 511 incorrect predictions produced by the main model, 83 (16.2%) </w:t>
      </w:r>
      <w:proofErr w:type="gramStart"/>
      <w:r w:rsidRPr="00A954B6">
        <w:t>fall</w:t>
      </w:r>
      <w:proofErr w:type="gramEnd"/>
      <w:r w:rsidRPr="00A954B6">
        <w:t xml:space="preserve"> into this high-confidence subset. These high-confidence errors exhibit a median localization error of 59 m, substantially lower than the 258 m median of the low-confidence errors. In other words, perceptual aliasing produces a small but reliably near-miss category of confident misidentifications rather than gross </w:t>
      </w:r>
      <w:proofErr w:type="spellStart"/>
      <w:r w:rsidRPr="00A954B6">
        <w:t>mislocalizations</w:t>
      </w:r>
      <w:proofErr w:type="spellEnd"/>
      <w:r w:rsidRPr="00A954B6">
        <w:t>.</w:t>
      </w:r>
    </w:p>
    <w:p w14:paraId="2E69FF8B" w14:textId="77777777" w:rsidR="00A954B6" w:rsidRPr="00A954B6" w:rsidRDefault="00A954B6" w:rsidP="00A954B6">
      <w:r w:rsidRPr="00A954B6">
        <w:t xml:space="preserve">The streets most affected by perceptual aliasing are predominantly narrow residential streets with repetitive building facades: 417. Sokak (3/4 queries, 75%), 452. Sokak (3/8, 38%), </w:t>
      </w:r>
      <w:proofErr w:type="spellStart"/>
      <w:r w:rsidRPr="00A954B6">
        <w:t>İkizarası</w:t>
      </w:r>
      <w:proofErr w:type="spellEnd"/>
      <w:r w:rsidRPr="00A954B6">
        <w:t xml:space="preserve"> </w:t>
      </w:r>
      <w:proofErr w:type="spellStart"/>
      <w:r w:rsidRPr="00A954B6">
        <w:t>Caddesi</w:t>
      </w:r>
      <w:proofErr w:type="spellEnd"/>
      <w:r w:rsidRPr="00A954B6">
        <w:t xml:space="preserve"> (3/8, 38%), 418. Sokak (3/9, 33%) and 720. Sokak (4/15, 27%). The most frequent confusion pairs (e.g., 603. Sokak → 606. Sokak, 283. Sokak → 282. Sokak, </w:t>
      </w:r>
      <w:proofErr w:type="gramStart"/>
      <w:r w:rsidRPr="00A954B6">
        <w:t>418./</w:t>
      </w:r>
      <w:proofErr w:type="gramEnd"/>
      <w:r w:rsidRPr="00A954B6">
        <w:t xml:space="preserve">417. Sokak → 452. Sokak) involve adjacent or nearby streets within the same residential block, which supports the interpretation that perceptual aliasing is primarily driven by locally homogeneous architectural styles rather than distant coincidences. Retrieval diversity analysis corroborates this view: within the </w:t>
      </w:r>
      <w:proofErr w:type="gramStart"/>
      <w:r w:rsidRPr="00A954B6">
        <w:t>Top-10</w:t>
      </w:r>
      <w:proofErr w:type="gramEnd"/>
      <w:r w:rsidRPr="00A954B6">
        <w:t xml:space="preserve"> results, the median number of distinct streets is 3, 12.0% of queries </w:t>
      </w:r>
      <w:proofErr w:type="gramStart"/>
      <w:r w:rsidRPr="00A954B6">
        <w:t>return</w:t>
      </w:r>
      <w:proofErr w:type="gramEnd"/>
      <w:r w:rsidRPr="00A954B6">
        <w:t xml:space="preserve"> a single consistent street, and 27.0% return </w:t>
      </w:r>
      <w:proofErr w:type="gramStart"/>
      <w:r w:rsidRPr="00A954B6">
        <w:t>five</w:t>
      </w:r>
      <w:proofErr w:type="gramEnd"/>
      <w:r w:rsidRPr="00A954B6">
        <w:t xml:space="preserve"> or more different streets, reflecting the proportion of queries for which the model is unable to narrow down to a single place confidently.</w:t>
      </w:r>
    </w:p>
    <w:p w14:paraId="337D39F5" w14:textId="77777777" w:rsidR="00A954B6" w:rsidRDefault="00A954B6" w:rsidP="00A954B6">
      <w:r w:rsidRPr="00A954B6">
        <w:t xml:space="preserve">Finally, the score distribution of correct versus incorrect predictions overlaps substantially across the range [0.75, 0.95] (Figure 10, left). Although the incorrect-prediction distribution is slightly shifted toward lower scores, the two distributions are </w:t>
      </w:r>
      <w:r w:rsidRPr="00A954B6">
        <w:lastRenderedPageBreak/>
        <w:t>not separable by a single threshold, which is the underlying reason that confidence-based rejection (Section 4.5) produces no accuracy gains.</w:t>
      </w:r>
    </w:p>
    <w:p w14:paraId="441D21EB" w14:textId="285ECE22" w:rsidR="00FB1C89" w:rsidRPr="00A954B6" w:rsidRDefault="00FB1C89" w:rsidP="00A954B6">
      <w:r>
        <w:rPr>
          <w:noProof/>
        </w:rPr>
        <w:drawing>
          <wp:inline distT="0" distB="0" distL="0" distR="0" wp14:anchorId="0811B939" wp14:editId="5816A9EB">
            <wp:extent cx="5755640" cy="1609725"/>
            <wp:effectExtent l="0" t="0" r="0" b="9525"/>
            <wp:docPr id="1485752987"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5640" cy="1609725"/>
                    </a:xfrm>
                    <a:prstGeom prst="rect">
                      <a:avLst/>
                    </a:prstGeom>
                    <a:noFill/>
                    <a:ln>
                      <a:noFill/>
                    </a:ln>
                  </pic:spPr>
                </pic:pic>
              </a:graphicData>
            </a:graphic>
          </wp:inline>
        </w:drawing>
      </w:r>
    </w:p>
    <w:p w14:paraId="3F9ED983" w14:textId="77777777" w:rsidR="00A954B6" w:rsidRPr="00A954B6" w:rsidRDefault="00A954B6" w:rsidP="00A954B6">
      <w:r w:rsidRPr="00A954B6">
        <w:rPr>
          <w:i/>
          <w:iCs/>
        </w:rPr>
        <w:t xml:space="preserve">Figure 10. Perceptual aliasing analysis. Left: overlapping score distributions of correct and incorrect predictions. Middle: number of distinct streets appearing in the </w:t>
      </w:r>
      <w:proofErr w:type="gramStart"/>
      <w:r w:rsidRPr="00A954B6">
        <w:rPr>
          <w:i/>
          <w:iCs/>
        </w:rPr>
        <w:t>Top-10</w:t>
      </w:r>
      <w:proofErr w:type="gramEnd"/>
      <w:r w:rsidRPr="00A954B6">
        <w:rPr>
          <w:i/>
          <w:iCs/>
        </w:rPr>
        <w:t xml:space="preserve"> results. Right: spatial concentration of high-confidence incorrect predictions in the central and southeastern residential areas of the city.</w:t>
      </w:r>
    </w:p>
    <w:p w14:paraId="4B56AC76" w14:textId="0B53331B" w:rsidR="001956F4" w:rsidRDefault="001956F4">
      <w:r>
        <w:t>Discussion</w:t>
      </w:r>
    </w:p>
    <w:p w14:paraId="7C6B122A" w14:textId="77777777" w:rsidR="009959D1" w:rsidRPr="009959D1" w:rsidRDefault="009959D1" w:rsidP="009959D1">
      <w:pPr>
        <w:rPr>
          <w:b/>
          <w:bCs/>
        </w:rPr>
      </w:pPr>
      <w:r w:rsidRPr="009959D1">
        <w:rPr>
          <w:b/>
          <w:bCs/>
        </w:rPr>
        <w:t>5.1. Summary of Key Findings</w:t>
      </w:r>
    </w:p>
    <w:p w14:paraId="32A4D0D1" w14:textId="4185BE24" w:rsidR="009959D1" w:rsidRPr="009959D1" w:rsidRDefault="009959D1" w:rsidP="009959D1">
      <w:r w:rsidRPr="009959D1">
        <w:t xml:space="preserve">The experimental evidence presented in Section 4 yields four principal findings that collectively shape the discussion of this study. First, partial fine-tuning of DINOv2 is highly effective: the main model achieves 81.24% Recall@1 at 100 m and an 8.2 m median localization error, improving upon the frozen baseline by 17.13 percentage points at the 100 m threshold and reducing the median error by a factor of six. Second, two architectural choices commonly considered critical for retrieval — patch-level </w:t>
      </w:r>
      <w:proofErr w:type="spellStart"/>
      <w:r w:rsidRPr="009959D1">
        <w:t>GeM</w:t>
      </w:r>
      <w:proofErr w:type="spellEnd"/>
      <w:r w:rsidRPr="009959D1">
        <w:t xml:space="preserve"> pooling and Multi-Similarity Loss — deliver competitive but not strictly dominant performance on this dataset: Multi-Similarity Loss outperforms Triplet Loss as expected </w:t>
      </w:r>
      <w:r w:rsidR="00492D15">
        <w:fldChar w:fldCharType="begin"/>
      </w:r>
      <w:r w:rsidR="00492D15">
        <w:instrText xml:space="preserve"> ADDIN EN.CITE &lt;EndNote&gt;&lt;Cite&gt;&lt;Author&gt;Wang&lt;/Author&gt;&lt;Year&gt;2019&lt;/Year&gt;&lt;RecNum&gt;1368&lt;/RecNum&gt;&lt;DisplayText&gt;(Wang et al. 2019)&lt;/DisplayText&gt;&lt;record&gt;&lt;rec-number&gt;1368&lt;/rec-number&gt;&lt;foreign-keys&gt;&lt;key app="EN" db-id="dx50w9txmzwp0uex5r95r20sfz029raapfrf" timestamp="1776455246"&gt;1368&lt;/key&gt;&lt;/foreign-keys&gt;&lt;ref-type name="Conference Proceedings"&gt;10&lt;/ref-type&gt;&lt;contributors&gt;&lt;authors&gt;&lt;author&gt;Wang, Xun&lt;/author&gt;&lt;author&gt;Han, Xintong&lt;/author&gt;&lt;author&gt;Huang, Weilin&lt;/author&gt;&lt;author&gt;Dong, Dengke&lt;/author&gt;&lt;author&gt;Scott, Matthew R&lt;/author&gt;&lt;/authors&gt;&lt;/contributors&gt;&lt;titles&gt;&lt;title&gt;Multi-similarity loss with general pair weighting for deep metric learning&lt;/title&gt;&lt;secondary-title&gt;Proceedings of the IEEE/CVF conference on computer vision and pattern recognition&lt;/secondary-title&gt;&lt;/titles&gt;&lt;pages&gt;5022-5030&lt;/pages&gt;&lt;dates&gt;&lt;year&gt;2019&lt;/year&gt;&lt;/dates&gt;&lt;urls&gt;&lt;/urls&gt;&lt;/record&gt;&lt;/Cite&gt;&lt;/EndNote&gt;</w:instrText>
      </w:r>
      <w:r w:rsidR="00492D15">
        <w:fldChar w:fldCharType="separate"/>
      </w:r>
      <w:r w:rsidR="00492D15">
        <w:rPr>
          <w:noProof/>
        </w:rPr>
        <w:t>(Wang et al. 2019)</w:t>
      </w:r>
      <w:r w:rsidR="00492D15">
        <w:fldChar w:fldCharType="end"/>
      </w:r>
      <w:r w:rsidRPr="009959D1">
        <w:t xml:space="preserve">, whereas, unexpectedly, the CLS-token variant slightly surpasses the </w:t>
      </w:r>
      <w:proofErr w:type="spellStart"/>
      <w:r w:rsidRPr="009959D1">
        <w:t>GeM</w:t>
      </w:r>
      <w:proofErr w:type="spellEnd"/>
      <w:r w:rsidRPr="009959D1">
        <w:t xml:space="preserve">-pooled main model. Third, the two-stage pipeline with </w:t>
      </w:r>
      <w:proofErr w:type="spellStart"/>
      <w:r w:rsidRPr="009959D1">
        <w:t>LightGlue</w:t>
      </w:r>
      <w:proofErr w:type="spellEnd"/>
      <w:r w:rsidRPr="009959D1">
        <w:t xml:space="preserve">-based re-ranking degrades performance in every configuration tested, whether applied uniformly or only to low-confidence queries. Fourth, the </w:t>
      </w:r>
      <w:proofErr w:type="spellStart"/>
      <w:r w:rsidRPr="009959D1">
        <w:t>ViT</w:t>
      </w:r>
      <w:proofErr w:type="spellEnd"/>
      <w:r w:rsidRPr="009959D1">
        <w:t xml:space="preserve">-S/14 variant retains 94.5% of the </w:t>
      </w:r>
      <w:proofErr w:type="spellStart"/>
      <w:r w:rsidRPr="009959D1">
        <w:t>ViT</w:t>
      </w:r>
      <w:proofErr w:type="spellEnd"/>
      <w:r w:rsidRPr="009959D1">
        <w:t>-B/14 R@1&lt;100 m performance while using only 25.6% of its parameters and 34.3% of its inference time. The discussion below situates each of these findings within the literature and analyzes their probable causes and implications.</w:t>
      </w:r>
    </w:p>
    <w:p w14:paraId="77EBA9A1" w14:textId="77777777" w:rsidR="009959D1" w:rsidRPr="009959D1" w:rsidRDefault="009959D1" w:rsidP="009959D1">
      <w:pPr>
        <w:rPr>
          <w:b/>
          <w:bCs/>
        </w:rPr>
      </w:pPr>
      <w:r w:rsidRPr="009959D1">
        <w:rPr>
          <w:b/>
          <w:bCs/>
        </w:rPr>
        <w:t>5.2. Why Does Partial Fine-Tuning Help So Much on This Dataset?</w:t>
      </w:r>
    </w:p>
    <w:p w14:paraId="26D77F2C" w14:textId="520ABD39" w:rsidR="009959D1" w:rsidRPr="009959D1" w:rsidRDefault="009959D1" w:rsidP="009959D1">
      <w:r w:rsidRPr="009959D1">
        <w:t xml:space="preserve">The large gap between the frozen DINOv2 baseline (56.14% street accuracy, 49.8 m median error) and the fine-tuned main model (74.70% street accuracy, 8.2 m median error) is considerably larger than gaps commonly reported on widely used VPR benchmarks such as Pittsburgh30k or Tokyo24/7 </w:t>
      </w:r>
      <w:r w:rsidR="00492D15">
        <w:fldChar w:fldCharType="begin"/>
      </w:r>
      <w:r w:rsidR="00492D15">
        <w:instrText xml:space="preserve"> ADDIN EN.CITE &lt;EndNote&gt;&lt;Cite&gt;&lt;Author&gt;Berton&lt;/Author&gt;&lt;Year&gt;2022&lt;/Year&gt;&lt;RecNum&gt;1352&lt;/RecNum&gt;&lt;DisplayText&gt;(Berton et al. 2022)&lt;/DisplayText&gt;&lt;record&gt;&lt;rec-number&gt;1352&lt;/rec-number&gt;&lt;foreign-keys&gt;&lt;key app="EN" db-id="dx50w9txmzwp0uex5r95r20sfz029raapfrf" timestamp="1776429643"&gt;1352&lt;/key&gt;&lt;/foreign-keys&gt;&lt;ref-type name="Conference Proceedings"&gt;10&lt;/ref-type&gt;&lt;contributors&gt;&lt;authors&gt;&lt;author&gt;Berton, Gabriele&lt;/author&gt;&lt;author&gt;Masone, Carlo&lt;/author&gt;&lt;author&gt;Caputo, Barbara&lt;/author&gt;&lt;/authors&gt;&lt;/contributors&gt;&lt;titles&gt;&lt;title&gt;Rethinking visual geo-localization for large-scale applications&lt;/title&gt;&lt;secondary-title&gt;Proceedings of the IEEE/CVF Conference on Computer Vision and Pattern Recognition&lt;/secondary-title&gt;&lt;/titles&gt;&lt;pages&gt;4878-4888&lt;/pages&gt;&lt;dates&gt;&lt;year&gt;2022&lt;/year&gt;&lt;/dates&gt;&lt;urls&gt;&lt;/urls&gt;&lt;/record&gt;&lt;/Cite&gt;&lt;/EndNote&gt;</w:instrText>
      </w:r>
      <w:r w:rsidR="00492D15">
        <w:fldChar w:fldCharType="separate"/>
      </w:r>
      <w:r w:rsidR="00492D15">
        <w:rPr>
          <w:noProof/>
        </w:rPr>
        <w:t>(Berton et al. 2022)</w:t>
      </w:r>
      <w:r w:rsidR="00492D15">
        <w:fldChar w:fldCharType="end"/>
      </w:r>
      <w:r w:rsidRPr="009959D1">
        <w:t xml:space="preserve">. We attribute this to the specific visual regime of the </w:t>
      </w:r>
      <w:proofErr w:type="spellStart"/>
      <w:r w:rsidRPr="009959D1">
        <w:t>Kırşehir</w:t>
      </w:r>
      <w:proofErr w:type="spellEnd"/>
      <w:r w:rsidRPr="009959D1">
        <w:t xml:space="preserve"> dataset. </w:t>
      </w:r>
      <w:proofErr w:type="spellStart"/>
      <w:r w:rsidRPr="009959D1">
        <w:t>Kırşehir</w:t>
      </w:r>
      <w:proofErr w:type="spellEnd"/>
      <w:r w:rsidRPr="009959D1">
        <w:t xml:space="preserve"> is a mid-sized Anatolian city dominated by repetitive low-to-mid-rise residential buildings, narrow side streets, and a </w:t>
      </w:r>
      <w:r w:rsidRPr="009959D1">
        <w:lastRenderedPageBreak/>
        <w:t xml:space="preserve">relatively homogeneous architectural vocabulary. DINOv2 is pre-trained on a large and diverse corpus biased toward Western, English-speaking contexts </w:t>
      </w:r>
      <w:r w:rsidR="00492D15">
        <w:fldChar w:fldCharType="begin"/>
      </w:r>
      <w:r w:rsidR="00492D15">
        <w:instrText xml:space="preserve"> ADDIN EN.CITE &lt;EndNote&gt;&lt;Cite&gt;&lt;Author&gt;Oquab&lt;/Author&gt;&lt;Year&gt;2023&lt;/Year&gt;&lt;RecNum&gt;1353&lt;/RecNum&gt;&lt;DisplayText&gt;(Oquab et al. 2023)&lt;/DisplayText&gt;&lt;record&gt;&lt;rec-number&gt;1353&lt;/rec-number&gt;&lt;foreign-keys&gt;&lt;key app="EN" db-id="dx50w9txmzwp0uex5r95r20sfz029raapfrf" timestamp="1776429744"&gt;1353&lt;/key&gt;&lt;/foreign-keys&gt;&lt;ref-type name="Journal Article"&gt;17&lt;/ref-type&gt;&lt;contributors&gt;&lt;authors&gt;&lt;author&gt;Oquab, Maxime&lt;/author&gt;&lt;author&gt;Darcet, Timothée&lt;/author&gt;&lt;author&gt;Moutakanni, Théo&lt;/author&gt;&lt;author&gt;Vo, Huy&lt;/author&gt;&lt;author&gt;Szafraniec, Marc&lt;/author&gt;&lt;author&gt;Khalidov, Vasil&lt;/author&gt;&lt;author&gt;Fernandez, Pierre&lt;/author&gt;&lt;author&gt;Haziza, Daniel&lt;/author&gt;&lt;author&gt;Massa, Francisco&lt;/author&gt;&lt;author&gt;El-Nouby, Alaaeldin&lt;/author&gt;&lt;/authors&gt;&lt;/contributors&gt;&lt;titles&gt;&lt;title&gt;Dinov2: Learning robust visual features without supervision&lt;/title&gt;&lt;secondary-title&gt;arXiv preprint arXiv:2304.07193&lt;/secondary-title&gt;&lt;/titles&gt;&lt;periodical&gt;&lt;full-title&gt;arXiv preprint arXiv:2304.07193&lt;/full-title&gt;&lt;/periodical&gt;&lt;dates&gt;&lt;year&gt;2023&lt;/year&gt;&lt;/dates&gt;&lt;urls&gt;&lt;/urls&gt;&lt;/record&gt;&lt;/Cite&gt;&lt;/EndNote&gt;</w:instrText>
      </w:r>
      <w:r w:rsidR="00492D15">
        <w:fldChar w:fldCharType="separate"/>
      </w:r>
      <w:r w:rsidR="00492D15">
        <w:rPr>
          <w:noProof/>
        </w:rPr>
        <w:t>(Oquab et al. 2023)</w:t>
      </w:r>
      <w:r w:rsidR="00492D15">
        <w:fldChar w:fldCharType="end"/>
      </w:r>
      <w:r w:rsidRPr="009959D1">
        <w:t xml:space="preserve">; as a consequence, its off-the-shelf features are descriptive but under-specialized for the fine-grained distinctions required in a small, architecturally uniform city. Unfreezing the last four Transformer blocks allows the model to remap its high-level visual tokens toward the architectural, material, and vegetation cues that separate </w:t>
      </w:r>
      <w:proofErr w:type="spellStart"/>
      <w:r w:rsidRPr="009959D1">
        <w:t>Kırşehir</w:t>
      </w:r>
      <w:proofErr w:type="spellEnd"/>
      <w:r w:rsidRPr="009959D1">
        <w:t xml:space="preserve"> streets, while leaving the lower-level representations intact. This interpretation is consistent with the general finding that parameter-efficient adaptation of foundation models to domain-shifted data is essential for strong downstream performance </w:t>
      </w:r>
      <w:r w:rsidR="00492D15">
        <w:fldChar w:fldCharType="begin"/>
      </w:r>
      <w:r w:rsidR="00492D15">
        <w:instrText xml:space="preserve"> ADDIN EN.CITE &lt;EndNote&gt;&lt;Cite&gt;&lt;Author&gt;Oquab&lt;/Author&gt;&lt;Year&gt;2023&lt;/Year&gt;&lt;RecNum&gt;1353&lt;/RecNum&gt;&lt;DisplayText&gt;(Berton et al. 2022; Oquab et al. 2023)&lt;/DisplayText&gt;&lt;record&gt;&lt;rec-number&gt;1353&lt;/rec-number&gt;&lt;foreign-keys&gt;&lt;key app="EN" db-id="dx50w9txmzwp0uex5r95r20sfz029raapfrf" timestamp="1776429744"&gt;1353&lt;/key&gt;&lt;/foreign-keys&gt;&lt;ref-type name="Journal Article"&gt;17&lt;/ref-type&gt;&lt;contributors&gt;&lt;authors&gt;&lt;author&gt;Oquab, Maxime&lt;/author&gt;&lt;author&gt;Darcet, Timothée&lt;/author&gt;&lt;author&gt;Moutakanni, Théo&lt;/author&gt;&lt;author&gt;Vo, Huy&lt;/author&gt;&lt;author&gt;Szafraniec, Marc&lt;/author&gt;&lt;author&gt;Khalidov, Vasil&lt;/author&gt;&lt;author&gt;Fernandez, Pierre&lt;/author&gt;&lt;author&gt;Haziza, Daniel&lt;/author&gt;&lt;author&gt;Massa, Francisco&lt;/author&gt;&lt;author&gt;El-Nouby, Alaaeldin&lt;/author&gt;&lt;/authors&gt;&lt;/contributors&gt;&lt;titles&gt;&lt;title&gt;Dinov2: Learning robust visual features without supervision&lt;/title&gt;&lt;secondary-title&gt;arXiv preprint arXiv:2304.07193&lt;/secondary-title&gt;&lt;/titles&gt;&lt;periodical&gt;&lt;full-title&gt;arXiv preprint arXiv:2304.07193&lt;/full-title&gt;&lt;/periodical&gt;&lt;dates&gt;&lt;year&gt;2023&lt;/year&gt;&lt;/dates&gt;&lt;urls&gt;&lt;/urls&gt;&lt;/record&gt;&lt;/Cite&gt;&lt;Cite&gt;&lt;Author&gt;Berton&lt;/Author&gt;&lt;Year&gt;2022&lt;/Year&gt;&lt;RecNum&gt;1352&lt;/RecNum&gt;&lt;record&gt;&lt;rec-number&gt;1352&lt;/rec-number&gt;&lt;foreign-keys&gt;&lt;key app="EN" db-id="dx50w9txmzwp0uex5r95r20sfz029raapfrf" timestamp="1776429643"&gt;1352&lt;/key&gt;&lt;/foreign-keys&gt;&lt;ref-type name="Conference Proceedings"&gt;10&lt;/ref-type&gt;&lt;contributors&gt;&lt;authors&gt;&lt;author&gt;Berton, Gabriele&lt;/author&gt;&lt;author&gt;Masone, Carlo&lt;/author&gt;&lt;author&gt;Caputo, Barbara&lt;/author&gt;&lt;/authors&gt;&lt;/contributors&gt;&lt;titles&gt;&lt;title&gt;Rethinking visual geo-localization for large-scale applications&lt;/title&gt;&lt;secondary-title&gt;Proceedings of the IEEE/CVF Conference on Computer Vision and Pattern Recognition&lt;/secondary-title&gt;&lt;/titles&gt;&lt;pages&gt;4878-4888&lt;/pages&gt;&lt;dates&gt;&lt;year&gt;2022&lt;/year&gt;&lt;/dates&gt;&lt;urls&gt;&lt;/urls&gt;&lt;/record&gt;&lt;/Cite&gt;&lt;/EndNote&gt;</w:instrText>
      </w:r>
      <w:r w:rsidR="00492D15">
        <w:fldChar w:fldCharType="separate"/>
      </w:r>
      <w:r w:rsidR="00492D15">
        <w:rPr>
          <w:noProof/>
        </w:rPr>
        <w:t>(Berton et al. 2022; Oquab et al. 2023)</w:t>
      </w:r>
      <w:r w:rsidR="00492D15">
        <w:fldChar w:fldCharType="end"/>
      </w:r>
      <w:r w:rsidRPr="009959D1">
        <w:t>.</w:t>
      </w:r>
    </w:p>
    <w:p w14:paraId="3436943A" w14:textId="77777777" w:rsidR="009959D1" w:rsidRPr="009959D1" w:rsidRDefault="009959D1" w:rsidP="009959D1">
      <w:pPr>
        <w:rPr>
          <w:b/>
          <w:bCs/>
        </w:rPr>
      </w:pPr>
      <w:r w:rsidRPr="009959D1">
        <w:rPr>
          <w:b/>
          <w:bCs/>
        </w:rPr>
        <w:t xml:space="preserve">5.3. CLS Token vs. </w:t>
      </w:r>
      <w:proofErr w:type="spellStart"/>
      <w:r w:rsidRPr="009959D1">
        <w:rPr>
          <w:b/>
          <w:bCs/>
        </w:rPr>
        <w:t>GeM</w:t>
      </w:r>
      <w:proofErr w:type="spellEnd"/>
      <w:r w:rsidRPr="009959D1">
        <w:rPr>
          <w:b/>
          <w:bCs/>
        </w:rPr>
        <w:t xml:space="preserve"> Pooling: An Unexpected Ablation Outcome</w:t>
      </w:r>
    </w:p>
    <w:p w14:paraId="2CE1355C" w14:textId="54735369" w:rsidR="009959D1" w:rsidRPr="009959D1" w:rsidRDefault="009959D1" w:rsidP="009959D1">
      <w:r w:rsidRPr="009959D1">
        <w:t xml:space="preserve">The prevailing assumption in the VPR literature is that spatially pooled patch tokens preserve more discriminative information than a single global CLS token </w:t>
      </w:r>
      <w:r w:rsidR="00492D15">
        <w:fldChar w:fldCharType="begin"/>
      </w:r>
      <w:r w:rsidR="00492D15">
        <w:instrText xml:space="preserve"> ADDIN EN.CITE &lt;EndNote&gt;&lt;Cite&gt;&lt;Author&gt;Radenović&lt;/Author&gt;&lt;Year&gt;2018&lt;/Year&gt;&lt;RecNum&gt;1358&lt;/RecNum&gt;&lt;DisplayText&gt;(Hausler et al. 2021; Radenović et al. 2018)&lt;/DisplayText&gt;&lt;record&gt;&lt;rec-number&gt;1358&lt;/rec-number&gt;&lt;foreign-keys&gt;&lt;key app="EN" db-id="dx50w9txmzwp0uex5r95r20sfz029raapfrf" timestamp="1776430244"&gt;1358&lt;/key&gt;&lt;/foreign-keys&gt;&lt;ref-type name="Journal Article"&gt;17&lt;/ref-type&gt;&lt;contributors&gt;&lt;authors&gt;&lt;author&gt;Radenović, Filip&lt;/author&gt;&lt;author&gt;Tolias, Giorgos&lt;/author&gt;&lt;author&gt;Chum, Ondřej&lt;/author&gt;&lt;/authors&gt;&lt;/contributors&gt;&lt;titles&gt;&lt;title&gt;Fine-tuning CNN image retrieval with no human annotation&lt;/title&gt;&lt;secondary-title&gt;IEEE transactions on pattern analysis and machine intelligence&lt;/secondary-title&gt;&lt;/titles&gt;&lt;periodical&gt;&lt;full-title&gt;IEEE transactions on pattern analysis and machine intelligence&lt;/full-title&gt;&lt;/periodical&gt;&lt;pages&gt;1655-1668&lt;/pages&gt;&lt;volume&gt;41&lt;/volume&gt;&lt;number&gt;7&lt;/number&gt;&lt;dates&gt;&lt;year&gt;2018&lt;/year&gt;&lt;/dates&gt;&lt;isbn&gt;0162-8828&lt;/isbn&gt;&lt;urls&gt;&lt;/urls&gt;&lt;/record&gt;&lt;/Cite&gt;&lt;Cite&gt;&lt;Author&gt;Hausler&lt;/Author&gt;&lt;Year&gt;2021&lt;/Year&gt;&lt;RecNum&gt;1356&lt;/RecNum&gt;&lt;record&gt;&lt;rec-number&gt;1356&lt;/rec-number&gt;&lt;foreign-keys&gt;&lt;key app="EN" db-id="dx50w9txmzwp0uex5r95r20sfz029raapfrf" timestamp="1776430036"&gt;1356&lt;/key&gt;&lt;/foreign-keys&gt;&lt;ref-type name="Conference Proceedings"&gt;10&lt;/ref-type&gt;&lt;contributors&gt;&lt;authors&gt;&lt;author&gt;Hausler, Stephen&lt;/author&gt;&lt;author&gt;Garg, Sourav&lt;/author&gt;&lt;author&gt;Xu, Ming&lt;/author&gt;&lt;author&gt;Milford, Michael&lt;/author&gt;&lt;author&gt;Fischer, Tobias&lt;/author&gt;&lt;/authors&gt;&lt;/contributors&gt;&lt;titles&gt;&lt;title&gt;Patch-netvlad: Multi-scale fusion of locally-global descriptors for place recognition&lt;/title&gt;&lt;secondary-title&gt;Proceedings of the IEEE/CVF conference on computer vision and pattern recognition&lt;/secondary-title&gt;&lt;/titles&gt;&lt;pages&gt;14141-14152&lt;/pages&gt;&lt;dates&gt;&lt;year&gt;2021&lt;/year&gt;&lt;/dates&gt;&lt;urls&gt;&lt;/urls&gt;&lt;/record&gt;&lt;/Cite&gt;&lt;/EndNote&gt;</w:instrText>
      </w:r>
      <w:r w:rsidR="00492D15">
        <w:fldChar w:fldCharType="separate"/>
      </w:r>
      <w:r w:rsidR="00492D15">
        <w:rPr>
          <w:noProof/>
        </w:rPr>
        <w:t>(Hausler et al. 2021; Radenović et al. 2018)</w:t>
      </w:r>
      <w:r w:rsidR="00492D15">
        <w:fldChar w:fldCharType="end"/>
      </w:r>
      <w:r w:rsidRPr="009959D1">
        <w:t xml:space="preserve">. Our results partially contradict this expectation: the CLS-token variant achieves 76.58% street accuracy and 5.3 m median error against 74.70% and 8.2 m for the </w:t>
      </w:r>
      <w:proofErr w:type="spellStart"/>
      <w:r w:rsidRPr="009959D1">
        <w:t>GeM</w:t>
      </w:r>
      <w:proofErr w:type="spellEnd"/>
      <w:r w:rsidRPr="009959D1">
        <w:t xml:space="preserve">-pooled main model. The gap, while small, is consistent across all </w:t>
      </w:r>
      <w:proofErr w:type="spellStart"/>
      <w:r w:rsidRPr="009959D1">
        <w:t>Recall@K</w:t>
      </w:r>
      <w:proofErr w:type="spellEnd"/>
      <w:r w:rsidRPr="009959D1">
        <w:t xml:space="preserve"> thresholds (Table 3), so it is unlikely to be an artefact of a single metric.</w:t>
      </w:r>
    </w:p>
    <w:p w14:paraId="56C8DE6A" w14:textId="751A125F" w:rsidR="009959D1" w:rsidRPr="009959D1" w:rsidRDefault="009959D1" w:rsidP="009959D1">
      <w:r w:rsidRPr="009959D1">
        <w:t xml:space="preserve">Several plausible factors explain this pattern. First, DINOv2 is explicitly trained with a discriminative self-supervised objective (DINO-style self-distillation combined with </w:t>
      </w:r>
      <w:proofErr w:type="spellStart"/>
      <w:r w:rsidRPr="009959D1">
        <w:t>iBOT</w:t>
      </w:r>
      <w:proofErr w:type="spellEnd"/>
      <w:r w:rsidRPr="009959D1">
        <w:t xml:space="preserve"> masked-image modeling) that produces a CLS token already well-positioned in the representational space </w:t>
      </w:r>
      <w:r w:rsidR="00492D15">
        <w:fldChar w:fldCharType="begin"/>
      </w:r>
      <w:r w:rsidR="00492D15">
        <w:instrText xml:space="preserve"> ADDIN EN.CITE &lt;EndNote&gt;&lt;Cite&gt;&lt;Author&gt;Oquab&lt;/Author&gt;&lt;Year&gt;2023&lt;/Year&gt;&lt;RecNum&gt;1353&lt;/RecNum&gt;&lt;DisplayText&gt;(Oquab et al. 2023)&lt;/DisplayText&gt;&lt;record&gt;&lt;rec-number&gt;1353&lt;/rec-number&gt;&lt;foreign-keys&gt;&lt;key app="EN" db-id="dx50w9txmzwp0uex5r95r20sfz029raapfrf" timestamp="1776429744"&gt;1353&lt;/key&gt;&lt;/foreign-keys&gt;&lt;ref-type name="Journal Article"&gt;17&lt;/ref-type&gt;&lt;contributors&gt;&lt;authors&gt;&lt;author&gt;Oquab, Maxime&lt;/author&gt;&lt;author&gt;Darcet, Timothée&lt;/author&gt;&lt;author&gt;Moutakanni, Théo&lt;/author&gt;&lt;author&gt;Vo, Huy&lt;/author&gt;&lt;author&gt;Szafraniec, Marc&lt;/author&gt;&lt;author&gt;Khalidov, Vasil&lt;/author&gt;&lt;author&gt;Fernandez, Pierre&lt;/author&gt;&lt;author&gt;Haziza, Daniel&lt;/author&gt;&lt;author&gt;Massa, Francisco&lt;/author&gt;&lt;author&gt;El-Nouby, Alaaeldin&lt;/author&gt;&lt;/authors&gt;&lt;/contributors&gt;&lt;titles&gt;&lt;title&gt;Dinov2: Learning robust visual features without supervision&lt;/title&gt;&lt;secondary-title&gt;arXiv preprint arXiv:2304.07193&lt;/secondary-title&gt;&lt;/titles&gt;&lt;periodical&gt;&lt;full-title&gt;arXiv preprint arXiv:2304.07193&lt;/full-title&gt;&lt;/periodical&gt;&lt;dates&gt;&lt;year&gt;2023&lt;/year&gt;&lt;/dates&gt;&lt;urls&gt;&lt;/urls&gt;&lt;/record&gt;&lt;/Cite&gt;&lt;/EndNote&gt;</w:instrText>
      </w:r>
      <w:r w:rsidR="00492D15">
        <w:fldChar w:fldCharType="separate"/>
      </w:r>
      <w:r w:rsidR="00492D15">
        <w:rPr>
          <w:noProof/>
        </w:rPr>
        <w:t>(Oquab et al. 2023)</w:t>
      </w:r>
      <w:r w:rsidR="00492D15">
        <w:fldChar w:fldCharType="end"/>
      </w:r>
      <w:r w:rsidRPr="009959D1">
        <w:t xml:space="preserve">; in other transformer encoders without such training, the CLS token is often weaker than pooled patch features, but in DINOv2 it is a strong global descriptor in its own right. Second, the </w:t>
      </w:r>
      <w:proofErr w:type="spellStart"/>
      <w:r w:rsidRPr="009959D1">
        <w:t>Kırşehir</w:t>
      </w:r>
      <w:proofErr w:type="spellEnd"/>
      <w:r w:rsidRPr="009959D1">
        <w:t xml:space="preserve"> dataset exhibits limited intra-street spatial variation: within a single street segment at four cardinal headings, the patch-level statistics change substantially (e.g., one facade per image), while the semantic content (residential apartment blocks of similar style) remains consistent. A </w:t>
      </w:r>
      <w:proofErr w:type="spellStart"/>
      <w:r w:rsidRPr="009959D1">
        <w:t>GeM</w:t>
      </w:r>
      <w:proofErr w:type="spellEnd"/>
      <w:r w:rsidRPr="009959D1">
        <w:t>-pooled representation may therefore absorb more heading-specific variance than is useful for cross-heading matching, whereas the CLS token provides a more heading-invariant summary. Third, our training schedule is short (5 epochs</w:t>
      </w:r>
      <w:proofErr w:type="gramStart"/>
      <w:r w:rsidRPr="009959D1">
        <w:t>)</w:t>
      </w:r>
      <w:proofErr w:type="gramEnd"/>
      <w:r w:rsidRPr="009959D1">
        <w:t xml:space="preserve"> and the patch-token </w:t>
      </w:r>
      <w:proofErr w:type="spellStart"/>
      <w:r w:rsidRPr="009959D1">
        <w:t>GeM</w:t>
      </w:r>
      <w:proofErr w:type="spellEnd"/>
      <w:r w:rsidRPr="009959D1">
        <w:t xml:space="preserve"> exponent is a learnable parameter; longer training may allow </w:t>
      </w:r>
      <w:proofErr w:type="spellStart"/>
      <w:r w:rsidRPr="009959D1">
        <w:t>GeM</w:t>
      </w:r>
      <w:proofErr w:type="spellEnd"/>
      <w:r w:rsidRPr="009959D1">
        <w:t xml:space="preserve"> to surpass CLS, but we did not observe clear signs of underfitting in the training loss, which plateaued after the third epoch. These observations suggest that the default choice of </w:t>
      </w:r>
      <w:proofErr w:type="spellStart"/>
      <w:r w:rsidRPr="009959D1">
        <w:t>GeM</w:t>
      </w:r>
      <w:proofErr w:type="spellEnd"/>
      <w:r w:rsidRPr="009959D1">
        <w:t xml:space="preserve"> pooling for DINOv2-based VPR should not be assumed to be strictly optimal, particularly </w:t>
      </w:r>
      <w:proofErr w:type="gramStart"/>
      <w:r w:rsidRPr="009959D1">
        <w:t>on</w:t>
      </w:r>
      <w:proofErr w:type="gramEnd"/>
      <w:r w:rsidRPr="009959D1">
        <w:t xml:space="preserve"> small, architecturally homogeneous cities; ablations against CLS pooling deserve routine inclusion in future studies.</w:t>
      </w:r>
    </w:p>
    <w:p w14:paraId="73097A19" w14:textId="77777777" w:rsidR="009959D1" w:rsidRPr="009959D1" w:rsidRDefault="009959D1" w:rsidP="009959D1">
      <w:pPr>
        <w:rPr>
          <w:b/>
          <w:bCs/>
        </w:rPr>
      </w:pPr>
      <w:r w:rsidRPr="009959D1">
        <w:rPr>
          <w:b/>
          <w:bCs/>
        </w:rPr>
        <w:t xml:space="preserve">5.4. Why Does </w:t>
      </w:r>
      <w:proofErr w:type="spellStart"/>
      <w:r w:rsidRPr="009959D1">
        <w:rPr>
          <w:b/>
          <w:bCs/>
        </w:rPr>
        <w:t>LightGlue</w:t>
      </w:r>
      <w:proofErr w:type="spellEnd"/>
      <w:r w:rsidRPr="009959D1">
        <w:rPr>
          <w:b/>
          <w:bCs/>
        </w:rPr>
        <w:t>-Based Re-Ranking Degrade Performance?</w:t>
      </w:r>
    </w:p>
    <w:p w14:paraId="4D9DF902" w14:textId="66DEAFB9" w:rsidR="009959D1" w:rsidRPr="009959D1" w:rsidRDefault="009959D1" w:rsidP="009959D1">
      <w:r w:rsidRPr="009959D1">
        <w:t xml:space="preserve">The most striking negative result in this study is that </w:t>
      </w:r>
      <w:proofErr w:type="spellStart"/>
      <w:r w:rsidRPr="009959D1">
        <w:t>LightGlue</w:t>
      </w:r>
      <w:proofErr w:type="spellEnd"/>
      <w:r w:rsidRPr="009959D1">
        <w:t xml:space="preserve">-based re-ranking harms performance in all configurations tested. Uniform re-ranking across the </w:t>
      </w:r>
      <w:proofErr w:type="gramStart"/>
      <w:r w:rsidRPr="009959D1">
        <w:t>Top-20</w:t>
      </w:r>
      <w:proofErr w:type="gramEnd"/>
      <w:r w:rsidRPr="009959D1">
        <w:t xml:space="preserve"> candidates </w:t>
      </w:r>
      <w:proofErr w:type="gramStart"/>
      <w:r w:rsidRPr="009959D1">
        <w:t>reduces</w:t>
      </w:r>
      <w:proofErr w:type="gramEnd"/>
      <w:r w:rsidRPr="009959D1">
        <w:t xml:space="preserve"> street accuracy from 74.70% to 48.32–49.41%, and the conditional </w:t>
      </w:r>
      <w:r w:rsidRPr="009959D1">
        <w:lastRenderedPageBreak/>
        <w:t xml:space="preserve">pipeline produces a monotonic degradation as the fraction of </w:t>
      </w:r>
      <w:proofErr w:type="spellStart"/>
      <w:r w:rsidRPr="009959D1">
        <w:t>LightGlue</w:t>
      </w:r>
      <w:proofErr w:type="spellEnd"/>
      <w:r w:rsidRPr="009959D1">
        <w:t xml:space="preserve">-processed queries grows (Table 4). This outcome contrasts sharply with the well-documented advantages of two-stage global-then-local pipelines on standard VPR benchmarks </w:t>
      </w:r>
      <w:r w:rsidR="00492D15">
        <w:fldChar w:fldCharType="begin"/>
      </w:r>
      <w:r w:rsidR="00492D15">
        <w:instrText xml:space="preserve"> ADDIN EN.CITE &lt;EndNote&gt;&lt;Cite&gt;&lt;Author&gt;Lindenberger&lt;/Author&gt;&lt;Year&gt;2023&lt;/Year&gt;&lt;RecNum&gt;1360&lt;/RecNum&gt;&lt;DisplayText&gt;(Hausler et al. 2021; Lindenberger et al. 2023)&lt;/DisplayText&gt;&lt;record&gt;&lt;rec-number&gt;1360&lt;/rec-number&gt;&lt;foreign-keys&gt;&lt;key app="EN" db-id="dx50w9txmzwp0uex5r95r20sfz029raapfrf" timestamp="1776430326"&gt;1360&lt;/key&gt;&lt;/foreign-keys&gt;&lt;ref-type name="Conference Proceedings"&gt;10&lt;/ref-type&gt;&lt;contributors&gt;&lt;authors&gt;&lt;author&gt;Lindenberger, Philipp&lt;/author&gt;&lt;author&gt;Sarlin, Paul-Edouard&lt;/author&gt;&lt;author&gt;Pollefeys, Marc&lt;/author&gt;&lt;/authors&gt;&lt;/contributors&gt;&lt;titles&gt;&lt;title&gt;Lightglue: Local feature matching at light speed&lt;/title&gt;&lt;secondary-title&gt;Proceedings of the IEEE/CVF international conference on computer vision&lt;/secondary-title&gt;&lt;/titles&gt;&lt;pages&gt;17627-17638&lt;/pages&gt;&lt;dates&gt;&lt;year&gt;2023&lt;/year&gt;&lt;/dates&gt;&lt;urls&gt;&lt;/urls&gt;&lt;/record&gt;&lt;/Cite&gt;&lt;Cite&gt;&lt;Author&gt;Hausler&lt;/Author&gt;&lt;Year&gt;2021&lt;/Year&gt;&lt;RecNum&gt;1356&lt;/RecNum&gt;&lt;record&gt;&lt;rec-number&gt;1356&lt;/rec-number&gt;&lt;foreign-keys&gt;&lt;key app="EN" db-id="dx50w9txmzwp0uex5r95r20sfz029raapfrf" timestamp="1776430036"&gt;1356&lt;/key&gt;&lt;/foreign-keys&gt;&lt;ref-type name="Conference Proceedings"&gt;10&lt;/ref-type&gt;&lt;contributors&gt;&lt;authors&gt;&lt;author&gt;Hausler, Stephen&lt;/author&gt;&lt;author&gt;Garg, Sourav&lt;/author&gt;&lt;author&gt;Xu, Ming&lt;/author&gt;&lt;author&gt;Milford, Michael&lt;/author&gt;&lt;author&gt;Fischer, Tobias&lt;/author&gt;&lt;/authors&gt;&lt;/contributors&gt;&lt;titles&gt;&lt;title&gt;Patch-netvlad: Multi-scale fusion of locally-global descriptors for place recognition&lt;/title&gt;&lt;secondary-title&gt;Proceedings of the IEEE/CVF conference on computer vision and pattern recognition&lt;/secondary-title&gt;&lt;/titles&gt;&lt;pages&gt;14141-14152&lt;/pages&gt;&lt;dates&gt;&lt;year&gt;2021&lt;/year&gt;&lt;/dates&gt;&lt;urls&gt;&lt;/urls&gt;&lt;/record&gt;&lt;/Cite&gt;&lt;/EndNote&gt;</w:instrText>
      </w:r>
      <w:r w:rsidR="00492D15">
        <w:fldChar w:fldCharType="separate"/>
      </w:r>
      <w:r w:rsidR="00492D15">
        <w:rPr>
          <w:noProof/>
        </w:rPr>
        <w:t>(Hausler et al. 2021; Lindenberger et al. 2023)</w:t>
      </w:r>
      <w:r w:rsidR="00492D15">
        <w:fldChar w:fldCharType="end"/>
      </w:r>
      <w:r w:rsidRPr="009959D1">
        <w:t>, and therefore requires careful examination.</w:t>
      </w:r>
    </w:p>
    <w:p w14:paraId="4066992B" w14:textId="0B87C890" w:rsidR="009959D1" w:rsidRPr="009959D1" w:rsidRDefault="009959D1" w:rsidP="009959D1">
      <w:r w:rsidRPr="009959D1">
        <w:t>We identify three likely, non-</w:t>
      </w:r>
      <w:proofErr w:type="gramStart"/>
      <w:r w:rsidRPr="009959D1">
        <w:t>mutually-exclusive</w:t>
      </w:r>
      <w:proofErr w:type="gramEnd"/>
      <w:r w:rsidRPr="009959D1">
        <w:t xml:space="preserve"> causes. The first concerns the imagery itself. Google Street View images are produced by a multi-camera rig and are stitched from multiple physical sensors </w:t>
      </w:r>
      <w:r w:rsidR="00654241">
        <w:fldChar w:fldCharType="begin"/>
      </w:r>
      <w:r w:rsidR="00654241">
        <w:instrText xml:space="preserve"> ADDIN EN.CITE &lt;EndNote&gt;&lt;Cite&gt;&lt;Author&gt;Anguelov&lt;/Author&gt;&lt;Year&gt;2010&lt;/Year&gt;&lt;RecNum&gt;1371&lt;/RecNum&gt;&lt;DisplayText&gt;(Anguelov et al. 2010)&lt;/DisplayText&gt;&lt;record&gt;&lt;rec-number&gt;1371&lt;/rec-number&gt;&lt;foreign-keys&gt;&lt;key app="EN" db-id="dx50w9txmzwp0uex5r95r20sfz029raapfrf" timestamp="1776455590"&gt;1371&lt;/key&gt;&lt;/foreign-keys&gt;&lt;ref-type name="Journal Article"&gt;17&lt;/ref-type&gt;&lt;contributors&gt;&lt;authors&gt;&lt;author&gt;Anguelov, Dragomir&lt;/author&gt;&lt;author&gt;Dulong, Carole&lt;/author&gt;&lt;author&gt;Filip, Daniel&lt;/author&gt;&lt;author&gt;Frueh, Christian&lt;/author&gt;&lt;author&gt;Lafon, Stéphane&lt;/author&gt;&lt;author&gt;Lyon, Richard&lt;/author&gt;&lt;author&gt;Ogale, Abhijit&lt;/author&gt;&lt;author&gt;Vincent, Luc&lt;/author&gt;&lt;author&gt;Weaver, Josh&lt;/author&gt;&lt;/authors&gt;&lt;/contributors&gt;&lt;titles&gt;&lt;title&gt;Google street view: Capturing the world at street level&lt;/title&gt;&lt;secondary-title&gt;Computer&lt;/secondary-title&gt;&lt;/titles&gt;&lt;periodical&gt;&lt;full-title&gt;Computer&lt;/full-title&gt;&lt;/periodical&gt;&lt;pages&gt;32-38&lt;/pages&gt;&lt;volume&gt;43&lt;/volume&gt;&lt;number&gt;6&lt;/number&gt;&lt;dates&gt;&lt;year&gt;2010&lt;/year&gt;&lt;/dates&gt;&lt;isbn&gt;0018-9162&lt;/isbn&gt;&lt;urls&gt;&lt;/urls&gt;&lt;/record&gt;&lt;/Cite&gt;&lt;/EndNote&gt;</w:instrText>
      </w:r>
      <w:r w:rsidR="00654241">
        <w:fldChar w:fldCharType="separate"/>
      </w:r>
      <w:r w:rsidR="00654241">
        <w:rPr>
          <w:noProof/>
        </w:rPr>
        <w:t>(Anguelov et al. 2010)</w:t>
      </w:r>
      <w:r w:rsidR="00654241">
        <w:fldChar w:fldCharType="end"/>
      </w:r>
      <w:r w:rsidRPr="009959D1">
        <w:t xml:space="preserve">; they are geometrically re-projected and subjected to automatic white-balance and exposure normalization that differ across capture sessions. Local </w:t>
      </w:r>
      <w:proofErr w:type="spellStart"/>
      <w:r w:rsidRPr="009959D1">
        <w:t>keypoint</w:t>
      </w:r>
      <w:proofErr w:type="spellEnd"/>
      <w:r w:rsidRPr="009959D1">
        <w:t xml:space="preserve"> detectors such as ALIKED </w:t>
      </w:r>
      <w:r w:rsidR="00654241">
        <w:fldChar w:fldCharType="begin"/>
      </w:r>
      <w:r w:rsidR="00654241">
        <w:instrText xml:space="preserve"> ADDIN EN.CITE &lt;EndNote&gt;&lt;Cite&gt;&lt;Author&gt;Zhao&lt;/Author&gt;&lt;Year&gt;2023&lt;/Year&gt;&lt;RecNum&gt;1359&lt;/RecNum&gt;&lt;DisplayText&gt;(Zhao et al. 2023)&lt;/DisplayText&gt;&lt;record&gt;&lt;rec-number&gt;1359&lt;/rec-number&gt;&lt;foreign-keys&gt;&lt;key app="EN" db-id="dx50w9txmzwp0uex5r95r20sfz029raapfrf" timestamp="1776430282"&gt;1359&lt;/key&gt;&lt;/foreign-keys&gt;&lt;ref-type name="Journal Article"&gt;17&lt;/ref-type&gt;&lt;contributors&gt;&lt;authors&gt;&lt;author&gt;Zhao, Xiaoming&lt;/author&gt;&lt;author&gt;Wu, Xingming&lt;/author&gt;&lt;author&gt;Chen, Weihai&lt;/author&gt;&lt;author&gt;Chen, Peter CY&lt;/author&gt;&lt;author&gt;Xu, Qingsong&lt;/author&gt;&lt;author&gt;Li, Zhengguo&lt;/author&gt;&lt;/authors&gt;&lt;/contributors&gt;&lt;titles&gt;&lt;title&gt;Aliked: A lighter keypoint and descriptor extraction network via deformable transformation&lt;/title&gt;&lt;secondary-title&gt;IEEE Transactions on Instrumentation and Measurement&lt;/secondary-title&gt;&lt;/titles&gt;&lt;periodical&gt;&lt;full-title&gt;IEEE Transactions on Instrumentation and Measurement&lt;/full-title&gt;&lt;/periodical&gt;&lt;pages&gt;1-16&lt;/pages&gt;&lt;volume&gt;72&lt;/volume&gt;&lt;dates&gt;&lt;year&gt;2023&lt;/year&gt;&lt;/dates&gt;&lt;isbn&gt;0018-9456&lt;/isbn&gt;&lt;urls&gt;&lt;/urls&gt;&lt;/record&gt;&lt;/Cite&gt;&lt;/EndNote&gt;</w:instrText>
      </w:r>
      <w:r w:rsidR="00654241">
        <w:fldChar w:fldCharType="separate"/>
      </w:r>
      <w:r w:rsidR="00654241">
        <w:rPr>
          <w:noProof/>
        </w:rPr>
        <w:t>(Zhao et al. 2023)</w:t>
      </w:r>
      <w:r w:rsidR="00654241">
        <w:fldChar w:fldCharType="end"/>
      </w:r>
      <w:r w:rsidRPr="009959D1">
        <w:t xml:space="preserve"> are sensitive to consistent local texture, and stitching seams, rolling-shutter artefacts, and automatic post-processing can introduce spurious </w:t>
      </w:r>
      <w:proofErr w:type="spellStart"/>
      <w:r w:rsidRPr="009959D1">
        <w:t>keypoints</w:t>
      </w:r>
      <w:proofErr w:type="spellEnd"/>
      <w:r w:rsidRPr="009959D1">
        <w:t xml:space="preserve">. Once such </w:t>
      </w:r>
      <w:proofErr w:type="spellStart"/>
      <w:r w:rsidRPr="009959D1">
        <w:t>keypoints</w:t>
      </w:r>
      <w:proofErr w:type="spellEnd"/>
      <w:r w:rsidRPr="009959D1">
        <w:t xml:space="preserve"> dominate an image, they tend to match among themselves and produce high match counts that do not reflect the actual scene geometry.</w:t>
      </w:r>
    </w:p>
    <w:p w14:paraId="3B0EDF7D" w14:textId="51273BA4" w:rsidR="009959D1" w:rsidRPr="009959D1" w:rsidRDefault="009959D1" w:rsidP="009959D1">
      <w:r w:rsidRPr="009959D1">
        <w:t xml:space="preserve">The second concerns the content of </w:t>
      </w:r>
      <w:proofErr w:type="spellStart"/>
      <w:r w:rsidRPr="009959D1">
        <w:t>Kırşehir</w:t>
      </w:r>
      <w:proofErr w:type="spellEnd"/>
      <w:r w:rsidRPr="009959D1">
        <w:t xml:space="preserve"> street scenes. A large fraction of the dataset shows plastered apartment facades, uniform sidewalks, standardized road surfaces, commercial signage, and repetitive window grids. These structures are, by construction, textures that are locally self-similar, which is exactly the regime in which local </w:t>
      </w:r>
      <w:proofErr w:type="spellStart"/>
      <w:r w:rsidRPr="009959D1">
        <w:t>keypoint</w:t>
      </w:r>
      <w:proofErr w:type="spellEnd"/>
      <w:r w:rsidRPr="009959D1">
        <w:t xml:space="preserve"> matchers are known to produce confident but wrong matches </w:t>
      </w:r>
      <w:r w:rsidR="00654241">
        <w:fldChar w:fldCharType="begin"/>
      </w:r>
      <w:r w:rsidR="00654241">
        <w:instrText xml:space="preserve"> ADDIN EN.CITE &lt;EndNote&gt;&lt;Cite&gt;&lt;Author&gt;Sattler&lt;/Author&gt;&lt;Year&gt;2018&lt;/Year&gt;&lt;RecNum&gt;1361&lt;/RecNum&gt;&lt;DisplayText&gt;(Sattler et al. 2018)&lt;/DisplayText&gt;&lt;record&gt;&lt;rec-number&gt;1361&lt;/rec-number&gt;&lt;foreign-keys&gt;&lt;key app="EN" db-id="dx50w9txmzwp0uex5r95r20sfz029raapfrf" timestamp="1776430380"&gt;1361&lt;/key&gt;&lt;/foreign-keys&gt;&lt;ref-type name="Conference Proceedings"&gt;10&lt;/ref-type&gt;&lt;contributors&gt;&lt;authors&gt;&lt;author&gt;Sattler, Torsten&lt;/author&gt;&lt;author&gt;Maddern, Will&lt;/author&gt;&lt;author&gt;Toft, Carl&lt;/author&gt;&lt;author&gt;Torii, Akihiko&lt;/author&gt;&lt;author&gt;Hammarstrand, Lars&lt;/author&gt;&lt;author&gt;Stenborg, Erik&lt;/author&gt;&lt;author&gt;Safari, Daniel&lt;/author&gt;&lt;author&gt;Okutomi, Masatoshi&lt;/author&gt;&lt;author&gt;Pollefeys, Marc&lt;/author&gt;&lt;author&gt;Sivic, Josef&lt;/author&gt;&lt;/authors&gt;&lt;/contributors&gt;&lt;titles&gt;&lt;title&gt;Benchmarking 6dof outdoor visual localization in changing conditions&lt;/title&gt;&lt;secondary-title&gt;Proceedings of the IEEE conference on computer vision and pattern recognition&lt;/secondary-title&gt;&lt;/titles&gt;&lt;pages&gt;8601-8610&lt;/pages&gt;&lt;dates&gt;&lt;year&gt;2018&lt;/year&gt;&lt;/dates&gt;&lt;urls&gt;&lt;/urls&gt;&lt;/record&gt;&lt;/Cite&gt;&lt;/EndNote&gt;</w:instrText>
      </w:r>
      <w:r w:rsidR="00654241">
        <w:fldChar w:fldCharType="separate"/>
      </w:r>
      <w:r w:rsidR="00654241">
        <w:rPr>
          <w:noProof/>
        </w:rPr>
        <w:t>(Sattler et al. 2018)</w:t>
      </w:r>
      <w:r w:rsidR="00654241">
        <w:fldChar w:fldCharType="end"/>
      </w:r>
      <w:r w:rsidRPr="009959D1">
        <w:t>. In this regime, the number of matches between a query and a non-matching candidate (e.g., a similarly styled apartment on a different street) can exceed the number of matches to the correct place if the correct place happens to be viewed from a different heading and therefore shares fewer directly comparable local features.</w:t>
      </w:r>
    </w:p>
    <w:p w14:paraId="44A08238" w14:textId="77777777" w:rsidR="009959D1" w:rsidRPr="009959D1" w:rsidRDefault="009959D1" w:rsidP="009959D1">
      <w:r w:rsidRPr="009959D1">
        <w:t xml:space="preserve">The third concerns the structure of the </w:t>
      </w:r>
      <w:proofErr w:type="gramStart"/>
      <w:r w:rsidRPr="009959D1">
        <w:t>Top-N</w:t>
      </w:r>
      <w:proofErr w:type="gramEnd"/>
      <w:r w:rsidRPr="009959D1">
        <w:t xml:space="preserve"> pool. On large benchmarks, Stage-1 retrieval typically returns several visually distinct candidates in its </w:t>
      </w:r>
      <w:proofErr w:type="gramStart"/>
      <w:r w:rsidRPr="009959D1">
        <w:t>Top-N</w:t>
      </w:r>
      <w:proofErr w:type="gramEnd"/>
      <w:r w:rsidRPr="009959D1">
        <w:t xml:space="preserve">, among which the correct one can be isolated by geometric verification. On </w:t>
      </w:r>
      <w:proofErr w:type="spellStart"/>
      <w:r w:rsidRPr="009959D1">
        <w:t>Kırşehir</w:t>
      </w:r>
      <w:proofErr w:type="spellEnd"/>
      <w:r w:rsidRPr="009959D1">
        <w:t xml:space="preserve">, the first-stage output is already tightly tuned to the target (81.24% R@1 at 100 m), and the remaining 18.76% of </w:t>
      </w:r>
      <w:proofErr w:type="gramStart"/>
      <w:r w:rsidRPr="009959D1">
        <w:t>Top-1</w:t>
      </w:r>
      <w:proofErr w:type="gramEnd"/>
      <w:r w:rsidRPr="009959D1">
        <w:t xml:space="preserve"> errors involve candidates that are either visually indistinguishable from the query (perceptual aliasing cases; Section 4.7.3) or located in under-sampled regions of the database. In both cases, local feature matching cannot recover the correct place because the information needed is not present in the geometry. Under these conditions, </w:t>
      </w:r>
      <w:proofErr w:type="spellStart"/>
      <w:r w:rsidRPr="009959D1">
        <w:t>LightGlue's</w:t>
      </w:r>
      <w:proofErr w:type="spellEnd"/>
      <w:r w:rsidRPr="009959D1">
        <w:t xml:space="preserve"> ranking based on match counts effectively re-randomizes a near-optimal ordering, which explains the consistent performance drop. Our hybrid-score variant — which reduces the advantage of low-confidence matches — partially mitigates but does not reverse the effect (Table 3).</w:t>
      </w:r>
    </w:p>
    <w:p w14:paraId="5CB086F1" w14:textId="029490F7" w:rsidR="009959D1" w:rsidRPr="009959D1" w:rsidRDefault="009959D1" w:rsidP="009959D1">
      <w:r w:rsidRPr="009959D1">
        <w:t xml:space="preserve">Taken together, these observations do not imply that two-stage pipelines are inherently inappropriate for VPR, but rather that local geometric verification is most useful when Stage-1 retrieval is weaker than Stage-2 geometric reasoning. On this dataset, the opposite holds: the fine-tuned DINOv2 descriptor is stronger than the </w:t>
      </w:r>
      <w:proofErr w:type="spellStart"/>
      <w:r w:rsidRPr="009959D1">
        <w:t>ALIKED+LightGlue</w:t>
      </w:r>
      <w:proofErr w:type="spellEnd"/>
      <w:r w:rsidRPr="009959D1">
        <w:t xml:space="preserve"> </w:t>
      </w:r>
      <w:r w:rsidRPr="009959D1">
        <w:lastRenderedPageBreak/>
        <w:t xml:space="preserve">evidence it could be re-ranked with. This finding aligns with recent work showing that for sufficiently well-adapted global descriptors, simpler single-stage pipelines can outperform heavier re-ranking schemes in practical deployments </w:t>
      </w:r>
      <w:r w:rsidR="00654241">
        <w:fldChar w:fldCharType="begin"/>
      </w:r>
      <w:r w:rsidR="00654241">
        <w:instrText xml:space="preserve"> ADDIN EN.CITE &lt;EndNote&gt;&lt;Cite&gt;&lt;Author&gt;Ali-Bey&lt;/Author&gt;&lt;Year&gt;2023&lt;/Year&gt;&lt;RecNum&gt;1357&lt;/RecNum&gt;&lt;DisplayText&gt;(Ali-Bey et al. 2023)&lt;/DisplayText&gt;&lt;record&gt;&lt;rec-number&gt;1357&lt;/rec-number&gt;&lt;foreign-keys&gt;&lt;key app="EN" db-id="dx50w9txmzwp0uex5r95r20sfz029raapfrf" timestamp="1776430143"&gt;1357&lt;/key&gt;&lt;/foreign-keys&gt;&lt;ref-type name="Conference Proceedings"&gt;10&lt;/ref-type&gt;&lt;contributors&gt;&lt;authors&gt;&lt;author&gt;Ali-Bey, Amar&lt;/author&gt;&lt;author&gt;Chaib-Draa, Brahim&lt;/author&gt;&lt;author&gt;Giguere, Philippe&lt;/author&gt;&lt;/authors&gt;&lt;/contributors&gt;&lt;titles&gt;&lt;title&gt;Mixvpr: Feature mixing for visual place recognition&lt;/title&gt;&lt;secondary-title&gt;Proceedings of the IEEE/CVF winter conference on applications of computer vision&lt;/secondary-title&gt;&lt;/titles&gt;&lt;pages&gt;2998-3007&lt;/pages&gt;&lt;dates&gt;&lt;year&gt;2023&lt;/year&gt;&lt;/dates&gt;&lt;urls&gt;&lt;/urls&gt;&lt;/record&gt;&lt;/Cite&gt;&lt;/EndNote&gt;</w:instrText>
      </w:r>
      <w:r w:rsidR="00654241">
        <w:fldChar w:fldCharType="separate"/>
      </w:r>
      <w:r w:rsidR="00654241">
        <w:rPr>
          <w:noProof/>
        </w:rPr>
        <w:t>(Ali-Bey et al. 2023)</w:t>
      </w:r>
      <w:r w:rsidR="00654241">
        <w:fldChar w:fldCharType="end"/>
      </w:r>
      <w:r w:rsidRPr="009959D1">
        <w:t>.</w:t>
      </w:r>
    </w:p>
    <w:p w14:paraId="7B35BB44" w14:textId="77777777" w:rsidR="009959D1" w:rsidRPr="009959D1" w:rsidRDefault="009959D1" w:rsidP="009959D1">
      <w:pPr>
        <w:rPr>
          <w:b/>
          <w:bCs/>
        </w:rPr>
      </w:pPr>
      <w:r w:rsidRPr="009959D1">
        <w:rPr>
          <w:b/>
          <w:bCs/>
        </w:rPr>
        <w:t>5.5. Cosine Similarity Is Not a Usable Confidence Signal Here</w:t>
      </w:r>
    </w:p>
    <w:p w14:paraId="575E193C" w14:textId="77777777" w:rsidR="009959D1" w:rsidRPr="009959D1" w:rsidRDefault="009959D1" w:rsidP="009959D1">
      <w:r w:rsidRPr="009959D1">
        <w:t xml:space="preserve">The confidence-based rejection analysis in Section 4.5 shows that sweeping the </w:t>
      </w:r>
      <w:proofErr w:type="gramStart"/>
      <w:r w:rsidRPr="009959D1">
        <w:t>Top-1</w:t>
      </w:r>
      <w:proofErr w:type="gramEnd"/>
      <w:r w:rsidRPr="009959D1">
        <w:t xml:space="preserve"> cosine similarity threshold across [0.60, 0.95] does not produce a coverage range in which rejected queries are systematically worse than accepted ones. The accuracy–coverage curve is nearly </w:t>
      </w:r>
      <w:proofErr w:type="gramStart"/>
      <w:r w:rsidRPr="009959D1">
        <w:t>flat</w:t>
      </w:r>
      <w:proofErr w:type="gramEnd"/>
      <w:r w:rsidRPr="009959D1">
        <w:t xml:space="preserve"> and the automatically selected operating point coincides with accepting all queries. The underlying reason is visible in the score distributions (Section 4.7.3): the DINOv2 scores of correctly and incorrectly localized queries overlap heavily between 0.75 and 0.95, with only a modest shift in their means.</w:t>
      </w:r>
    </w:p>
    <w:p w14:paraId="4FFB049D" w14:textId="77777777" w:rsidR="009959D1" w:rsidRPr="009959D1" w:rsidRDefault="009959D1" w:rsidP="009959D1">
      <w:r w:rsidRPr="009959D1">
        <w:t>This behavior is a symptom of the broader problem of confidence calibration in deep retrieval models. Cosine similarity is a convenient proxy for similarity but is not a well-calibrated posterior probability, and this discrepancy is known to persist after standard metric-learning fine-tuning (Guo et al., 2017). For safety-critical deployments — such as autonomous navigation or emergency response — a more principled confidence estimator is necessary. Candidate approaches include geometric verification applied selectively to high-risk queries, ensemble disagreement across multiple descriptor heads, and explicit calibration via temperature scaling or conformal prediction. None of these were evaluated in the present study and they constitute a natural next step.</w:t>
      </w:r>
    </w:p>
    <w:p w14:paraId="6BECD180" w14:textId="77777777" w:rsidR="009959D1" w:rsidRPr="009959D1" w:rsidRDefault="009959D1" w:rsidP="009959D1">
      <w:pPr>
        <w:rPr>
          <w:b/>
          <w:bCs/>
        </w:rPr>
      </w:pPr>
      <w:r w:rsidRPr="009959D1">
        <w:rPr>
          <w:b/>
          <w:bCs/>
        </w:rPr>
        <w:t xml:space="preserve">5.6. Size–Performance Trade-off: The Case for </w:t>
      </w:r>
      <w:proofErr w:type="spellStart"/>
      <w:r w:rsidRPr="009959D1">
        <w:rPr>
          <w:b/>
          <w:bCs/>
        </w:rPr>
        <w:t>ViT</w:t>
      </w:r>
      <w:proofErr w:type="spellEnd"/>
      <w:r w:rsidRPr="009959D1">
        <w:rPr>
          <w:b/>
          <w:bCs/>
        </w:rPr>
        <w:t>-S/14</w:t>
      </w:r>
    </w:p>
    <w:p w14:paraId="772E0CDD" w14:textId="33281F5A" w:rsidR="009959D1" w:rsidRPr="009959D1" w:rsidRDefault="009959D1" w:rsidP="009959D1">
      <w:r w:rsidRPr="009959D1">
        <w:t xml:space="preserve">The comparison between </w:t>
      </w:r>
      <w:proofErr w:type="spellStart"/>
      <w:r w:rsidRPr="009959D1">
        <w:t>ViT</w:t>
      </w:r>
      <w:proofErr w:type="spellEnd"/>
      <w:r w:rsidRPr="009959D1">
        <w:t xml:space="preserve">-S/14 and </w:t>
      </w:r>
      <w:proofErr w:type="spellStart"/>
      <w:r w:rsidRPr="009959D1">
        <w:t>ViT</w:t>
      </w:r>
      <w:proofErr w:type="spellEnd"/>
      <w:r w:rsidRPr="009959D1">
        <w:t xml:space="preserve">-B/14 (Table 5) is arguably the most practically important result of this study. </w:t>
      </w:r>
      <w:proofErr w:type="spellStart"/>
      <w:r w:rsidRPr="009959D1">
        <w:t>ViT</w:t>
      </w:r>
      <w:proofErr w:type="spellEnd"/>
      <w:r w:rsidRPr="009959D1">
        <w:t xml:space="preserve">-S/14 retains 94.5% of the R@1&lt;100 m performance of </w:t>
      </w:r>
      <w:proofErr w:type="spellStart"/>
      <w:r w:rsidRPr="009959D1">
        <w:t>ViT</w:t>
      </w:r>
      <w:proofErr w:type="spellEnd"/>
      <w:r w:rsidRPr="009959D1">
        <w:t xml:space="preserve">-B/14 while using 25.6% of the parameters and 34.3% of the single-image inference time on identical hardware. For deployment on embedded systems, in-vehicle compute units, or mobile devices — all of which are the canonical target platforms for VPR </w:t>
      </w:r>
      <w:r w:rsidR="00654241">
        <w:fldChar w:fldCharType="begin"/>
      </w:r>
      <w:r w:rsidR="00654241">
        <w:instrText xml:space="preserve"> ADDIN EN.CITE &lt;EndNote&gt;&lt;Cite&gt;&lt;Author&gt;Lowry&lt;/Author&gt;&lt;Year&gt;2015&lt;/Year&gt;&lt;RecNum&gt;1349&lt;/RecNum&gt;&lt;DisplayText&gt;(Lowry et al. 2015)&lt;/DisplayText&gt;&lt;record&gt;&lt;rec-number&gt;1349&lt;/rec-number&gt;&lt;foreign-keys&gt;&lt;key app="EN" db-id="dx50w9txmzwp0uex5r95r20sfz029raapfrf" timestamp="1776429317"&gt;1349&lt;/key&gt;&lt;/foreign-keys&gt;&lt;ref-type name="Journal Article"&gt;17&lt;/ref-type&gt;&lt;contributors&gt;&lt;authors&gt;&lt;author&gt;Lowry, Stephanie&lt;/author&gt;&lt;author&gt;Sünderhauf, Niko&lt;/author&gt;&lt;author&gt;Newman, Paul&lt;/author&gt;&lt;author&gt;Leonard, John J&lt;/author&gt;&lt;author&gt;Cox, David&lt;/author&gt;&lt;author&gt;Corke, Peter&lt;/author&gt;&lt;author&gt;Milford, Michael J&lt;/author&gt;&lt;/authors&gt;&lt;/contributors&gt;&lt;titles&gt;&lt;title&gt;Visual place recognition: A survey&lt;/title&gt;&lt;secondary-title&gt;ieee transactions on robotics&lt;/secondary-title&gt;&lt;/titles&gt;&lt;periodical&gt;&lt;full-title&gt;ieee transactions on robotics&lt;/full-title&gt;&lt;/periodical&gt;&lt;pages&gt;1-19&lt;/pages&gt;&lt;volume&gt;32&lt;/volume&gt;&lt;number&gt;1&lt;/number&gt;&lt;dates&gt;&lt;year&gt;2015&lt;/year&gt;&lt;/dates&gt;&lt;isbn&gt;1552-3098&lt;/isbn&gt;&lt;urls&gt;&lt;/urls&gt;&lt;/record&gt;&lt;/Cite&gt;&lt;/EndNote&gt;</w:instrText>
      </w:r>
      <w:r w:rsidR="00654241">
        <w:fldChar w:fldCharType="separate"/>
      </w:r>
      <w:r w:rsidR="00654241">
        <w:rPr>
          <w:noProof/>
        </w:rPr>
        <w:t>(Lowry et al. 2015)</w:t>
      </w:r>
      <w:r w:rsidR="00654241">
        <w:fldChar w:fldCharType="end"/>
      </w:r>
      <w:r w:rsidRPr="009959D1">
        <w:t xml:space="preserve"> — this trade-off is highly favorable. The observation is also consistent with the broader finding in representation learning that, for moderately sized downstream datasets, the marginal return of scaling backbone capacity diminishes quickly once the pre-training is strong </w:t>
      </w:r>
      <w:r w:rsidR="00654241">
        <w:fldChar w:fldCharType="begin"/>
      </w:r>
      <w:r w:rsidR="00654241">
        <w:instrText xml:space="preserve"> ADDIN EN.CITE &lt;EndNote&gt;&lt;Cite&gt;&lt;Author&gt;Oquab&lt;/Author&gt;&lt;Year&gt;2023&lt;/Year&gt;&lt;RecNum&gt;1353&lt;/RecNum&gt;&lt;DisplayText&gt;(Oquab et al. 2023)&lt;/DisplayText&gt;&lt;record&gt;&lt;rec-number&gt;1353&lt;/rec-number&gt;&lt;foreign-keys&gt;&lt;key app="EN" db-id="dx50w9txmzwp0uex5r95r20sfz029raapfrf" timestamp="1776429744"&gt;1353&lt;/key&gt;&lt;/foreign-keys&gt;&lt;ref-type name="Journal Article"&gt;17&lt;/ref-type&gt;&lt;contributors&gt;&lt;authors&gt;&lt;author&gt;Oquab, Maxime&lt;/author&gt;&lt;author&gt;Darcet, Timothée&lt;/author&gt;&lt;author&gt;Moutakanni, Théo&lt;/author&gt;&lt;author&gt;Vo, Huy&lt;/author&gt;&lt;author&gt;Szafraniec, Marc&lt;/author&gt;&lt;author&gt;Khalidov, Vasil&lt;/author&gt;&lt;author&gt;Fernandez, Pierre&lt;/author&gt;&lt;author&gt;Haziza, Daniel&lt;/author&gt;&lt;author&gt;Massa, Francisco&lt;/author&gt;&lt;author&gt;El-Nouby, Alaaeldin&lt;/author&gt;&lt;/authors&gt;&lt;/contributors&gt;&lt;titles&gt;&lt;title&gt;Dinov2: Learning robust visual features without supervision&lt;/title&gt;&lt;secondary-title&gt;arXiv preprint arXiv:2304.07193&lt;/secondary-title&gt;&lt;/titles&gt;&lt;periodical&gt;&lt;full-title&gt;arXiv preprint arXiv:2304.07193&lt;/full-title&gt;&lt;/periodical&gt;&lt;dates&gt;&lt;year&gt;2023&lt;/year&gt;&lt;/dates&gt;&lt;urls&gt;&lt;/urls&gt;&lt;/record&gt;&lt;/Cite&gt;&lt;/EndNote&gt;</w:instrText>
      </w:r>
      <w:r w:rsidR="00654241">
        <w:fldChar w:fldCharType="separate"/>
      </w:r>
      <w:r w:rsidR="00654241">
        <w:rPr>
          <w:noProof/>
        </w:rPr>
        <w:t>(Oquab et al. 2023)</w:t>
      </w:r>
      <w:r w:rsidR="00654241">
        <w:fldChar w:fldCharType="end"/>
      </w:r>
      <w:r w:rsidRPr="009959D1">
        <w:t>.</w:t>
      </w:r>
    </w:p>
    <w:p w14:paraId="3CB073BF" w14:textId="77777777" w:rsidR="009959D1" w:rsidRPr="009959D1" w:rsidRDefault="009959D1" w:rsidP="009959D1">
      <w:r w:rsidRPr="009959D1">
        <w:t xml:space="preserve">From a methodological standpoint, this result also has implications for research practice. Many recent VPR papers adopt the largest available DINOv2 variant by default; our results suggest that </w:t>
      </w:r>
      <w:proofErr w:type="spellStart"/>
      <w:r w:rsidRPr="009959D1">
        <w:t>ViT</w:t>
      </w:r>
      <w:proofErr w:type="spellEnd"/>
      <w:r w:rsidRPr="009959D1">
        <w:t xml:space="preserve">-S/14 can serve as a viable proxy during development and ablation studies, substantially reducing </w:t>
      </w:r>
      <w:proofErr w:type="gramStart"/>
      <w:r w:rsidRPr="009959D1">
        <w:t>compute</w:t>
      </w:r>
      <w:proofErr w:type="gramEnd"/>
      <w:r w:rsidRPr="009959D1">
        <w:t xml:space="preserve"> requirements and iteration time without qualitatively changing the conclusions. The dominant failure modes observed on </w:t>
      </w:r>
      <w:proofErr w:type="spellStart"/>
      <w:r w:rsidRPr="009959D1">
        <w:t>ViT</w:t>
      </w:r>
      <w:proofErr w:type="spellEnd"/>
      <w:r w:rsidRPr="009959D1">
        <w:t xml:space="preserve">-S/14 (perceptual aliasing in residential streets, sparse-sampling errors in the tail) are the same as those of </w:t>
      </w:r>
      <w:proofErr w:type="spellStart"/>
      <w:r w:rsidRPr="009959D1">
        <w:t>ViT</w:t>
      </w:r>
      <w:proofErr w:type="spellEnd"/>
      <w:r w:rsidRPr="009959D1">
        <w:t>-B/14; the smaller model does not introduce new error categories, only amplifies existing ones.</w:t>
      </w:r>
    </w:p>
    <w:p w14:paraId="58552ACC" w14:textId="77777777" w:rsidR="009959D1" w:rsidRPr="009959D1" w:rsidRDefault="009959D1" w:rsidP="009959D1">
      <w:pPr>
        <w:rPr>
          <w:b/>
          <w:bCs/>
        </w:rPr>
      </w:pPr>
      <w:r w:rsidRPr="009959D1">
        <w:rPr>
          <w:b/>
          <w:bCs/>
        </w:rPr>
        <w:lastRenderedPageBreak/>
        <w:t>5.7. Perceptual Aliasing and Dataset Sparsity</w:t>
      </w:r>
    </w:p>
    <w:p w14:paraId="5657A7BA" w14:textId="32DAC884" w:rsidR="009959D1" w:rsidRPr="009959D1" w:rsidRDefault="009959D1" w:rsidP="009959D1">
      <w:r w:rsidRPr="009959D1">
        <w:t xml:space="preserve">Two distinct error regimes emerge from the error analysis in Section 4.7. The first is perceptual aliasing, defined here as high-confidence (upper-quartile score) misclassifications. This regime accounts for 16.2% of errors, and these errors are geographically concentrated on narrow residential streets with repetitive facades (e.g., 417. Sokak with 75% aliasing rate, 452. Sokak with 38%). Such aliasing is a well-documented failure mode of appearance-based place recognition </w:t>
      </w:r>
      <w:r w:rsidR="00654241">
        <w:fldChar w:fldCharType="begin"/>
      </w:r>
      <w:r w:rsidR="00654241">
        <w:instrText xml:space="preserve"> ADDIN EN.CITE &lt;EndNote&gt;&lt;Cite&gt;&lt;Author&gt;Sattler&lt;/Author&gt;&lt;Year&gt;2018&lt;/Year&gt;&lt;RecNum&gt;1361&lt;/RecNum&gt;&lt;DisplayText&gt;(Cummins &amp;amp; Newman 2008; Sattler et al. 2018)&lt;/DisplayText&gt;&lt;record&gt;&lt;rec-number&gt;1361&lt;/rec-number&gt;&lt;foreign-keys&gt;&lt;key app="EN" db-id="dx50w9txmzwp0uex5r95r20sfz029raapfrf" timestamp="1776430380"&gt;1361&lt;/key&gt;&lt;/foreign-keys&gt;&lt;ref-type name="Conference Proceedings"&gt;10&lt;/ref-type&gt;&lt;contributors&gt;&lt;authors&gt;&lt;author&gt;Sattler, Torsten&lt;/author&gt;&lt;author&gt;Maddern, Will&lt;/author&gt;&lt;author&gt;Toft, Carl&lt;/author&gt;&lt;author&gt;Torii, Akihiko&lt;/author&gt;&lt;author&gt;Hammarstrand, Lars&lt;/author&gt;&lt;author&gt;Stenborg, Erik&lt;/author&gt;&lt;author&gt;Safari, Daniel&lt;/author&gt;&lt;author&gt;Okutomi, Masatoshi&lt;/author&gt;&lt;author&gt;Pollefeys, Marc&lt;/author&gt;&lt;author&gt;Sivic, Josef&lt;/author&gt;&lt;/authors&gt;&lt;/contributors&gt;&lt;titles&gt;&lt;title&gt;Benchmarking 6dof outdoor visual localization in changing conditions&lt;/title&gt;&lt;secondary-title&gt;Proceedings of the IEEE conference on computer vision and pattern recognition&lt;/secondary-title&gt;&lt;/titles&gt;&lt;pages&gt;8601-8610&lt;/pages&gt;&lt;dates&gt;&lt;year&gt;2018&lt;/year&gt;&lt;/dates&gt;&lt;urls&gt;&lt;/urls&gt;&lt;/record&gt;&lt;/Cite&gt;&lt;Cite&gt;&lt;Author&gt;Cummins&lt;/Author&gt;&lt;Year&gt;2008&lt;/Year&gt;&lt;RecNum&gt;1350&lt;/RecNum&gt;&lt;record&gt;&lt;rec-number&gt;1350&lt;/rec-number&gt;&lt;foreign-keys&gt;&lt;key app="EN" db-id="dx50w9txmzwp0uex5r95r20sfz029raapfrf" timestamp="1776429449"&gt;1350&lt;/key&gt;&lt;/foreign-keys&gt;&lt;ref-type name="Journal Article"&gt;17&lt;/ref-type&gt;&lt;contributors&gt;&lt;authors&gt;&lt;author&gt;Cummins, Mark&lt;/author&gt;&lt;author&gt;Newman, Paul&lt;/author&gt;&lt;/authors&gt;&lt;/contributors&gt;&lt;titles&gt;&lt;title&gt;FAB-MAP: Probabilistic localization and mapping in the space of appearance&lt;/title&gt;&lt;secondary-title&gt;The International journal of robotics research&lt;/secondary-title&gt;&lt;/titles&gt;&lt;periodical&gt;&lt;full-title&gt;The International journal of robotics research&lt;/full-title&gt;&lt;/periodical&gt;&lt;pages&gt;647-665&lt;/pages&gt;&lt;volume&gt;27&lt;/volume&gt;&lt;number&gt;6&lt;/number&gt;&lt;dates&gt;&lt;year&gt;2008&lt;/year&gt;&lt;/dates&gt;&lt;isbn&gt;0278-3649&lt;/isbn&gt;&lt;urls&gt;&lt;/urls&gt;&lt;/record&gt;&lt;/Cite&gt;&lt;/EndNote&gt;</w:instrText>
      </w:r>
      <w:r w:rsidR="00654241">
        <w:fldChar w:fldCharType="separate"/>
      </w:r>
      <w:r w:rsidR="00654241">
        <w:rPr>
          <w:noProof/>
        </w:rPr>
        <w:t>(Cummins &amp; Newman 2008; Sattler et al. 2018)</w:t>
      </w:r>
      <w:r w:rsidR="00654241">
        <w:fldChar w:fldCharType="end"/>
      </w:r>
      <w:r w:rsidRPr="009959D1">
        <w:t>, and its prevalence here reflects a real property of the city rather than a methodological weakness.</w:t>
      </w:r>
    </w:p>
    <w:p w14:paraId="7BCA7FAE" w14:textId="77777777" w:rsidR="009959D1" w:rsidRPr="009959D1" w:rsidRDefault="009959D1" w:rsidP="009959D1">
      <w:r w:rsidRPr="009959D1">
        <w:t>The second regime, which accounts for the long right tail of the error distribution, is database sparsity. Streets that are represented in the test query set by a single query point (e.g., 1731. Sokak with n = 1 and a 3,982 m error) also have sparse database coverage, so no nearby candidates are available for retrieval. This is an artefact of the grid-based train/test split: when a geographic block falls entirely into the test side, the queries inside that block may have no geographically adjacent anchors in the database. A finer-grained split (e.g., 100 m grids instead of 222 m) or a balanced resampling strategy would reduce this tail, at the cost of reducing geographic independence between train and test.</w:t>
      </w:r>
    </w:p>
    <w:p w14:paraId="229132BE" w14:textId="77777777" w:rsidR="009959D1" w:rsidRPr="009959D1" w:rsidRDefault="009959D1" w:rsidP="009959D1">
      <w:r w:rsidRPr="009959D1">
        <w:t xml:space="preserve">The operational implication is that per-query performance should not be interpreted as uniform across the city. For downstream applications, it would be reasonable to stratify reliability estimates by local database density and by the presence of architecturally distinctive landmarks, rather than </w:t>
      </w:r>
      <w:proofErr w:type="gramStart"/>
      <w:r w:rsidRPr="009959D1">
        <w:t>to rely</w:t>
      </w:r>
      <w:proofErr w:type="gramEnd"/>
      <w:r w:rsidRPr="009959D1">
        <w:t xml:space="preserve"> on a single global metric such as median error.</w:t>
      </w:r>
    </w:p>
    <w:p w14:paraId="375478AB" w14:textId="77777777" w:rsidR="009959D1" w:rsidRPr="009959D1" w:rsidRDefault="009959D1" w:rsidP="009959D1">
      <w:pPr>
        <w:rPr>
          <w:b/>
          <w:bCs/>
        </w:rPr>
      </w:pPr>
      <w:r w:rsidRPr="009959D1">
        <w:rPr>
          <w:b/>
          <w:bCs/>
        </w:rPr>
        <w:t>5.8. Positioning Against Standard VPR Benchmarks</w:t>
      </w:r>
    </w:p>
    <w:p w14:paraId="3EA60333" w14:textId="05F70DA2" w:rsidR="009959D1" w:rsidRPr="009959D1" w:rsidRDefault="009959D1" w:rsidP="009959D1">
      <w:r w:rsidRPr="009959D1">
        <w:t xml:space="preserve">A direct numerical comparison between our results and state-of-the-art scores on Pittsburgh30k, Tokyo24/7 or </w:t>
      </w:r>
      <w:proofErr w:type="spellStart"/>
      <w:r w:rsidRPr="009959D1">
        <w:t>Mapillary</w:t>
      </w:r>
      <w:proofErr w:type="spellEnd"/>
      <w:r w:rsidRPr="009959D1">
        <w:t xml:space="preserve"> Street-Level Sequences (MSLS) is not appropriate, because those benchmarks use different database sizes, different query–database matching conventions, and different evaluation protocols </w:t>
      </w:r>
      <w:r w:rsidR="00654241">
        <w:fldChar w:fldCharType="begin"/>
      </w:r>
      <w:r w:rsidR="00654241">
        <w:instrText xml:space="preserve"> ADDIN EN.CITE &lt;EndNote&gt;&lt;Cite&gt;&lt;Author&gt;Warburg&lt;/Author&gt;&lt;Year&gt;2020&lt;/Year&gt;&lt;RecNum&gt;1355&lt;/RecNum&gt;&lt;DisplayText&gt;(Berton et al. 2022; Warburg et al. 2020)&lt;/DisplayText&gt;&lt;record&gt;&lt;rec-number&gt;1355&lt;/rec-number&gt;&lt;foreign-keys&gt;&lt;key app="EN" db-id="dx50w9txmzwp0uex5r95r20sfz029raapfrf" timestamp="1776429883"&gt;1355&lt;/key&gt;&lt;/foreign-keys&gt;&lt;ref-type name="Conference Proceedings"&gt;10&lt;/ref-type&gt;&lt;contributors&gt;&lt;authors&gt;&lt;author&gt;Warburg, Frederik&lt;/author&gt;&lt;author&gt;Hauberg, Soren&lt;/author&gt;&lt;author&gt;Lopez-Antequera, Manuel&lt;/author&gt;&lt;author&gt;Gargallo, Pau&lt;/author&gt;&lt;author&gt;Kuang, Yubin&lt;/author&gt;&lt;author&gt;Civera, Javier&lt;/author&gt;&lt;/authors&gt;&lt;/contributors&gt;&lt;titles&gt;&lt;title&gt;Mapillary street-level sequences: A dataset for lifelong place recognition&lt;/title&gt;&lt;secondary-title&gt;Proceedings of the IEEE/CVF conference on computer vision and pattern recognition&lt;/secondary-title&gt;&lt;/titles&gt;&lt;pages&gt;2626-2635&lt;/pages&gt;&lt;dates&gt;&lt;year&gt;2020&lt;/year&gt;&lt;/dates&gt;&lt;urls&gt;&lt;/urls&gt;&lt;/record&gt;&lt;/Cite&gt;&lt;Cite&gt;&lt;Author&gt;Berton&lt;/Author&gt;&lt;Year&gt;2022&lt;/Year&gt;&lt;RecNum&gt;1352&lt;/RecNum&gt;&lt;record&gt;&lt;rec-number&gt;1352&lt;/rec-number&gt;&lt;foreign-keys&gt;&lt;key app="EN" db-id="dx50w9txmzwp0uex5r95r20sfz029raapfrf" timestamp="1776429643"&gt;1352&lt;/key&gt;&lt;/foreign-keys&gt;&lt;ref-type name="Conference Proceedings"&gt;10&lt;/ref-type&gt;&lt;contributors&gt;&lt;authors&gt;&lt;author&gt;Berton, Gabriele&lt;/author&gt;&lt;author&gt;Masone, Carlo&lt;/author&gt;&lt;author&gt;Caputo, Barbara&lt;/author&gt;&lt;/authors&gt;&lt;/contributors&gt;&lt;titles&gt;&lt;title&gt;Rethinking visual geo-localization for large-scale applications&lt;/title&gt;&lt;secondary-title&gt;Proceedings of the IEEE/CVF Conference on Computer Vision and Pattern Recognition&lt;/secondary-title&gt;&lt;/titles&gt;&lt;pages&gt;4878-4888&lt;/pages&gt;&lt;dates&gt;&lt;year&gt;2022&lt;/year&gt;&lt;/dates&gt;&lt;urls&gt;&lt;/urls&gt;&lt;/record&gt;&lt;/Cite&gt;&lt;/EndNote&gt;</w:instrText>
      </w:r>
      <w:r w:rsidR="00654241">
        <w:fldChar w:fldCharType="separate"/>
      </w:r>
      <w:r w:rsidR="00654241">
        <w:rPr>
          <w:noProof/>
        </w:rPr>
        <w:t>(Berton et al. 2022; Warburg et al. 2020)</w:t>
      </w:r>
      <w:r w:rsidR="00654241">
        <w:fldChar w:fldCharType="end"/>
      </w:r>
      <w:r w:rsidRPr="009959D1">
        <w:t xml:space="preserve">. However, two qualitative observations can be safely made. First, our main model's 81.24% R@1 at 100 m on </w:t>
      </w:r>
      <w:proofErr w:type="spellStart"/>
      <w:r w:rsidRPr="009959D1">
        <w:t>Kırşehir</w:t>
      </w:r>
      <w:proofErr w:type="spellEnd"/>
      <w:r w:rsidRPr="009959D1">
        <w:t xml:space="preserve"> is within the range of performance reported by fine-tuned DINOv2 variants on Pittsburgh30k and MSLS for fine-tuned backbones </w:t>
      </w:r>
      <w:r w:rsidR="00654241">
        <w:fldChar w:fldCharType="begin"/>
      </w:r>
      <w:r w:rsidR="00654241">
        <w:instrText xml:space="preserve"> ADDIN EN.CITE &lt;EndNote&gt;&lt;Cite&gt;&lt;Author&gt;Oquab&lt;/Author&gt;&lt;Year&gt;2023&lt;/Year&gt;&lt;RecNum&gt;1353&lt;/RecNum&gt;&lt;DisplayText&gt;(Berton et al. 2022; Oquab et al. 2023)&lt;/DisplayText&gt;&lt;record&gt;&lt;rec-number&gt;1353&lt;/rec-number&gt;&lt;foreign-keys&gt;&lt;key app="EN" db-id="dx50w9txmzwp0uex5r95r20sfz029raapfrf" timestamp="1776429744"&gt;1353&lt;/key&gt;&lt;/foreign-keys&gt;&lt;ref-type name="Journal Article"&gt;17&lt;/ref-type&gt;&lt;contributors&gt;&lt;authors&gt;&lt;author&gt;Oquab, Maxime&lt;/author&gt;&lt;author&gt;Darcet, Timothée&lt;/author&gt;&lt;author&gt;Moutakanni, Théo&lt;/author&gt;&lt;author&gt;Vo, Huy&lt;/author&gt;&lt;author&gt;Szafraniec, Marc&lt;/author&gt;&lt;author&gt;Khalidov, Vasil&lt;/author&gt;&lt;author&gt;Fernandez, Pierre&lt;/author&gt;&lt;author&gt;Haziza, Daniel&lt;/author&gt;&lt;author&gt;Massa, Francisco&lt;/author&gt;&lt;author&gt;El-Nouby, Alaaeldin&lt;/author&gt;&lt;/authors&gt;&lt;/contributors&gt;&lt;titles&gt;&lt;title&gt;Dinov2: Learning robust visual features without supervision&lt;/title&gt;&lt;secondary-title&gt;arXiv preprint arXiv:2304.07193&lt;/secondary-title&gt;&lt;/titles&gt;&lt;periodical&gt;&lt;full-title&gt;arXiv preprint arXiv:2304.07193&lt;/full-title&gt;&lt;/periodical&gt;&lt;dates&gt;&lt;year&gt;2023&lt;/year&gt;&lt;/dates&gt;&lt;urls&gt;&lt;/urls&gt;&lt;/record&gt;&lt;/Cite&gt;&lt;Cite&gt;&lt;Author&gt;Berton&lt;/Author&gt;&lt;Year&gt;2022&lt;/Year&gt;&lt;RecNum&gt;1352&lt;/RecNum&gt;&lt;record&gt;&lt;rec-number&gt;1352&lt;/rec-number&gt;&lt;foreign-keys&gt;&lt;key app="EN" db-id="dx50w9txmzwp0uex5r95r20sfz029raapfrf" timestamp="1776429643"&gt;1352&lt;/key&gt;&lt;/foreign-keys&gt;&lt;ref-type name="Conference Proceedings"&gt;10&lt;/ref-type&gt;&lt;contributors&gt;&lt;authors&gt;&lt;author&gt;Berton, Gabriele&lt;/author&gt;&lt;author&gt;Masone, Carlo&lt;/author&gt;&lt;author&gt;Caputo, Barbara&lt;/author&gt;&lt;/authors&gt;&lt;/contributors&gt;&lt;titles&gt;&lt;title&gt;Rethinking visual geo-localization for large-scale applications&lt;/title&gt;&lt;secondary-title&gt;Proceedings of the IEEE/CVF Conference on Computer Vision and Pattern Recognition&lt;/secondary-title&gt;&lt;/titles&gt;&lt;pages&gt;4878-4888&lt;/pages&gt;&lt;dates&gt;&lt;year&gt;2022&lt;/year&gt;&lt;/dates&gt;&lt;urls&gt;&lt;/urls&gt;&lt;/record&gt;&lt;/Cite&gt;&lt;/EndNote&gt;</w:instrText>
      </w:r>
      <w:r w:rsidR="00654241">
        <w:fldChar w:fldCharType="separate"/>
      </w:r>
      <w:r w:rsidR="00654241">
        <w:rPr>
          <w:noProof/>
        </w:rPr>
        <w:t>(Berton et al. 2022; Oquab et al. 2023)</w:t>
      </w:r>
      <w:r w:rsidR="00654241">
        <w:fldChar w:fldCharType="end"/>
      </w:r>
      <w:r w:rsidRPr="009959D1">
        <w:t xml:space="preserve">, suggesting that the fine-tuning recipe is not pathologically off. Second, the failure of </w:t>
      </w:r>
      <w:proofErr w:type="spellStart"/>
      <w:r w:rsidRPr="009959D1">
        <w:t>LightGlue</w:t>
      </w:r>
      <w:proofErr w:type="spellEnd"/>
      <w:r w:rsidRPr="009959D1">
        <w:t xml:space="preserve">-based re-ranking on this dataset differs from results on benchmarks where re-ranking with local matchers typically provides gains </w:t>
      </w:r>
      <w:r w:rsidR="00654241">
        <w:fldChar w:fldCharType="begin"/>
      </w:r>
      <w:r w:rsidR="00654241">
        <w:instrText xml:space="preserve"> ADDIN EN.CITE &lt;EndNote&gt;&lt;Cite&gt;&lt;Author&gt;Lindenberger&lt;/Author&gt;&lt;Year&gt;2023&lt;/Year&gt;&lt;RecNum&gt;1360&lt;/RecNum&gt;&lt;DisplayText&gt;(Hausler et al. 2021; Lindenberger et al. 2023)&lt;/DisplayText&gt;&lt;record&gt;&lt;rec-number&gt;1360&lt;/rec-number&gt;&lt;foreign-keys&gt;&lt;key app="EN" db-id="dx50w9txmzwp0uex5r95r20sfz029raapfrf" timestamp="1776430326"&gt;1360&lt;/key&gt;&lt;/foreign-keys&gt;&lt;ref-type name="Conference Proceedings"&gt;10&lt;/ref-type&gt;&lt;contributors&gt;&lt;authors&gt;&lt;author&gt;Lindenberger, Philipp&lt;/author&gt;&lt;author&gt;Sarlin, Paul-Edouard&lt;/author&gt;&lt;author&gt;Pollefeys, Marc&lt;/author&gt;&lt;/authors&gt;&lt;/contributors&gt;&lt;titles&gt;&lt;title&gt;Lightglue: Local feature matching at light speed&lt;/title&gt;&lt;secondary-title&gt;Proceedings of the IEEE/CVF international conference on computer vision&lt;/secondary-title&gt;&lt;/titles&gt;&lt;pages&gt;17627-17638&lt;/pages&gt;&lt;dates&gt;&lt;year&gt;2023&lt;/year&gt;&lt;/dates&gt;&lt;urls&gt;&lt;/urls&gt;&lt;/record&gt;&lt;/Cite&gt;&lt;Cite&gt;&lt;Author&gt;Hausler&lt;/Author&gt;&lt;Year&gt;2021&lt;/Year&gt;&lt;RecNum&gt;1356&lt;/RecNum&gt;&lt;record&gt;&lt;rec-number&gt;1356&lt;/rec-number&gt;&lt;foreign-keys&gt;&lt;key app="EN" db-id="dx50w9txmzwp0uex5r95r20sfz029raapfrf" timestamp="1776430036"&gt;1356&lt;/key&gt;&lt;/foreign-keys&gt;&lt;ref-type name="Conference Proceedings"&gt;10&lt;/ref-type&gt;&lt;contributors&gt;&lt;authors&gt;&lt;author&gt;Hausler, Stephen&lt;/author&gt;&lt;author&gt;Garg, Sourav&lt;/author&gt;&lt;author&gt;Xu, Ming&lt;/author&gt;&lt;author&gt;Milford, Michael&lt;/author&gt;&lt;author&gt;Fischer, Tobias&lt;/author&gt;&lt;/authors&gt;&lt;/contributors&gt;&lt;titles&gt;&lt;title&gt;Patch-netvlad: Multi-scale fusion of locally-global descriptors for place recognition&lt;/title&gt;&lt;secondary-title&gt;Proceedings of the IEEE/CVF conference on computer vision and pattern recognition&lt;/secondary-title&gt;&lt;/titles&gt;&lt;pages&gt;14141-14152&lt;/pages&gt;&lt;dates&gt;&lt;year&gt;2021&lt;/year&gt;&lt;/dates&gt;&lt;urls&gt;&lt;/urls&gt;&lt;/record&gt;&lt;/Cite&gt;&lt;/EndNote&gt;</w:instrText>
      </w:r>
      <w:r w:rsidR="00654241">
        <w:fldChar w:fldCharType="separate"/>
      </w:r>
      <w:r w:rsidR="00654241">
        <w:rPr>
          <w:noProof/>
        </w:rPr>
        <w:t>(Hausler et al. 2021; Lindenberger et al. 2023)</w:t>
      </w:r>
      <w:r w:rsidR="00654241">
        <w:fldChar w:fldCharType="end"/>
      </w:r>
      <w:r w:rsidRPr="009959D1">
        <w:t xml:space="preserve">, which indicates that the gap is specific to the imagery and architectural properties of </w:t>
      </w:r>
      <w:proofErr w:type="spellStart"/>
      <w:r w:rsidRPr="009959D1">
        <w:t>Kırşehir</w:t>
      </w:r>
      <w:proofErr w:type="spellEnd"/>
      <w:r w:rsidRPr="009959D1">
        <w:t xml:space="preserve"> rather than to the re-ranking methodology itself. Replicating both observations on a standard benchmark (e.g., running the same fine-tuning and re-ranking pipeline on MSLS or Pittsburgh30k) is an important item for future work.</w:t>
      </w:r>
    </w:p>
    <w:p w14:paraId="01D59585" w14:textId="77777777" w:rsidR="009959D1" w:rsidRPr="009959D1" w:rsidRDefault="009959D1" w:rsidP="009959D1">
      <w:pPr>
        <w:rPr>
          <w:b/>
          <w:bCs/>
        </w:rPr>
      </w:pPr>
      <w:r w:rsidRPr="009959D1">
        <w:rPr>
          <w:b/>
          <w:bCs/>
        </w:rPr>
        <w:lastRenderedPageBreak/>
        <w:t>5.9. Limitations</w:t>
      </w:r>
    </w:p>
    <w:p w14:paraId="79D5C88F" w14:textId="77777777" w:rsidR="009959D1" w:rsidRPr="009959D1" w:rsidRDefault="009959D1" w:rsidP="009959D1">
      <w:r w:rsidRPr="009959D1">
        <w:t xml:space="preserve">Several limitations of this study should be acknowledged. First, both the query and the database images are drawn from the same source (Google Street View), so the evaluation does not </w:t>
      </w:r>
      <w:proofErr w:type="gramStart"/>
      <w:r w:rsidRPr="009959D1">
        <w:t>probe</w:t>
      </w:r>
      <w:proofErr w:type="gramEnd"/>
      <w:r w:rsidRPr="009959D1">
        <w:t xml:space="preserve"> cross-source generalization. A realistic VPR deployment would receive queries from mobile phone cameras or dashcams, which differ from Street View imagery in lens distortion, resolution, exposure, and viewpoint height. The framework for such a cross-source evaluation is already in place in our demonstration pipeline, but a systematic study with a statistically meaningful number of mobile-source queries remains future work.</w:t>
      </w:r>
    </w:p>
    <w:p w14:paraId="197C0D77" w14:textId="77777777" w:rsidR="009959D1" w:rsidRPr="009959D1" w:rsidRDefault="009959D1" w:rsidP="009959D1">
      <w:r w:rsidRPr="009959D1">
        <w:t xml:space="preserve">Second, the dataset covers a single mid-sized Anatolian city. While this is precisely the regime that motivates the study, the conclusions about CLS vs. </w:t>
      </w:r>
      <w:proofErr w:type="spellStart"/>
      <w:r w:rsidRPr="009959D1">
        <w:t>GeM</w:t>
      </w:r>
      <w:proofErr w:type="spellEnd"/>
      <w:r w:rsidRPr="009959D1">
        <w:t xml:space="preserve"> pooling and about </w:t>
      </w:r>
      <w:proofErr w:type="spellStart"/>
      <w:r w:rsidRPr="009959D1">
        <w:t>LightGlue</w:t>
      </w:r>
      <w:proofErr w:type="spellEnd"/>
      <w:r w:rsidRPr="009959D1">
        <w:t xml:space="preserve">-based re-ranking may not transfer to large, architecturally diverse cities. Replication </w:t>
      </w:r>
      <w:proofErr w:type="gramStart"/>
      <w:r w:rsidRPr="009959D1">
        <w:t>on</w:t>
      </w:r>
      <w:proofErr w:type="gramEnd"/>
      <w:r w:rsidRPr="009959D1">
        <w:t xml:space="preserve"> a second city with similar characteristics (e.g., a similarly sized Central Anatolian or Balkan city) would strengthen the generality of the domain-specific claims.</w:t>
      </w:r>
    </w:p>
    <w:p w14:paraId="471D4DD8" w14:textId="39AC8BE2" w:rsidR="009959D1" w:rsidRPr="009959D1" w:rsidRDefault="009959D1" w:rsidP="009959D1">
      <w:r w:rsidRPr="009959D1">
        <w:t xml:space="preserve">Third, all Street View imagery used here was captured during a single time window and therefore does not test seasonal, illumination, or temporal robustness — an aspect that long-term VPR benchmarks such as </w:t>
      </w:r>
      <w:proofErr w:type="spellStart"/>
      <w:r w:rsidRPr="009959D1">
        <w:t>RobotCar</w:t>
      </w:r>
      <w:proofErr w:type="spellEnd"/>
      <w:r w:rsidRPr="009959D1">
        <w:t xml:space="preserve"> Seasons or MSLS explicitly address </w:t>
      </w:r>
      <w:r w:rsidR="00654241">
        <w:fldChar w:fldCharType="begin"/>
      </w:r>
      <w:r w:rsidR="00654241">
        <w:instrText xml:space="preserve"> ADDIN EN.CITE &lt;EndNote&gt;&lt;Cite&gt;&lt;Author&gt;Warburg&lt;/Author&gt;&lt;Year&gt;2020&lt;/Year&gt;&lt;RecNum&gt;1355&lt;/RecNum&gt;&lt;DisplayText&gt;(Maddern et al. 2017; Warburg et al. 2020)&lt;/DisplayText&gt;&lt;record&gt;&lt;rec-number&gt;1355&lt;/rec-number&gt;&lt;foreign-keys&gt;&lt;key app="EN" db-id="dx50w9txmzwp0uex5r95r20sfz029raapfrf" timestamp="1776429883"&gt;1355&lt;/key&gt;&lt;/foreign-keys&gt;&lt;ref-type name="Conference Proceedings"&gt;10&lt;/ref-type&gt;&lt;contributors&gt;&lt;authors&gt;&lt;author&gt;Warburg, Frederik&lt;/author&gt;&lt;author&gt;Hauberg, Soren&lt;/author&gt;&lt;author&gt;Lopez-Antequera, Manuel&lt;/author&gt;&lt;author&gt;Gargallo, Pau&lt;/author&gt;&lt;author&gt;Kuang, Yubin&lt;/author&gt;&lt;author&gt;Civera, Javier&lt;/author&gt;&lt;/authors&gt;&lt;/contributors&gt;&lt;titles&gt;&lt;title&gt;Mapillary street-level sequences: A dataset for lifelong place recognition&lt;/title&gt;&lt;secondary-title&gt;Proceedings of the IEEE/CVF conference on computer vision and pattern recognition&lt;/secondary-title&gt;&lt;/titles&gt;&lt;pages&gt;2626-2635&lt;/pages&gt;&lt;dates&gt;&lt;year&gt;2020&lt;/year&gt;&lt;/dates&gt;&lt;urls&gt;&lt;/urls&gt;&lt;/record&gt;&lt;/Cite&gt;&lt;Cite&gt;&lt;Author&gt;Maddern&lt;/Author&gt;&lt;Year&gt;2017&lt;/Year&gt;&lt;RecNum&gt;1372&lt;/RecNum&gt;&lt;record&gt;&lt;rec-number&gt;1372&lt;/rec-number&gt;&lt;foreign-keys&gt;&lt;key app="EN" db-id="dx50w9txmzwp0uex5r95r20sfz029raapfrf" timestamp="1776455767"&gt;1372&lt;/key&gt;&lt;/foreign-keys&gt;&lt;ref-type name="Journal Article"&gt;17&lt;/ref-type&gt;&lt;contributors&gt;&lt;authors&gt;&lt;author&gt;Maddern, Will&lt;/author&gt;&lt;author&gt;Pascoe, Geoffrey&lt;/author&gt;&lt;author&gt;Linegar, Chris&lt;/author&gt;&lt;author&gt;Newman, Paul&lt;/author&gt;&lt;/authors&gt;&lt;/contributors&gt;&lt;titles&gt;&lt;title&gt;1 year, 1000 km: The oxford robotcar dataset&lt;/title&gt;&lt;secondary-title&gt;The International Journal of Robotics Research&lt;/secondary-title&gt;&lt;/titles&gt;&lt;periodical&gt;&lt;full-title&gt;The International journal of robotics research&lt;/full-title&gt;&lt;/periodical&gt;&lt;pages&gt;3-15&lt;/pages&gt;&lt;volume&gt;36&lt;/volume&gt;&lt;number&gt;1&lt;/number&gt;&lt;dates&gt;&lt;year&gt;2017&lt;/year&gt;&lt;/dates&gt;&lt;isbn&gt;0278-3649&lt;/isbn&gt;&lt;urls&gt;&lt;/urls&gt;&lt;/record&gt;&lt;/Cite&gt;&lt;/EndNote&gt;</w:instrText>
      </w:r>
      <w:r w:rsidR="00654241">
        <w:fldChar w:fldCharType="separate"/>
      </w:r>
      <w:r w:rsidR="00654241">
        <w:rPr>
          <w:noProof/>
        </w:rPr>
        <w:t>(Maddern et al. 2017; Warburg et al. 2020)</w:t>
      </w:r>
      <w:r w:rsidR="00654241">
        <w:fldChar w:fldCharType="end"/>
      </w:r>
      <w:r w:rsidRPr="009959D1">
        <w:t>. Evaluating the robustness of the fine-tuned model under temporal shift is a natural extension.</w:t>
      </w:r>
    </w:p>
    <w:p w14:paraId="4A40397A" w14:textId="77777777" w:rsidR="009959D1" w:rsidRPr="009959D1" w:rsidRDefault="009959D1" w:rsidP="009959D1">
      <w:r w:rsidRPr="009959D1">
        <w:t xml:space="preserve">Fourth, </w:t>
      </w:r>
      <w:proofErr w:type="spellStart"/>
      <w:r w:rsidRPr="009959D1">
        <w:t>LightGlue</w:t>
      </w:r>
      <w:proofErr w:type="spellEnd"/>
      <w:r w:rsidRPr="009959D1">
        <w:t xml:space="preserve"> was used with its default configuration and with only two ranking criteria (match count and a hybrid score). More sophisticated geometric verification, such as RANSAC-based inlier counting or learned re-ranking heads, might behave differently. Our results should therefore not be read as a general condemnation of local feature matching for VPR, but as a domain-specific negative result for the </w:t>
      </w:r>
      <w:proofErr w:type="gramStart"/>
      <w:r w:rsidRPr="009959D1">
        <w:t>particular combination</w:t>
      </w:r>
      <w:proofErr w:type="gramEnd"/>
      <w:r w:rsidRPr="009959D1">
        <w:t xml:space="preserve"> of DINOv2 global features, ALIKED </w:t>
      </w:r>
      <w:proofErr w:type="spellStart"/>
      <w:r w:rsidRPr="009959D1">
        <w:t>keypoints</w:t>
      </w:r>
      <w:proofErr w:type="spellEnd"/>
      <w:r w:rsidRPr="009959D1">
        <w:t xml:space="preserve">, </w:t>
      </w:r>
      <w:proofErr w:type="spellStart"/>
      <w:r w:rsidRPr="009959D1">
        <w:t>LightGlue</w:t>
      </w:r>
      <w:proofErr w:type="spellEnd"/>
      <w:r w:rsidRPr="009959D1">
        <w:t xml:space="preserve"> matching, and Google Street View imagery on a small Anatolian city.</w:t>
      </w:r>
    </w:p>
    <w:p w14:paraId="1CE9C747" w14:textId="77777777" w:rsidR="009959D1" w:rsidRPr="009959D1" w:rsidRDefault="009959D1" w:rsidP="009959D1">
      <w:r w:rsidRPr="009959D1">
        <w:t xml:space="preserve">Finally, the overall training protocol involves a single random seed and five epochs. While the random seed was fixed for reproducibility and the training loss curves were stable, repeated trials under multiple seeds would provide confidence intervals around the reported metrics. This is particularly relevant for the comparison between </w:t>
      </w:r>
      <w:proofErr w:type="spellStart"/>
      <w:r w:rsidRPr="009959D1">
        <w:t>GeM</w:t>
      </w:r>
      <w:proofErr w:type="spellEnd"/>
      <w:r w:rsidRPr="009959D1">
        <w:t xml:space="preserve"> and CLS pooling, where the observed gap is small.</w:t>
      </w:r>
    </w:p>
    <w:p w14:paraId="4F8EACFC" w14:textId="77777777" w:rsidR="009959D1" w:rsidRPr="009959D1" w:rsidRDefault="009959D1" w:rsidP="009959D1">
      <w:pPr>
        <w:rPr>
          <w:b/>
          <w:bCs/>
        </w:rPr>
      </w:pPr>
      <w:r w:rsidRPr="009959D1">
        <w:rPr>
          <w:b/>
          <w:bCs/>
        </w:rPr>
        <w:t>5.10. Implications and Directions for Future Work</w:t>
      </w:r>
    </w:p>
    <w:p w14:paraId="2F8F103F" w14:textId="77777777" w:rsidR="009959D1" w:rsidRPr="009959D1" w:rsidRDefault="009959D1" w:rsidP="009959D1">
      <w:r w:rsidRPr="009959D1">
        <w:t>The findings of this study have three practical implications. (</w:t>
      </w:r>
      <w:proofErr w:type="spellStart"/>
      <w:r w:rsidRPr="009959D1">
        <w:t>i</w:t>
      </w:r>
      <w:proofErr w:type="spellEnd"/>
      <w:r w:rsidRPr="009959D1">
        <w:t xml:space="preserve">) For VPR deployments in mid-sized, architecturally homogeneous cities outside the dominant Western urban distribution, foundation models such as DINOv2 require fine-tuning rather than zero-shot use, but the fine-tuning can be kept parameter-efficient by restricting adaptation to the last few Transformer blocks. (ii) The default choice of pooling and re-ranking components in the VPR literature should not be taken as universally optimal; the CLS vs. </w:t>
      </w:r>
      <w:proofErr w:type="spellStart"/>
      <w:r w:rsidRPr="009959D1">
        <w:lastRenderedPageBreak/>
        <w:t>GeM</w:t>
      </w:r>
      <w:proofErr w:type="spellEnd"/>
      <w:r w:rsidRPr="009959D1">
        <w:t xml:space="preserve"> ablation and the negative </w:t>
      </w:r>
      <w:proofErr w:type="spellStart"/>
      <w:r w:rsidRPr="009959D1">
        <w:t>LightGlue</w:t>
      </w:r>
      <w:proofErr w:type="spellEnd"/>
      <w:r w:rsidRPr="009959D1">
        <w:t xml:space="preserve"> result illustrate that domain-specific evaluation of these design choices is necessary. (iii) A single-stage </w:t>
      </w:r>
      <w:proofErr w:type="spellStart"/>
      <w:r w:rsidRPr="009959D1">
        <w:t>ViT</w:t>
      </w:r>
      <w:proofErr w:type="spellEnd"/>
      <w:r w:rsidRPr="009959D1">
        <w:t>-S/14 pipeline is a practical and near-lossless alternative to larger two-stage systems for this class of deployments.</w:t>
      </w:r>
    </w:p>
    <w:p w14:paraId="1E6F0C6B" w14:textId="24FFED02" w:rsidR="009959D1" w:rsidRPr="009959D1" w:rsidRDefault="009959D1" w:rsidP="009959D1">
      <w:r w:rsidRPr="009959D1">
        <w:t xml:space="preserve">Five directions are particularly promising for future work. First, a systematic cross-source evaluation using mobile-phone-originating queries would quantify the domain gap between Street View and consumer imagery and could be carried out with the demonstration pipeline already developed in this study. Second, calibration-aware confidence estimation — via temperature scaling, ensembles, or conformal retrieval sets — would address the rejection limitation documented in Section 5.5. Third, replicating the pipeline on standard benchmarks (Pittsburgh30k, Tokyo24/7, MSLS) would enable a direct comparison against the VPR state of the art and clarify which of the observations here generalize. Fourth, parameter-efficient adaptation techniques such as </w:t>
      </w:r>
      <w:proofErr w:type="spellStart"/>
      <w:r w:rsidRPr="009959D1">
        <w:t>LoRA</w:t>
      </w:r>
      <w:proofErr w:type="spellEnd"/>
      <w:r w:rsidRPr="009959D1">
        <w:t xml:space="preserve"> </w:t>
      </w:r>
      <w:r w:rsidR="00654241">
        <w:fldChar w:fldCharType="begin"/>
      </w:r>
      <w:r w:rsidR="00654241">
        <w:instrText xml:space="preserve"> ADDIN EN.CITE &lt;EndNote&gt;&lt;Cite&gt;&lt;Author&gt;Hu&lt;/Author&gt;&lt;Year&gt;2022&lt;/Year&gt;&lt;RecNum&gt;1364&lt;/RecNum&gt;&lt;DisplayText&gt;(Hu et al. 2022)&lt;/DisplayText&gt;&lt;record&gt;&lt;rec-number&gt;1364&lt;/rec-number&gt;&lt;foreign-keys&gt;&lt;key app="EN" db-id="dx50w9txmzwp0uex5r95r20sfz029raapfrf" timestamp="1776430567"&gt;1364&lt;/key&gt;&lt;/foreign-keys&gt;&lt;ref-type name="Journal Article"&gt;17&lt;/ref-type&gt;&lt;contributors&gt;&lt;authors&gt;&lt;author&gt;Hu, Edward J&lt;/author&gt;&lt;author&gt;Shen, Yelong&lt;/author&gt;&lt;author&gt;Wallis, Phillip&lt;/author&gt;&lt;author&gt;Allen-Zhu, Zeyuan&lt;/author&gt;&lt;author&gt;Li, Yuanzhi&lt;/author&gt;&lt;author&gt;Wang, Shean&lt;/author&gt;&lt;author&gt;Wang, Liang&lt;/author&gt;&lt;author&gt;Chen, Weizhu&lt;/author&gt;&lt;/authors&gt;&lt;/contributors&gt;&lt;titles&gt;&lt;title&gt;Lora: Low-rank adaptation of large language models&lt;/title&gt;&lt;secondary-title&gt;Iclr&lt;/secondary-title&gt;&lt;/titles&gt;&lt;periodical&gt;&lt;full-title&gt;Iclr&lt;/full-title&gt;&lt;/periodical&gt;&lt;pages&gt;3&lt;/pages&gt;&lt;volume&gt;1&lt;/volume&gt;&lt;number&gt;2&lt;/number&gt;&lt;dates&gt;&lt;year&gt;2022&lt;/year&gt;&lt;/dates&gt;&lt;urls&gt;&lt;/urls&gt;&lt;/record&gt;&lt;/Cite&gt;&lt;/EndNote&gt;</w:instrText>
      </w:r>
      <w:r w:rsidR="00654241">
        <w:fldChar w:fldCharType="separate"/>
      </w:r>
      <w:r w:rsidR="00654241">
        <w:rPr>
          <w:noProof/>
        </w:rPr>
        <w:t>(Hu et al. 2022)</w:t>
      </w:r>
      <w:r w:rsidR="00654241">
        <w:fldChar w:fldCharType="end"/>
      </w:r>
      <w:r w:rsidRPr="009959D1">
        <w:t xml:space="preserve"> or learned adapters could further reduce the number of trainable parameters and training time. Fifth, the release of the </w:t>
      </w:r>
      <w:proofErr w:type="spellStart"/>
      <w:r w:rsidRPr="009959D1">
        <w:t>Kırşehir</w:t>
      </w:r>
      <w:proofErr w:type="spellEnd"/>
      <w:r w:rsidRPr="009959D1">
        <w:t xml:space="preserve"> dataset — or of a script that recreates it from the Google Street View API — would enable replication and extension by other groups, consistent with the data-sharing norms of the VPR community </w:t>
      </w:r>
      <w:r w:rsidR="00654241">
        <w:fldChar w:fldCharType="begin"/>
      </w:r>
      <w:r w:rsidR="00654241">
        <w:instrText xml:space="preserve"> ADDIN EN.CITE &lt;EndNote&gt;&lt;Cite&gt;&lt;Author&gt;Berton&lt;/Author&gt;&lt;Year&gt;2022&lt;/Year&gt;&lt;RecNum&gt;1352&lt;/RecNum&gt;&lt;DisplayText&gt;(Berton et al. 2022)&lt;/DisplayText&gt;&lt;record&gt;&lt;rec-number&gt;1352&lt;/rec-number&gt;&lt;foreign-keys&gt;&lt;key app="EN" db-id="dx50w9txmzwp0uex5r95r20sfz029raapfrf" timestamp="1776429643"&gt;1352&lt;/key&gt;&lt;/foreign-keys&gt;&lt;ref-type name="Conference Proceedings"&gt;10&lt;/ref-type&gt;&lt;contributors&gt;&lt;authors&gt;&lt;author&gt;Berton, Gabriele&lt;/author&gt;&lt;author&gt;Masone, Carlo&lt;/author&gt;&lt;author&gt;Caputo, Barbara&lt;/author&gt;&lt;/authors&gt;&lt;/contributors&gt;&lt;titles&gt;&lt;title&gt;Rethinking visual geo-localization for large-scale applications&lt;/title&gt;&lt;secondary-title&gt;Proceedings of the IEEE/CVF Conference on Computer Vision and Pattern Recognition&lt;/secondary-title&gt;&lt;/titles&gt;&lt;pages&gt;4878-4888&lt;/pages&gt;&lt;dates&gt;&lt;year&gt;2022&lt;/year&gt;&lt;/dates&gt;&lt;urls&gt;&lt;/urls&gt;&lt;/record&gt;&lt;/Cite&gt;&lt;/EndNote&gt;</w:instrText>
      </w:r>
      <w:r w:rsidR="00654241">
        <w:fldChar w:fldCharType="separate"/>
      </w:r>
      <w:r w:rsidR="00654241">
        <w:rPr>
          <w:noProof/>
        </w:rPr>
        <w:t>(Berton et al. 2022)</w:t>
      </w:r>
      <w:r w:rsidR="00654241">
        <w:fldChar w:fldCharType="end"/>
      </w:r>
      <w:r w:rsidRPr="009959D1">
        <w:t>.</w:t>
      </w:r>
    </w:p>
    <w:p w14:paraId="4ABD8D7A" w14:textId="77777777" w:rsidR="001956F4" w:rsidRDefault="001956F4"/>
    <w:p w14:paraId="074B5550" w14:textId="77777777" w:rsidR="009959D1" w:rsidRDefault="009959D1"/>
    <w:p w14:paraId="13D8DE04" w14:textId="77777777" w:rsidR="001956F4" w:rsidRDefault="001956F4"/>
    <w:p w14:paraId="65D13748" w14:textId="19BA02E5" w:rsidR="001956F4" w:rsidRDefault="001956F4">
      <w:r>
        <w:t>Conclusion</w:t>
      </w:r>
    </w:p>
    <w:p w14:paraId="3F0433F8" w14:textId="77777777" w:rsidR="00591538" w:rsidRPr="00591538" w:rsidRDefault="00591538" w:rsidP="00591538">
      <w:r w:rsidRPr="00591538">
        <w:t xml:space="preserve">This study presented a systematic empirical investigation of foundation-model-based visual place recognition on a mid-sized, architecturally homogeneous Anatolian city. We constructed a 26,220-image Google Street View dataset covering approximately 28.80 km² of </w:t>
      </w:r>
      <w:proofErr w:type="spellStart"/>
      <w:r w:rsidRPr="00591538">
        <w:t>Kırşehir</w:t>
      </w:r>
      <w:proofErr w:type="spellEnd"/>
      <w:r w:rsidRPr="00591538">
        <w:t xml:space="preserve">, organized around 6,555 unique coordinate points on 654 streets with four cardinal headings per point, and split geographically via a 0.002°-resolution grid to yield 18,140 training, 6,060 database, and 2,020 query images. On this dataset we trained a two-stage pipeline combining a partially fine-tuned DINOv2 </w:t>
      </w:r>
      <w:proofErr w:type="spellStart"/>
      <w:r w:rsidRPr="00591538">
        <w:t>ViT</w:t>
      </w:r>
      <w:proofErr w:type="spellEnd"/>
      <w:r w:rsidRPr="00591538">
        <w:t xml:space="preserve">-B/14 backbone with </w:t>
      </w:r>
      <w:proofErr w:type="spellStart"/>
      <w:r w:rsidRPr="00591538">
        <w:t>GeM</w:t>
      </w:r>
      <w:proofErr w:type="spellEnd"/>
      <w:r w:rsidRPr="00591538">
        <w:t xml:space="preserve"> pooling and a 512-dimensional projection head as the global retrieval stage, and an ALIKED + </w:t>
      </w:r>
      <w:proofErr w:type="spellStart"/>
      <w:r w:rsidRPr="00591538">
        <w:t>LightGlue</w:t>
      </w:r>
      <w:proofErr w:type="spellEnd"/>
      <w:r w:rsidRPr="00591538">
        <w:t xml:space="preserve"> re-ranking module as the local-matching stage. A complementary set of ablations isolated the contributions of the loss function, the pooling strategy, the backbone size, and the re-ranking criterion, and additional analyses quantified the computational cost, the confidence-rejection behavior, and the spatial distribution of errors.</w:t>
      </w:r>
    </w:p>
    <w:p w14:paraId="1F4A7581" w14:textId="77777777" w:rsidR="00591538" w:rsidRPr="00591538" w:rsidRDefault="00591538" w:rsidP="00591538">
      <w:pPr>
        <w:rPr>
          <w:b/>
          <w:bCs/>
        </w:rPr>
      </w:pPr>
      <w:r w:rsidRPr="00591538">
        <w:rPr>
          <w:b/>
          <w:bCs/>
        </w:rPr>
        <w:t>6.1. Main Findings</w:t>
      </w:r>
    </w:p>
    <w:p w14:paraId="068AA97D" w14:textId="77777777" w:rsidR="00591538" w:rsidRPr="00591538" w:rsidRDefault="00591538" w:rsidP="00591538">
      <w:r w:rsidRPr="00591538">
        <w:lastRenderedPageBreak/>
        <w:t xml:space="preserve">Four findings stand out. First, partial fine-tuning of DINOv2 is both necessary and highly effective in this visual regime: unfreezing the last four Transformer blocks raised street-name accuracy from 56.14% to 74.70% and reduced the median localization error from 49.8 m to 8.2 m. Second, contrary to the prevailing assumption in the visual place recognition literature, the CLS-token variant of our architecture slightly outperformed the </w:t>
      </w:r>
      <w:proofErr w:type="spellStart"/>
      <w:r w:rsidRPr="00591538">
        <w:t>GeM</w:t>
      </w:r>
      <w:proofErr w:type="spellEnd"/>
      <w:r w:rsidRPr="00591538">
        <w:t xml:space="preserve">-pooled main model (76.58% vs. 74.70% street accuracy, 5.3 m vs. 8.2 m median error), indicating that pooling choices for DINOv2-based pipelines should not be adopted uncritically on small, architecturally uniform cities. Third, </w:t>
      </w:r>
      <w:proofErr w:type="spellStart"/>
      <w:r w:rsidRPr="00591538">
        <w:t>LightGlue</w:t>
      </w:r>
      <w:proofErr w:type="spellEnd"/>
      <w:r w:rsidRPr="00591538">
        <w:t xml:space="preserve">-based re-ranking degraded the output of the first stage in every configuration tested, whether applied uniformly (street accuracy dropping to 48.32–49.41%) or selectively to low-confidence queries (monotonic degradation across all thresholds); this negative result is a concrete domain-specific limitation of an otherwise well-established design pattern, traceable to the stitched nature of Street View imagery, the repetitive textures of residential streets, and the already near-optimal first-stage ranking. Fourth, the </w:t>
      </w:r>
      <w:proofErr w:type="spellStart"/>
      <w:r w:rsidRPr="00591538">
        <w:t>ViT</w:t>
      </w:r>
      <w:proofErr w:type="spellEnd"/>
      <w:r w:rsidRPr="00591538">
        <w:t xml:space="preserve">-S/14 variant retained 94.5% of the </w:t>
      </w:r>
      <w:proofErr w:type="spellStart"/>
      <w:r w:rsidRPr="00591538">
        <w:t>ViT</w:t>
      </w:r>
      <w:proofErr w:type="spellEnd"/>
      <w:r w:rsidRPr="00591538">
        <w:t>-B/14 R@1&lt;100 m performance while using 25.6% of the parameters and 34.3% of the inference time, establishing a practical size–performance operating point for deployment-oriented systems.</w:t>
      </w:r>
    </w:p>
    <w:p w14:paraId="1094C8CD" w14:textId="77777777" w:rsidR="00591538" w:rsidRPr="00591538" w:rsidRDefault="00591538" w:rsidP="00591538">
      <w:pPr>
        <w:rPr>
          <w:b/>
          <w:bCs/>
        </w:rPr>
      </w:pPr>
      <w:r w:rsidRPr="00591538">
        <w:rPr>
          <w:b/>
          <w:bCs/>
        </w:rPr>
        <w:t>6.2. Contributions</w:t>
      </w:r>
    </w:p>
    <w:p w14:paraId="36E81047" w14:textId="77777777" w:rsidR="00591538" w:rsidRPr="00591538" w:rsidRDefault="00591538" w:rsidP="00591538">
      <w:r w:rsidRPr="00591538">
        <w:t>The contributions of this work can be summarized as follows. (</w:t>
      </w:r>
      <w:proofErr w:type="spellStart"/>
      <w:r w:rsidRPr="00591538">
        <w:t>i</w:t>
      </w:r>
      <w:proofErr w:type="spellEnd"/>
      <w:r w:rsidRPr="00591538">
        <w:t xml:space="preserve">) We introduced, to our knowledge, the first dedicated visual place recognition dataset for a mid-sized Anatolian city, constructed with a reproducible grid-based geographic split that guards against spatial leakage. (ii) We reported a systematic ablation of the main design choices in a DINOv2-based two-stage pipeline on this dataset, including a non-standard comparison between patch-level </w:t>
      </w:r>
      <w:proofErr w:type="spellStart"/>
      <w:r w:rsidRPr="00591538">
        <w:t>GeM</w:t>
      </w:r>
      <w:proofErr w:type="spellEnd"/>
      <w:r w:rsidRPr="00591538">
        <w:t xml:space="preserve"> pooling and CLS-token aggregation. (iii) We documented and analyzed a negative result — the consistent failure of </w:t>
      </w:r>
      <w:proofErr w:type="spellStart"/>
      <w:r w:rsidRPr="00591538">
        <w:t>LightGlue</w:t>
      </w:r>
      <w:proofErr w:type="spellEnd"/>
      <w:r w:rsidRPr="00591538">
        <w:t xml:space="preserve">-based re-ranking to improve upon a well-adapted global descriptor on Street View imagery of a small Anatolian city — and proposed three specific causes grounded in the properties of the data and the pipeline. (iv) We showed that a single-stage </w:t>
      </w:r>
      <w:proofErr w:type="spellStart"/>
      <w:r w:rsidRPr="00591538">
        <w:t>ViT</w:t>
      </w:r>
      <w:proofErr w:type="spellEnd"/>
      <w:r w:rsidRPr="00591538">
        <w:t>-S/14 configuration offers an attractive accuracy–efficiency trade-off for this class of deployment scenarios. (v) We provided an error analysis that disentangles high-confidence perceptual aliasing (16.2% of errors, concentrated on repetitive residential streets) from long-tail database-sparsity errors (isolated test blocks with no nearby database anchors), highlighting that global metrics alone are insufficient to characterize a VPR system's reliability across a city.</w:t>
      </w:r>
    </w:p>
    <w:p w14:paraId="7FC54948" w14:textId="77777777" w:rsidR="00591538" w:rsidRPr="00591538" w:rsidRDefault="00591538" w:rsidP="00591538">
      <w:pPr>
        <w:rPr>
          <w:b/>
          <w:bCs/>
        </w:rPr>
      </w:pPr>
      <w:r w:rsidRPr="00591538">
        <w:rPr>
          <w:b/>
          <w:bCs/>
        </w:rPr>
        <w:t>6.3. Practical Implications</w:t>
      </w:r>
    </w:p>
    <w:p w14:paraId="4E995906" w14:textId="77777777" w:rsidR="00591538" w:rsidRPr="00591538" w:rsidRDefault="00591538" w:rsidP="00591538">
      <w:r w:rsidRPr="00591538">
        <w:t xml:space="preserve">From a practical standpoint, three implications follow directly from the results. First, for VPR deployments outside the dominant Western urban distribution that motivates most existing benchmarks, foundation models such as DINOv2 cannot be used zero-shot; a lightweight fine-tuning of the last few Transformer blocks on a city-specific dataset is both necessary and sufficient to obtain strong performance. Second, the standard </w:t>
      </w:r>
      <w:r w:rsidRPr="00591538">
        <w:lastRenderedPageBreak/>
        <w:t xml:space="preserve">global-then-local two-stage design cannot be assumed to generalize; practitioners should treat the Stage-2 re-ranker as a hypothesis to be tested rather than a default to be inherited, particularly when the imagery is stitched and the target city is architecturally uniform. Third, a single-stage </w:t>
      </w:r>
      <w:proofErr w:type="spellStart"/>
      <w:r w:rsidRPr="00591538">
        <w:t>ViT</w:t>
      </w:r>
      <w:proofErr w:type="spellEnd"/>
      <w:r w:rsidRPr="00591538">
        <w:t>-S/14 pipeline is a defensible default choice for embedded and mobile deployment scenarios, where the 25.6% parameter footprint and 2.9× speed-up may matter more than the small residual performance gap.</w:t>
      </w:r>
    </w:p>
    <w:p w14:paraId="6BF91D69" w14:textId="77777777" w:rsidR="00591538" w:rsidRPr="00591538" w:rsidRDefault="00591538" w:rsidP="00591538">
      <w:pPr>
        <w:rPr>
          <w:b/>
          <w:bCs/>
        </w:rPr>
      </w:pPr>
      <w:r w:rsidRPr="00591538">
        <w:rPr>
          <w:b/>
          <w:bCs/>
        </w:rPr>
        <w:t>6.4. Outlook</w:t>
      </w:r>
    </w:p>
    <w:p w14:paraId="4EEA2401" w14:textId="77777777" w:rsidR="00591538" w:rsidRPr="00591538" w:rsidRDefault="00591538" w:rsidP="00591538">
      <w:r w:rsidRPr="00591538">
        <w:t xml:space="preserve">Several avenues extend directly from this study. The most immediate is a systematic cross-source evaluation using consumer mobile-phone imagery, for which the framework and demonstration pipeline are already in place. Equally important is the replication of the pipeline on standard benchmarks (Pittsburgh30k, Tokyo24/7, MSLS) to determine which of the observations reported here generalize, and the extension of the dataset to include temporal variation (different seasons and capture periods) so that long-term robustness can be assessed. Confidence calibration for retrieval — a clear weakness highlighted by the rejection analysis — and parameter-efficient adaptation techniques such as </w:t>
      </w:r>
      <w:proofErr w:type="spellStart"/>
      <w:r w:rsidRPr="00591538">
        <w:t>LoRA</w:t>
      </w:r>
      <w:proofErr w:type="spellEnd"/>
      <w:r w:rsidRPr="00591538">
        <w:t xml:space="preserve"> represent two further directions with concrete potential to improve the practical reliability of the system. Finally, the public release of the </w:t>
      </w:r>
      <w:proofErr w:type="spellStart"/>
      <w:r w:rsidRPr="00591538">
        <w:t>Kırşehir</w:t>
      </w:r>
      <w:proofErr w:type="spellEnd"/>
      <w:r w:rsidRPr="00591538">
        <w:t xml:space="preserve"> dataset, or of the scripts required to reconstruct it, would enable independent replication and would contribute a non-Western data point to the broader visual place recognition landscape.</w:t>
      </w:r>
    </w:p>
    <w:p w14:paraId="077412B5" w14:textId="77777777" w:rsidR="00591538" w:rsidRPr="00591538" w:rsidRDefault="00591538" w:rsidP="00591538">
      <w:r w:rsidRPr="00591538">
        <w:t xml:space="preserve">Overall, the study supports a measured conclusion: foundation-model-based VPR is mature enough to deliver strong single-city localization in under-represented urban settings, but the design choices that are considered optimal on large Western benchmarks do not automatically transfer. Careful, city-specific empirical validation remains essential, and negative results — such as the one reported here for </w:t>
      </w:r>
      <w:proofErr w:type="spellStart"/>
      <w:r w:rsidRPr="00591538">
        <w:t>LightGlue</w:t>
      </w:r>
      <w:proofErr w:type="spellEnd"/>
      <w:r w:rsidRPr="00591538">
        <w:t xml:space="preserve"> re-ranking on </w:t>
      </w:r>
      <w:proofErr w:type="spellStart"/>
      <w:r w:rsidRPr="00591538">
        <w:t>Kırşehir</w:t>
      </w:r>
      <w:proofErr w:type="spellEnd"/>
      <w:r w:rsidRPr="00591538">
        <w:t xml:space="preserve"> — are as informative as positive ones for guiding the next generation of deployable VPR systems.</w:t>
      </w:r>
    </w:p>
    <w:p w14:paraId="4B475BA8" w14:textId="77777777" w:rsidR="001956F4" w:rsidRDefault="001956F4"/>
    <w:p w14:paraId="64B8EA45" w14:textId="77777777" w:rsidR="001956F4" w:rsidRDefault="001956F4"/>
    <w:p w14:paraId="4D4B4456" w14:textId="7B134F62" w:rsidR="001956F4" w:rsidRDefault="001956F4">
      <w:r>
        <w:t>References</w:t>
      </w:r>
    </w:p>
    <w:p w14:paraId="2E51C5F3" w14:textId="77777777" w:rsidR="00654241" w:rsidRPr="00654241" w:rsidRDefault="008D4C91" w:rsidP="00654241">
      <w:pPr>
        <w:pStyle w:val="EndNoteBibliography"/>
        <w:spacing w:after="0"/>
        <w:ind w:left="720" w:hanging="720"/>
      </w:pPr>
      <w:r>
        <w:fldChar w:fldCharType="begin"/>
      </w:r>
      <w:r>
        <w:instrText xml:space="preserve"> ADDIN EN.REFLIST </w:instrText>
      </w:r>
      <w:r>
        <w:fldChar w:fldCharType="separate"/>
      </w:r>
      <w:r w:rsidR="00654241" w:rsidRPr="00654241">
        <w:t>Ali-Bey A, Chaib-Draa B, and Giguere P. 2023. Mixvpr: Feature mixing for visual place recognition. Proceedings of the IEEE/CVF winter conference on applications of computer vision. p 2998–3007.</w:t>
      </w:r>
    </w:p>
    <w:p w14:paraId="5305743F" w14:textId="77777777" w:rsidR="00654241" w:rsidRPr="00654241" w:rsidRDefault="00654241" w:rsidP="00654241">
      <w:pPr>
        <w:pStyle w:val="EndNoteBibliography"/>
        <w:spacing w:after="0"/>
        <w:ind w:left="720" w:hanging="720"/>
      </w:pPr>
      <w:r w:rsidRPr="00654241">
        <w:t>Anguelov D, Dulong C, Filip D, Frueh C, Lafon S, Lyon R, Ogale A, Vincent L, and Weaver J. 2010. Google street view: Capturing the world at street level.</w:t>
      </w:r>
      <w:r w:rsidRPr="00654241">
        <w:rPr>
          <w:i/>
        </w:rPr>
        <w:t xml:space="preserve"> Computer</w:t>
      </w:r>
      <w:r w:rsidRPr="00654241">
        <w:t xml:space="preserve"> 43:32–38. </w:t>
      </w:r>
    </w:p>
    <w:p w14:paraId="3C4FA254" w14:textId="77777777" w:rsidR="00654241" w:rsidRPr="00654241" w:rsidRDefault="00654241" w:rsidP="00654241">
      <w:pPr>
        <w:pStyle w:val="EndNoteBibliography"/>
        <w:spacing w:after="0"/>
        <w:ind w:left="720" w:hanging="720"/>
      </w:pPr>
      <w:r w:rsidRPr="00654241">
        <w:t>Arandjelovic R, Gronat P, Torii A, Pajdla T, and Sivic J. 2016. NetVLAD: CNN architecture for weakly supervised place recognition. Proceedings of the IEEE conference on computer vision and pattern recognition. p 5297–5307.</w:t>
      </w:r>
    </w:p>
    <w:p w14:paraId="70E540A3" w14:textId="77777777" w:rsidR="00654241" w:rsidRPr="00654241" w:rsidRDefault="00654241" w:rsidP="00654241">
      <w:pPr>
        <w:pStyle w:val="EndNoteBibliography"/>
        <w:spacing w:after="0"/>
        <w:ind w:left="720" w:hanging="720"/>
      </w:pPr>
      <w:r w:rsidRPr="00654241">
        <w:lastRenderedPageBreak/>
        <w:t>Berton G, Masone C, and Caputo B. 2022. Rethinking visual geo-localization for large-scale applications. Proceedings of the IEEE/CVF Conference on Computer Vision and Pattern Recognition. p 4878–4888.</w:t>
      </w:r>
    </w:p>
    <w:p w14:paraId="2A760FCB" w14:textId="77777777" w:rsidR="00654241" w:rsidRPr="00654241" w:rsidRDefault="00654241" w:rsidP="00654241">
      <w:pPr>
        <w:pStyle w:val="EndNoteBibliography"/>
        <w:spacing w:after="0"/>
        <w:ind w:left="720" w:hanging="720"/>
      </w:pPr>
      <w:r w:rsidRPr="00654241">
        <w:t>Bommasani R, Hudson DA, Adeli E, Altman R, Arora S, von Arx S, Bernstein MS, Bohg J, Bosselut A, and Brunskill E. 2021. On the opportunities and risks of foundation models.</w:t>
      </w:r>
      <w:r w:rsidRPr="00654241">
        <w:rPr>
          <w:i/>
        </w:rPr>
        <w:t xml:space="preserve"> arXiv preprint arXiv:210807258</w:t>
      </w:r>
      <w:r w:rsidRPr="00654241">
        <w:t xml:space="preserve">. </w:t>
      </w:r>
    </w:p>
    <w:p w14:paraId="633D55C1" w14:textId="77777777" w:rsidR="00654241" w:rsidRPr="00654241" w:rsidRDefault="00654241" w:rsidP="00654241">
      <w:pPr>
        <w:pStyle w:val="EndNoteBibliography"/>
        <w:spacing w:after="0"/>
        <w:ind w:left="720" w:hanging="720"/>
      </w:pPr>
      <w:r w:rsidRPr="00654241">
        <w:t>Cummins M, and Newman P. 2008. FAB-MAP: Probabilistic localization and mapping in the space of appearance.</w:t>
      </w:r>
      <w:r w:rsidRPr="00654241">
        <w:rPr>
          <w:i/>
        </w:rPr>
        <w:t xml:space="preserve"> The International journal of robotics research</w:t>
      </w:r>
      <w:r w:rsidRPr="00654241">
        <w:t xml:space="preserve"> 27:647–665. </w:t>
      </w:r>
    </w:p>
    <w:p w14:paraId="283A02F4" w14:textId="77777777" w:rsidR="00654241" w:rsidRPr="00654241" w:rsidRDefault="00654241" w:rsidP="00654241">
      <w:pPr>
        <w:pStyle w:val="EndNoteBibliography"/>
        <w:spacing w:after="0"/>
        <w:ind w:left="720" w:hanging="720"/>
      </w:pPr>
      <w:r w:rsidRPr="00654241">
        <w:t>Dosovitskiy A, Beyer L, Kolesnikov A, Weissenborn D, Zhai X, Unterthiner T, Dehghani M, Minderer M, Heigold G, and Gelly S. 2020. An image is worth 16x16 words: Transformers for image recognition at scale.</w:t>
      </w:r>
      <w:r w:rsidRPr="00654241">
        <w:rPr>
          <w:i/>
        </w:rPr>
        <w:t xml:space="preserve"> arXiv preprint arXiv:201011929</w:t>
      </w:r>
      <w:r w:rsidRPr="00654241">
        <w:t xml:space="preserve">. </w:t>
      </w:r>
    </w:p>
    <w:p w14:paraId="6C1511E6" w14:textId="77777777" w:rsidR="00654241" w:rsidRPr="00654241" w:rsidRDefault="00654241" w:rsidP="00654241">
      <w:pPr>
        <w:pStyle w:val="EndNoteBibliography"/>
        <w:spacing w:after="0"/>
        <w:ind w:left="720" w:hanging="720"/>
      </w:pPr>
      <w:r w:rsidRPr="00654241">
        <w:t>Douze M, Guzhva A, Deng C, Johnson J, Szilvasy G, Mazaré P-E, Lomeli M, Hosseini L, and Jégou H. 2025. The faiss library.</w:t>
      </w:r>
      <w:r w:rsidRPr="00654241">
        <w:rPr>
          <w:i/>
        </w:rPr>
        <w:t xml:space="preserve"> IEEE Transactions on Big Data</w:t>
      </w:r>
      <w:r w:rsidRPr="00654241">
        <w:t xml:space="preserve">. </w:t>
      </w:r>
    </w:p>
    <w:p w14:paraId="1EB3C90A" w14:textId="77777777" w:rsidR="00654241" w:rsidRPr="00654241" w:rsidRDefault="00654241" w:rsidP="00654241">
      <w:pPr>
        <w:pStyle w:val="EndNoteBibliography"/>
        <w:spacing w:after="0"/>
        <w:ind w:left="720" w:hanging="720"/>
      </w:pPr>
      <w:r w:rsidRPr="00654241">
        <w:t>Guo C, Pleiss G, Sun Y, and Weinberger KQ. 2017. On calibration of modern neural networks. International conference on machine learning: PMLR. p 1321–1330.</w:t>
      </w:r>
    </w:p>
    <w:p w14:paraId="1E663B35" w14:textId="77777777" w:rsidR="00654241" w:rsidRPr="00654241" w:rsidRDefault="00654241" w:rsidP="00654241">
      <w:pPr>
        <w:pStyle w:val="EndNoteBibliography"/>
        <w:spacing w:after="0"/>
        <w:ind w:left="720" w:hanging="720"/>
      </w:pPr>
      <w:r w:rsidRPr="00654241">
        <w:t>Hausler S, Garg S, Xu M, Milford M, and Fischer T. 2021. Patch-netvlad: Multi-scale fusion of locally-global descriptors for place recognition. Proceedings of the IEEE/CVF conference on computer vision and pattern recognition. p 14141–14152.</w:t>
      </w:r>
    </w:p>
    <w:p w14:paraId="7BE6C260" w14:textId="77777777" w:rsidR="00654241" w:rsidRPr="00654241" w:rsidRDefault="00654241" w:rsidP="00654241">
      <w:pPr>
        <w:pStyle w:val="EndNoteBibliography"/>
        <w:spacing w:after="0"/>
        <w:ind w:left="720" w:hanging="720"/>
      </w:pPr>
      <w:r w:rsidRPr="00654241">
        <w:t>Hu EJ, Shen Y, Wallis P, Allen-Zhu Z, Li Y, Wang S, Wang L, and Chen W. 2022. Lora: Low-rank adaptation of large language models.</w:t>
      </w:r>
      <w:r w:rsidRPr="00654241">
        <w:rPr>
          <w:i/>
        </w:rPr>
        <w:t xml:space="preserve"> Iclr</w:t>
      </w:r>
      <w:r w:rsidRPr="00654241">
        <w:t xml:space="preserve"> 1:3. </w:t>
      </w:r>
    </w:p>
    <w:p w14:paraId="65D2B465" w14:textId="77777777" w:rsidR="00654241" w:rsidRPr="00654241" w:rsidRDefault="00654241" w:rsidP="00654241">
      <w:pPr>
        <w:pStyle w:val="EndNoteBibliography"/>
        <w:spacing w:after="0"/>
        <w:ind w:left="720" w:hanging="720"/>
      </w:pPr>
      <w:r w:rsidRPr="00654241">
        <w:t>Lindenberger P, Sarlin P-E, and Pollefeys M. 2023. Lightglue: Local feature matching at light speed. Proceedings of the IEEE/CVF international conference on computer vision. p 17627–17638.</w:t>
      </w:r>
    </w:p>
    <w:p w14:paraId="554788F4" w14:textId="77777777" w:rsidR="00654241" w:rsidRPr="00654241" w:rsidRDefault="00654241" w:rsidP="00654241">
      <w:pPr>
        <w:pStyle w:val="EndNoteBibliography"/>
        <w:spacing w:after="0"/>
        <w:ind w:left="720" w:hanging="720"/>
      </w:pPr>
      <w:r w:rsidRPr="00654241">
        <w:t>Lowry S, Sünderhauf N, Newman P, Leonard JJ, Cox D, Corke P, and Milford MJ. 2015. Visual place recognition: A survey.</w:t>
      </w:r>
      <w:r w:rsidRPr="00654241">
        <w:rPr>
          <w:i/>
        </w:rPr>
        <w:t xml:space="preserve"> ieee transactions on robotics</w:t>
      </w:r>
      <w:r w:rsidRPr="00654241">
        <w:t xml:space="preserve"> 32:1–19. </w:t>
      </w:r>
    </w:p>
    <w:p w14:paraId="01296FE4" w14:textId="77777777" w:rsidR="00654241" w:rsidRPr="00654241" w:rsidRDefault="00654241" w:rsidP="00654241">
      <w:pPr>
        <w:pStyle w:val="EndNoteBibliography"/>
        <w:spacing w:after="0"/>
        <w:ind w:left="720" w:hanging="720"/>
      </w:pPr>
      <w:r w:rsidRPr="00654241">
        <w:t>Maddern W, Pascoe G, Linegar C, and Newman P. 2017. 1 year, 1000 km: The oxford robotcar dataset.</w:t>
      </w:r>
      <w:r w:rsidRPr="00654241">
        <w:rPr>
          <w:i/>
        </w:rPr>
        <w:t xml:space="preserve"> The International journal of robotics research</w:t>
      </w:r>
      <w:r w:rsidRPr="00654241">
        <w:t xml:space="preserve"> 36:3–15. </w:t>
      </w:r>
    </w:p>
    <w:p w14:paraId="432F1C42" w14:textId="77777777" w:rsidR="00654241" w:rsidRPr="00654241" w:rsidRDefault="00654241" w:rsidP="00654241">
      <w:pPr>
        <w:pStyle w:val="EndNoteBibliography"/>
        <w:spacing w:after="0"/>
        <w:ind w:left="720" w:hanging="720"/>
      </w:pPr>
      <w:r w:rsidRPr="00654241">
        <w:t>Musgrave K, Belongie S, and Lim S-N. 2020. Pytorch metric learning.</w:t>
      </w:r>
      <w:r w:rsidRPr="00654241">
        <w:rPr>
          <w:i/>
        </w:rPr>
        <w:t xml:space="preserve"> arXiv preprint arXiv:200809164</w:t>
      </w:r>
      <w:r w:rsidRPr="00654241">
        <w:t xml:space="preserve">. </w:t>
      </w:r>
    </w:p>
    <w:p w14:paraId="40F9FC2A" w14:textId="77777777" w:rsidR="00654241" w:rsidRPr="00654241" w:rsidRDefault="00654241" w:rsidP="00654241">
      <w:pPr>
        <w:pStyle w:val="EndNoteBibliography"/>
        <w:spacing w:after="0"/>
        <w:ind w:left="720" w:hanging="720"/>
      </w:pPr>
      <w:r w:rsidRPr="00654241">
        <w:t>Oquab M, Darcet T, Moutakanni T, Vo H, Szafraniec M, Khalidov V, Fernandez P, Haziza D, Massa F, and El-Nouby A. 2023. Dinov2: Learning robust visual features without supervision.</w:t>
      </w:r>
      <w:r w:rsidRPr="00654241">
        <w:rPr>
          <w:i/>
        </w:rPr>
        <w:t xml:space="preserve"> arXiv preprint arXiv:230407193</w:t>
      </w:r>
      <w:r w:rsidRPr="00654241">
        <w:t xml:space="preserve">. </w:t>
      </w:r>
    </w:p>
    <w:p w14:paraId="4A103861" w14:textId="77777777" w:rsidR="00654241" w:rsidRPr="00654241" w:rsidRDefault="00654241" w:rsidP="00654241">
      <w:pPr>
        <w:pStyle w:val="EndNoteBibliography"/>
        <w:spacing w:after="0"/>
        <w:ind w:left="720" w:hanging="720"/>
      </w:pPr>
      <w:r w:rsidRPr="00654241">
        <w:t>Radenović F, Tolias G, and Chum O. 2018. Fine-tuning CNN image retrieval with no human annotation.</w:t>
      </w:r>
      <w:r w:rsidRPr="00654241">
        <w:rPr>
          <w:i/>
        </w:rPr>
        <w:t xml:space="preserve"> IEEE transactions on pattern analysis and machine intelligence</w:t>
      </w:r>
      <w:r w:rsidRPr="00654241">
        <w:t xml:space="preserve"> 41:1655–1668. </w:t>
      </w:r>
    </w:p>
    <w:p w14:paraId="44D9E7FC" w14:textId="77777777" w:rsidR="00654241" w:rsidRPr="00654241" w:rsidRDefault="00654241" w:rsidP="00654241">
      <w:pPr>
        <w:pStyle w:val="EndNoteBibliography"/>
        <w:spacing w:after="0"/>
        <w:ind w:left="720" w:hanging="720"/>
      </w:pPr>
      <w:r w:rsidRPr="00654241">
        <w:t>Sattler T, Maddern W, Toft C, Torii A, Hammarstrand L, Stenborg E, Safari D, Okutomi M, Pollefeys M, and Sivic J. 2018. Benchmarking 6dof outdoor visual localization in changing conditions. Proceedings of the IEEE conference on computer vision and pattern recognition. p 8601–8610.</w:t>
      </w:r>
    </w:p>
    <w:p w14:paraId="4AA83C11" w14:textId="77777777" w:rsidR="00654241" w:rsidRPr="00654241" w:rsidRDefault="00654241" w:rsidP="00654241">
      <w:pPr>
        <w:pStyle w:val="EndNoteBibliography"/>
        <w:spacing w:after="0"/>
        <w:ind w:left="720" w:hanging="720"/>
      </w:pPr>
      <w:r w:rsidRPr="00654241">
        <w:t>Schroff F, Kalenichenko D, and Philbin J. 2015. Facenet: A unified embedding for face recognition and clustering. Proceedings of the IEEE conference on computer vision and pattern recognition. p 815–823.</w:t>
      </w:r>
    </w:p>
    <w:p w14:paraId="52710F7E" w14:textId="77777777" w:rsidR="00654241" w:rsidRPr="00654241" w:rsidRDefault="00654241" w:rsidP="00654241">
      <w:pPr>
        <w:pStyle w:val="EndNoteBibliography"/>
        <w:spacing w:after="0"/>
        <w:ind w:left="720" w:hanging="720"/>
      </w:pPr>
      <w:r w:rsidRPr="00654241">
        <w:t>Torii A, Arandjelovic R, Sivic J, Okutomi M, and Pajdla T. 2015. 24/7 place recognition by view synthesis. Proceedings of the IEEE conference on computer vision and pattern recognition. p 1808–1817.</w:t>
      </w:r>
    </w:p>
    <w:p w14:paraId="07169058" w14:textId="77777777" w:rsidR="00654241" w:rsidRPr="00654241" w:rsidRDefault="00654241" w:rsidP="00654241">
      <w:pPr>
        <w:pStyle w:val="EndNoteBibliography"/>
        <w:spacing w:after="0"/>
        <w:ind w:left="720" w:hanging="720"/>
      </w:pPr>
      <w:r w:rsidRPr="00654241">
        <w:lastRenderedPageBreak/>
        <w:t>Wang X, Han X, Huang W, Dong D, and Scott MR. 2019. Multi-similarity loss with general pair weighting for deep metric learning. Proceedings of the IEEE/CVF conference on computer vision and pattern recognition. p 5022–5030.</w:t>
      </w:r>
    </w:p>
    <w:p w14:paraId="0DEE145C" w14:textId="77777777" w:rsidR="00654241" w:rsidRPr="00654241" w:rsidRDefault="00654241" w:rsidP="00654241">
      <w:pPr>
        <w:pStyle w:val="EndNoteBibliography"/>
        <w:spacing w:after="0"/>
        <w:ind w:left="720" w:hanging="720"/>
      </w:pPr>
      <w:r w:rsidRPr="00654241">
        <w:t>Warburg F, Hauberg S, Lopez-Antequera M, Gargallo P, Kuang Y, and Civera J. 2020. Mapillary street-level sequences: A dataset for lifelong place recognition. Proceedings of the IEEE/CVF conference on computer vision and pattern recognition. p 2626–2635.</w:t>
      </w:r>
    </w:p>
    <w:p w14:paraId="7AD33127" w14:textId="77777777" w:rsidR="00654241" w:rsidRPr="00654241" w:rsidRDefault="00654241" w:rsidP="00654241">
      <w:pPr>
        <w:pStyle w:val="EndNoteBibliography"/>
        <w:ind w:left="720" w:hanging="720"/>
      </w:pPr>
      <w:r w:rsidRPr="00654241">
        <w:t>Zhao X, Wu X, Chen W, Chen PC, Xu Q, and Li Z. 2023. Aliked: A lighter keypoint and descriptor extraction network via deformable transformation.</w:t>
      </w:r>
      <w:r w:rsidRPr="00654241">
        <w:rPr>
          <w:i/>
        </w:rPr>
        <w:t xml:space="preserve"> IEEE Transactions on Instrumentation and Measurement</w:t>
      </w:r>
      <w:r w:rsidRPr="00654241">
        <w:t xml:space="preserve"> 72:1–16. </w:t>
      </w:r>
    </w:p>
    <w:p w14:paraId="23DA7BC3" w14:textId="05326ED9" w:rsidR="00E97ADD" w:rsidRDefault="008D4C91" w:rsidP="00723784">
      <w:r>
        <w:fldChar w:fldCharType="end"/>
      </w:r>
    </w:p>
    <w:sectPr w:rsidR="00E97ADD" w:rsidSect="00006DB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PeerJ&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x50w9txmzwp0uex5r95r20sfz029raapfrf&quot;&gt;My EndNote Library&lt;record-ids&gt;&lt;item&gt;1349&lt;/item&gt;&lt;item&gt;1350&lt;/item&gt;&lt;item&gt;1351&lt;/item&gt;&lt;item&gt;1352&lt;/item&gt;&lt;item&gt;1353&lt;/item&gt;&lt;item&gt;1354&lt;/item&gt;&lt;item&gt;1355&lt;/item&gt;&lt;item&gt;1356&lt;/item&gt;&lt;item&gt;1357&lt;/item&gt;&lt;item&gt;1358&lt;/item&gt;&lt;item&gt;1359&lt;/item&gt;&lt;item&gt;1360&lt;/item&gt;&lt;item&gt;1361&lt;/item&gt;&lt;item&gt;1362&lt;/item&gt;&lt;item&gt;1363&lt;/item&gt;&lt;item&gt;1364&lt;/item&gt;&lt;item&gt;1365&lt;/item&gt;&lt;item&gt;1367&lt;/item&gt;&lt;item&gt;1368&lt;/item&gt;&lt;item&gt;1369&lt;/item&gt;&lt;item&gt;1370&lt;/item&gt;&lt;item&gt;1371&lt;/item&gt;&lt;item&gt;1372&lt;/item&gt;&lt;/record-ids&gt;&lt;/item&gt;&lt;/Libraries&gt;"/>
  </w:docVars>
  <w:rsids>
    <w:rsidRoot w:val="00747F9D"/>
    <w:rsid w:val="00006DB1"/>
    <w:rsid w:val="000134D1"/>
    <w:rsid w:val="000707F2"/>
    <w:rsid w:val="00074E05"/>
    <w:rsid w:val="000B572D"/>
    <w:rsid w:val="00155910"/>
    <w:rsid w:val="001956F4"/>
    <w:rsid w:val="00212A77"/>
    <w:rsid w:val="00227E57"/>
    <w:rsid w:val="002522CB"/>
    <w:rsid w:val="002B6448"/>
    <w:rsid w:val="003B0483"/>
    <w:rsid w:val="003E7F29"/>
    <w:rsid w:val="00401C2D"/>
    <w:rsid w:val="004157DF"/>
    <w:rsid w:val="00442D4E"/>
    <w:rsid w:val="0048119D"/>
    <w:rsid w:val="004847EB"/>
    <w:rsid w:val="00492D15"/>
    <w:rsid w:val="005554CD"/>
    <w:rsid w:val="00591538"/>
    <w:rsid w:val="005D5DC6"/>
    <w:rsid w:val="00654241"/>
    <w:rsid w:val="00684733"/>
    <w:rsid w:val="00723784"/>
    <w:rsid w:val="00747F9D"/>
    <w:rsid w:val="00757A4D"/>
    <w:rsid w:val="007C0C22"/>
    <w:rsid w:val="007C5DEE"/>
    <w:rsid w:val="007C7770"/>
    <w:rsid w:val="008020D4"/>
    <w:rsid w:val="008C6A90"/>
    <w:rsid w:val="008D488B"/>
    <w:rsid w:val="008D4C91"/>
    <w:rsid w:val="00936835"/>
    <w:rsid w:val="009649CD"/>
    <w:rsid w:val="009728B4"/>
    <w:rsid w:val="009959D1"/>
    <w:rsid w:val="009E0C64"/>
    <w:rsid w:val="009F160D"/>
    <w:rsid w:val="00A625B7"/>
    <w:rsid w:val="00A91D0C"/>
    <w:rsid w:val="00A954B6"/>
    <w:rsid w:val="00AC62EC"/>
    <w:rsid w:val="00AE204E"/>
    <w:rsid w:val="00B1054A"/>
    <w:rsid w:val="00B41E32"/>
    <w:rsid w:val="00B510C5"/>
    <w:rsid w:val="00B5494A"/>
    <w:rsid w:val="00B7499B"/>
    <w:rsid w:val="00BD7A24"/>
    <w:rsid w:val="00C10BFF"/>
    <w:rsid w:val="00C4126F"/>
    <w:rsid w:val="00C70C8F"/>
    <w:rsid w:val="00CA0019"/>
    <w:rsid w:val="00CB1E03"/>
    <w:rsid w:val="00D469BC"/>
    <w:rsid w:val="00DC7197"/>
    <w:rsid w:val="00E018DB"/>
    <w:rsid w:val="00E97ADD"/>
    <w:rsid w:val="00EC494D"/>
    <w:rsid w:val="00F14130"/>
    <w:rsid w:val="00FB1C89"/>
    <w:rsid w:val="00FF3A9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7424F"/>
  <w15:chartTrackingRefBased/>
  <w15:docId w15:val="{8AE2DA8D-BE01-4068-8054-07E1A420E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47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47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47F9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47F9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47F9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47F9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47F9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47F9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47F9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47F9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47F9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47F9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47F9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47F9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47F9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47F9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47F9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47F9D"/>
    <w:rPr>
      <w:rFonts w:eastAsiaTheme="majorEastAsia" w:cstheme="majorBidi"/>
      <w:color w:val="272727" w:themeColor="text1" w:themeTint="D8"/>
    </w:rPr>
  </w:style>
  <w:style w:type="paragraph" w:styleId="KonuBal">
    <w:name w:val="Title"/>
    <w:basedOn w:val="Normal"/>
    <w:next w:val="Normal"/>
    <w:link w:val="KonuBalChar"/>
    <w:uiPriority w:val="10"/>
    <w:qFormat/>
    <w:rsid w:val="00747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47F9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47F9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47F9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47F9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47F9D"/>
    <w:rPr>
      <w:i/>
      <w:iCs/>
      <w:color w:val="404040" w:themeColor="text1" w:themeTint="BF"/>
    </w:rPr>
  </w:style>
  <w:style w:type="paragraph" w:styleId="ListeParagraf">
    <w:name w:val="List Paragraph"/>
    <w:basedOn w:val="Normal"/>
    <w:uiPriority w:val="34"/>
    <w:qFormat/>
    <w:rsid w:val="00747F9D"/>
    <w:pPr>
      <w:ind w:left="720"/>
      <w:contextualSpacing/>
    </w:pPr>
  </w:style>
  <w:style w:type="character" w:styleId="GlVurgulama">
    <w:name w:val="Intense Emphasis"/>
    <w:basedOn w:val="VarsaylanParagrafYazTipi"/>
    <w:uiPriority w:val="21"/>
    <w:qFormat/>
    <w:rsid w:val="00747F9D"/>
    <w:rPr>
      <w:i/>
      <w:iCs/>
      <w:color w:val="0F4761" w:themeColor="accent1" w:themeShade="BF"/>
    </w:rPr>
  </w:style>
  <w:style w:type="paragraph" w:styleId="GlAlnt">
    <w:name w:val="Intense Quote"/>
    <w:basedOn w:val="Normal"/>
    <w:next w:val="Normal"/>
    <w:link w:val="GlAlntChar"/>
    <w:uiPriority w:val="30"/>
    <w:qFormat/>
    <w:rsid w:val="00747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47F9D"/>
    <w:rPr>
      <w:i/>
      <w:iCs/>
      <w:color w:val="0F4761" w:themeColor="accent1" w:themeShade="BF"/>
    </w:rPr>
  </w:style>
  <w:style w:type="character" w:styleId="GlBavuru">
    <w:name w:val="Intense Reference"/>
    <w:basedOn w:val="VarsaylanParagrafYazTipi"/>
    <w:uiPriority w:val="32"/>
    <w:qFormat/>
    <w:rsid w:val="00747F9D"/>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8D4C91"/>
    <w:pPr>
      <w:spacing w:after="0"/>
      <w:jc w:val="center"/>
    </w:pPr>
    <w:rPr>
      <w:rFonts w:ascii="Aptos" w:hAnsi="Aptos"/>
      <w:noProof/>
    </w:rPr>
  </w:style>
  <w:style w:type="character" w:customStyle="1" w:styleId="EndNoteBibliographyTitleChar">
    <w:name w:val="EndNote Bibliography Title Char"/>
    <w:basedOn w:val="VarsaylanParagrafYazTipi"/>
    <w:link w:val="EndNoteBibliographyTitle"/>
    <w:rsid w:val="008D4C91"/>
    <w:rPr>
      <w:rFonts w:ascii="Aptos" w:hAnsi="Aptos"/>
      <w:noProof/>
    </w:rPr>
  </w:style>
  <w:style w:type="paragraph" w:customStyle="1" w:styleId="EndNoteBibliography">
    <w:name w:val="EndNote Bibliography"/>
    <w:basedOn w:val="Normal"/>
    <w:link w:val="EndNoteBibliographyChar"/>
    <w:rsid w:val="008D4C91"/>
    <w:pPr>
      <w:spacing w:line="240" w:lineRule="auto"/>
    </w:pPr>
    <w:rPr>
      <w:rFonts w:ascii="Aptos" w:hAnsi="Aptos"/>
      <w:noProof/>
    </w:rPr>
  </w:style>
  <w:style w:type="character" w:customStyle="1" w:styleId="EndNoteBibliographyChar">
    <w:name w:val="EndNote Bibliography Char"/>
    <w:basedOn w:val="VarsaylanParagrafYazTipi"/>
    <w:link w:val="EndNoteBibliography"/>
    <w:rsid w:val="008D4C91"/>
    <w:rPr>
      <w:rFonts w:ascii="Aptos" w:hAnsi="Apto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32</Pages>
  <Words>20048</Words>
  <Characters>114279</Characters>
  <Application>Microsoft Office Word</Application>
  <DocSecurity>0</DocSecurity>
  <Lines>952</Lines>
  <Paragraphs>268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IŞIK</dc:creator>
  <cp:keywords/>
  <dc:description/>
  <cp:lastModifiedBy>Murat IŞIK</cp:lastModifiedBy>
  <cp:revision>54</cp:revision>
  <dcterms:created xsi:type="dcterms:W3CDTF">2026-04-16T09:23:00Z</dcterms:created>
  <dcterms:modified xsi:type="dcterms:W3CDTF">2026-04-17T19:58:00Z</dcterms:modified>
</cp:coreProperties>
</file>