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5A33F" w14:textId="77777777" w:rsidR="007A10CE" w:rsidRDefault="00000000">
      <w:pPr>
        <w:pStyle w:val="Overskrift1"/>
      </w:pPr>
      <w:bookmarkStart w:id="0" w:name="X422829a421aa14fc7f101788fdddb13f9a89b01"/>
      <w:r>
        <w:t>Eksamensbesvarelse: Biostatistik og Epidemiologi - Marts 2026</w:t>
      </w:r>
    </w:p>
    <w:p w14:paraId="7DB47BA7" w14:textId="77777777" w:rsidR="007A10CE" w:rsidRDefault="00000000">
      <w:pPr>
        <w:pStyle w:val="FirstParagraph"/>
      </w:pPr>
      <w:r>
        <w:rPr>
          <w:b/>
          <w:bCs/>
        </w:rPr>
        <w:t>Artikel:</w:t>
      </w:r>
      <w:r>
        <w:t xml:space="preserve"> Hannan et al. (2019) Predictors of Imminent Risk of Nonvertebral Fracture in Older, High-Risk Women: The Framingham Osteoporosis Study </w:t>
      </w:r>
      <w:r>
        <w:rPr>
          <w:b/>
          <w:bCs/>
        </w:rPr>
        <w:t>Datasæt:</w:t>
      </w:r>
      <w:r>
        <w:t xml:space="preserve"> Hannan.RData (n = 1.470)</w:t>
      </w:r>
    </w:p>
    <w:p w14:paraId="0FF8B8B9" w14:textId="77777777" w:rsidR="007A10CE" w:rsidRDefault="0063481E">
      <w:r>
        <w:rPr>
          <w:noProof/>
        </w:rPr>
        <w:pict w14:anchorId="699BCB03">
          <v:rect id="_x0000_i1030" alt="" style="width:481.9pt;height:.05pt;mso-width-percent:0;mso-height-percent:0;mso-width-percent:0;mso-height-percent:0" o:hralign="center" o:hrstd="t" o:hr="t"/>
        </w:pict>
      </w:r>
    </w:p>
    <w:p w14:paraId="53D338D8" w14:textId="77777777" w:rsidR="007A10CE" w:rsidRDefault="00000000">
      <w:pPr>
        <w:pStyle w:val="Overskrift2"/>
      </w:pPr>
      <w:bookmarkStart w:id="1" w:name="spørgsmål-1-epidemiologi-selektionsbias"/>
      <w:r>
        <w:t>Spørgsmål 1 – Epidemiologi: Selektionsbias</w:t>
      </w:r>
    </w:p>
    <w:p w14:paraId="693893AD" w14:textId="77777777" w:rsidR="007A10CE" w:rsidRDefault="00000000">
      <w:pPr>
        <w:pStyle w:val="Overskrift3"/>
      </w:pPr>
      <w:bookmarkStart w:id="2" w:name="a-beskriv-kort-studiepopulationen"/>
      <w:r>
        <w:t>a) Beskriv kort studiepopulationen</w:t>
      </w:r>
    </w:p>
    <w:p w14:paraId="3A86528D" w14:textId="77777777" w:rsidR="007A10CE" w:rsidRDefault="00000000">
      <w:pPr>
        <w:pStyle w:val="FirstParagraph"/>
      </w:pPr>
      <w:r>
        <w:t xml:space="preserve">Studiepopulationen stammer fra Framingham Study (Original Cohort startet 1948 og Offspring Cohort startet 1971). Den endelige studiepopulation bestod af </w:t>
      </w:r>
      <w:r>
        <w:rPr>
          <w:b/>
          <w:bCs/>
        </w:rPr>
        <w:t>1.470 kvinder</w:t>
      </w:r>
      <w:r>
        <w:t xml:space="preserve"> (med 2.778 observationer, da hver kvinde bidrog med op til 3 DXA-målinger).</w:t>
      </w:r>
    </w:p>
    <w:p w14:paraId="4E19CAFB" w14:textId="77777777" w:rsidR="007A10CE" w:rsidRDefault="00000000">
      <w:pPr>
        <w:pStyle w:val="Brdtekst"/>
      </w:pPr>
      <w:r>
        <w:rPr>
          <w:b/>
          <w:bCs/>
        </w:rPr>
        <w:t>Inklusionskriterier:</w:t>
      </w:r>
      <w:r>
        <w:t xml:space="preserve"> - Kvinder ≥65 år - Mindst ét af følgende: (1) osteoporose (T-score ≤ −2,5 i femoral neck eller lumbal columna), (2) osteopeni (T-score &gt; −2,5 til ≤ −1,0), eller (3) anamnese med non-vertebral eller vertebral fraktur uanset T-score</w:t>
      </w:r>
    </w:p>
    <w:p w14:paraId="4E8CDE44" w14:textId="77777777" w:rsidR="007A10CE" w:rsidRDefault="00000000">
      <w:pPr>
        <w:pStyle w:val="Brdtekst"/>
      </w:pPr>
      <w:r>
        <w:rPr>
          <w:b/>
          <w:bCs/>
        </w:rPr>
        <w:t>Eksklusionskriterier:</w:t>
      </w:r>
      <w:r>
        <w:t xml:space="preserve"> - Patologiske frakturer (fx pga. cancer) - Frakturer forårsaget af high-energy traume (trafikuheld, overfald)</w:t>
      </w:r>
    </w:p>
    <w:p w14:paraId="0D37C3CD" w14:textId="77777777" w:rsidR="007A10CE" w:rsidRDefault="00000000">
      <w:pPr>
        <w:pStyle w:val="Overskrift3"/>
      </w:pPr>
      <w:bookmarkStart w:id="3" w:name="b-hvorfor-denne-studiepopulation"/>
      <w:bookmarkEnd w:id="2"/>
      <w:r>
        <w:t>b) Hvorfor denne studiepopulation?</w:t>
      </w:r>
    </w:p>
    <w:p w14:paraId="2F5F54EF" w14:textId="77777777" w:rsidR="007A10CE" w:rsidRDefault="00000000">
      <w:pPr>
        <w:pStyle w:val="FirstParagraph"/>
      </w:pPr>
      <w:r>
        <w:t xml:space="preserve">Forfatternes formål var at identificere prædiktorer for </w:t>
      </w:r>
      <w:r>
        <w:rPr>
          <w:b/>
          <w:bCs/>
        </w:rPr>
        <w:t>imminent</w:t>
      </w:r>
      <w:r>
        <w:t xml:space="preserve"> (1–2 år) frakturrisiko hos ældre kvinder med </w:t>
      </w:r>
      <w:r>
        <w:rPr>
          <w:b/>
          <w:bCs/>
        </w:rPr>
        <w:t>høj risiko</w:t>
      </w:r>
      <w:r>
        <w:t>. Valget af population afspejler dette:</w:t>
      </w:r>
    </w:p>
    <w:p w14:paraId="774A16E8" w14:textId="77777777" w:rsidR="007A10CE" w:rsidRDefault="00000000">
      <w:pPr>
        <w:pStyle w:val="Compact"/>
        <w:numPr>
          <w:ilvl w:val="0"/>
          <w:numId w:val="2"/>
        </w:numPr>
      </w:pPr>
      <w:r>
        <w:t>Ved at inkludere kvinder med allerede lav BMD eller tidligere fraktur fokuserer studiet på den klinisk mest relevante gruppe – dem der har forhøjet frakturrisiko og som kunne have gavn af behandling.</w:t>
      </w:r>
    </w:p>
    <w:p w14:paraId="705DCA6C" w14:textId="77777777" w:rsidR="007A10CE" w:rsidRDefault="00000000">
      <w:pPr>
        <w:pStyle w:val="Compact"/>
        <w:numPr>
          <w:ilvl w:val="0"/>
          <w:numId w:val="2"/>
        </w:numPr>
      </w:pPr>
      <w:r>
        <w:t>Eksisterende værktøjer som FRAX prædikterer 10-års risiko, men for ældre kvinder med etableret osteoporose er kortsigtede risikofaktorer mere klinisk relevante, fx ift. beslutning om at starte dyr anabolisk knoglebehandling.</w:t>
      </w:r>
    </w:p>
    <w:p w14:paraId="592B9315" w14:textId="77777777" w:rsidR="007A10CE" w:rsidRDefault="00000000">
      <w:pPr>
        <w:pStyle w:val="Compact"/>
        <w:numPr>
          <w:ilvl w:val="0"/>
          <w:numId w:val="2"/>
        </w:numPr>
      </w:pPr>
      <w:r>
        <w:t>Inklusionskriterierne svarer i høj grad til NOF’s retningslinjer for hvem der bør overvejes til behandling.</w:t>
      </w:r>
    </w:p>
    <w:p w14:paraId="77B68496" w14:textId="77777777" w:rsidR="007A10CE" w:rsidRDefault="00000000">
      <w:pPr>
        <w:pStyle w:val="Overskrift3"/>
      </w:pPr>
      <w:bookmarkStart w:id="4" w:name="c-selektionsbias-og-validitet"/>
      <w:bookmarkEnd w:id="3"/>
      <w:r>
        <w:t>c) Selektionsbias og validitet</w:t>
      </w:r>
    </w:p>
    <w:p w14:paraId="30096747" w14:textId="77777777" w:rsidR="007A10CE" w:rsidRDefault="00000000">
      <w:pPr>
        <w:pStyle w:val="FirstParagraph"/>
      </w:pPr>
      <w:r>
        <w:rPr>
          <w:b/>
          <w:bCs/>
        </w:rPr>
        <w:t>Intern validitet:</w:t>
      </w:r>
      <w:r>
        <w:t xml:space="preserve"> Studiepopulationen er bevidst selekteret til højrisikokvinder. Inden for denne gruppe er der ikke nødvendigvis selektionsbias, da alle kvalificerede kvinder fra Framingham-kohorten inkluderes. Dog kan der forekomme selektionsbias gennem frafald: kvinder med dårligst helbred kan dø eller frafalde mellem DXA-skanninger, hvilket kan underestimere sammenhænge. Desuden er Framingham Study velkarakteriseret med &gt;95% follow-up, hvilket minimerer selektionsbias.</w:t>
      </w:r>
    </w:p>
    <w:p w14:paraId="73CBE123" w14:textId="77777777" w:rsidR="007A10CE" w:rsidRDefault="00000000">
      <w:pPr>
        <w:pStyle w:val="Brdtekst"/>
      </w:pPr>
      <w:r>
        <w:rPr>
          <w:b/>
          <w:bCs/>
        </w:rPr>
        <w:lastRenderedPageBreak/>
        <w:t>Ekstern validitet:</w:t>
      </w:r>
      <w:r>
        <w:t xml:space="preserve"> Her er der væsentlige begrænsninger: - Framingham Study består primært af </w:t>
      </w:r>
      <w:r>
        <w:rPr>
          <w:b/>
          <w:bCs/>
        </w:rPr>
        <w:t>hvide kvinder</w:t>
      </w:r>
      <w:r>
        <w:t xml:space="preserve">, så resultaterne kan ikke generaliseres til andre etniske grupper. - Populationen er fra ét geografisk område i USA (Framingham, Massachusetts). - Resultaterne gælder kun for </w:t>
      </w:r>
      <w:r>
        <w:rPr>
          <w:b/>
          <w:bCs/>
        </w:rPr>
        <w:t>ældre kvinder med osteoporose/osteopeni/frakturhistorie</w:t>
      </w:r>
      <w:r>
        <w:t xml:space="preserve"> – ikke for generelle postmenopausale kvinder eller mænd.</w:t>
      </w:r>
    </w:p>
    <w:p w14:paraId="6F88ED74" w14:textId="77777777" w:rsidR="007A10CE" w:rsidRDefault="0063481E">
      <w:r>
        <w:rPr>
          <w:noProof/>
        </w:rPr>
        <w:pict w14:anchorId="0C2616A2">
          <v:rect id="_x0000_i1029" alt="" style="width:481.9pt;height:.05pt;mso-width-percent:0;mso-height-percent:0;mso-width-percent:0;mso-height-percent:0" o:hralign="center" o:hrstd="t" o:hr="t"/>
        </w:pict>
      </w:r>
    </w:p>
    <w:p w14:paraId="730A7100" w14:textId="77777777" w:rsidR="007A10CE" w:rsidRDefault="00000000">
      <w:pPr>
        <w:pStyle w:val="Overskrift2"/>
      </w:pPr>
      <w:bookmarkStart w:id="5" w:name="X486f66333b928e18fe293e2aa01a0594a9bb668"/>
      <w:bookmarkEnd w:id="1"/>
      <w:bookmarkEnd w:id="4"/>
      <w:r>
        <w:t>Spørgsmål 2 – Epidemiologi: Informationsbias</w:t>
      </w:r>
    </w:p>
    <w:p w14:paraId="729E028F" w14:textId="77777777" w:rsidR="007A10CE" w:rsidRDefault="00000000">
      <w:pPr>
        <w:pStyle w:val="Overskrift3"/>
      </w:pPr>
      <w:bookmarkStart w:id="6" w:name="a-dataindsamling"/>
      <w:r>
        <w:t>a) Dataindsamling</w:t>
      </w:r>
    </w:p>
    <w:p w14:paraId="32D52801" w14:textId="77777777" w:rsidR="007A10CE" w:rsidRDefault="00000000">
      <w:pPr>
        <w:pStyle w:val="FirstParagraph"/>
      </w:pPr>
      <w:r>
        <w:t xml:space="preserve">Oplysninger om prædiktorer som “fald det sidste år” og “selvvurderet helbred” er indsamlet via </w:t>
      </w:r>
      <w:r>
        <w:rPr>
          <w:b/>
          <w:bCs/>
        </w:rPr>
        <w:t>selvrapportering</w:t>
      </w:r>
      <w:r>
        <w:t xml:space="preserve"> – gennem spørgeskemaer og kliniske interviews ved de regelmæssige Framingham-undersøgelser (hvert 2. eller 4. år afhængigt af kohorten). “Fald det sidste år” er rapporteret som ja/nej ved DXA-skanningsbesøget. “Selvvurderet helbred” er ligeledes selvrapporteret (excellent/good/fair/poor).</w:t>
      </w:r>
    </w:p>
    <w:p w14:paraId="366C722D" w14:textId="77777777" w:rsidR="007A10CE" w:rsidRDefault="00000000">
      <w:pPr>
        <w:pStyle w:val="Brdtekst"/>
      </w:pPr>
      <w:r>
        <w:t xml:space="preserve">Der er tale om en </w:t>
      </w:r>
      <w:r>
        <w:rPr>
          <w:b/>
          <w:bCs/>
        </w:rPr>
        <w:t>primær datakilde</w:t>
      </w:r>
      <w:r>
        <w:t xml:space="preserve"> – data indsamlet direkte fra deltagerne til forskningsformål.</w:t>
      </w:r>
    </w:p>
    <w:p w14:paraId="7964EA95" w14:textId="77777777" w:rsidR="007A10CE" w:rsidRDefault="00000000">
      <w:pPr>
        <w:pStyle w:val="Overskrift3"/>
      </w:pPr>
      <w:bookmarkStart w:id="7" w:name="b-informationsbias-og-misklassifikation"/>
      <w:bookmarkEnd w:id="6"/>
      <w:r>
        <w:t>b) Informationsbias og misklassifikation</w:t>
      </w:r>
    </w:p>
    <w:p w14:paraId="2F8845D9" w14:textId="77777777" w:rsidR="007A10CE" w:rsidRDefault="00000000">
      <w:pPr>
        <w:pStyle w:val="FirstParagraph"/>
      </w:pPr>
      <w:r>
        <w:t xml:space="preserve">Selvrapportering kan medføre </w:t>
      </w:r>
      <w:r>
        <w:rPr>
          <w:b/>
          <w:bCs/>
        </w:rPr>
        <w:t>recall bias</w:t>
      </w:r>
      <w:r>
        <w:t xml:space="preserve"> (erindringsbias): deltagerne skal huske, om de er faldet inden for det seneste år, hvilket er en kognitiv udfordring for ældre kvinder. Denne form for informationsbias kan føre til misklassifikation af prædiktoren “fald det sidste år”:</w:t>
      </w:r>
    </w:p>
    <w:p w14:paraId="19EC6914" w14:textId="77777777" w:rsidR="007A10CE" w:rsidRDefault="00000000">
      <w:pPr>
        <w:pStyle w:val="Compact"/>
        <w:numPr>
          <w:ilvl w:val="0"/>
          <w:numId w:val="3"/>
        </w:numPr>
      </w:pPr>
      <w:r>
        <w:rPr>
          <w:b/>
          <w:bCs/>
        </w:rPr>
        <w:t>Underrapportering:</w:t>
      </w:r>
      <w:r>
        <w:t xml:space="preserve"> Fald der ikke resulterede i skade eller lægebesøg kan glemmes eller bagatelliseres.</w:t>
      </w:r>
    </w:p>
    <w:p w14:paraId="1D87F68A" w14:textId="77777777" w:rsidR="007A10CE" w:rsidRDefault="00000000">
      <w:pPr>
        <w:pStyle w:val="Compact"/>
        <w:numPr>
          <w:ilvl w:val="0"/>
          <w:numId w:val="3"/>
        </w:numPr>
      </w:pPr>
      <w:r>
        <w:rPr>
          <w:b/>
          <w:bCs/>
        </w:rPr>
        <w:t>Fejlagtig tidsafgrænsning:</w:t>
      </w:r>
      <w:r>
        <w:t xml:space="preserve"> Deltagere kan fejlhusker </w:t>
      </w:r>
      <w:r>
        <w:rPr>
          <w:i/>
          <w:iCs/>
        </w:rPr>
        <w:t>hvornår</w:t>
      </w:r>
      <w:r>
        <w:t xml:space="preserve"> et fald fandt sted og rapportere fald uden for det relevante tidsvindue.</w:t>
      </w:r>
    </w:p>
    <w:p w14:paraId="0409D08C" w14:textId="77777777" w:rsidR="007A10CE" w:rsidRDefault="00000000">
      <w:pPr>
        <w:pStyle w:val="Compact"/>
        <w:numPr>
          <w:ilvl w:val="0"/>
          <w:numId w:val="3"/>
        </w:numPr>
      </w:pPr>
      <w:r>
        <w:rPr>
          <w:b/>
          <w:bCs/>
        </w:rPr>
        <w:t>Social desirability bias:</w:t>
      </w:r>
      <w:r>
        <w:t xml:space="preserve"> Ældre kvinder kan undlade at rapportere fald pga. frygt for at blive opfattet som skrøbelige.</w:t>
      </w:r>
    </w:p>
    <w:p w14:paraId="0792381F" w14:textId="77777777" w:rsidR="007A10CE" w:rsidRDefault="00000000">
      <w:pPr>
        <w:pStyle w:val="FirstParagraph"/>
      </w:pPr>
      <w:r>
        <w:t xml:space="preserve">Resultatet er at nogle kvinder, der </w:t>
      </w:r>
      <w:r>
        <w:rPr>
          <w:i/>
          <w:iCs/>
        </w:rPr>
        <w:t>faktisk</w:t>
      </w:r>
      <w:r>
        <w:t xml:space="preserve"> er faldet, bliver klassificeret som ikke-faldere (falsk negative).</w:t>
      </w:r>
    </w:p>
    <w:p w14:paraId="0F7FA5A7" w14:textId="77777777" w:rsidR="007A10CE" w:rsidRDefault="00000000">
      <w:pPr>
        <w:pStyle w:val="Overskrift3"/>
      </w:pPr>
      <w:bookmarkStart w:id="8" w:name="X3baa8746be867aac3a39377264894f31eb98e9e"/>
      <w:bookmarkEnd w:id="7"/>
      <w:r>
        <w:t>c) Differentiel vs. ikke-differentiel misklassifikation</w:t>
      </w:r>
    </w:p>
    <w:p w14:paraId="2F02A779" w14:textId="77777777" w:rsidR="007A10CE" w:rsidRDefault="00000000">
      <w:pPr>
        <w:pStyle w:val="FirstParagraph"/>
      </w:pPr>
      <w:r>
        <w:t xml:space="preserve">Da studiet er </w:t>
      </w:r>
      <w:r>
        <w:rPr>
          <w:b/>
          <w:bCs/>
        </w:rPr>
        <w:t>prospektivt</w:t>
      </w:r>
      <w:r>
        <w:t xml:space="preserve"> (prædiktorer måles </w:t>
      </w:r>
      <w:r>
        <w:rPr>
          <w:i/>
          <w:iCs/>
        </w:rPr>
        <w:t>før</w:t>
      </w:r>
      <w:r>
        <w:t xml:space="preserve"> udfaldet fraktur opstår), kender deltagerne ikke deres fremtidige frakturstatus på tidspunktet for rapportering af fald. Derfor er misklassifikationen sandsynligvis </w:t>
      </w:r>
      <w:r>
        <w:rPr>
          <w:b/>
          <w:bCs/>
        </w:rPr>
        <w:t>ikke-differentiel</w:t>
      </w:r>
      <w:r>
        <w:t>: underrapporteringen af fald er den samme uanset om kvinden efterfølgende får en fraktur eller ej.</w:t>
      </w:r>
    </w:p>
    <w:p w14:paraId="13DFA274" w14:textId="77777777" w:rsidR="007A10CE" w:rsidRDefault="00000000">
      <w:pPr>
        <w:pStyle w:val="Brdtekst"/>
      </w:pPr>
      <w:r>
        <w:rPr>
          <w:b/>
          <w:bCs/>
        </w:rPr>
        <w:t>Konsekvens:</w:t>
      </w:r>
      <w:r>
        <w:t xml:space="preserve"> Ikke-differentiel misklassifikation af eksponeringen biaser typisk estimatet </w:t>
      </w:r>
      <w:r>
        <w:rPr>
          <w:b/>
          <w:bCs/>
        </w:rPr>
        <w:t>mod nulhypotesen</w:t>
      </w:r>
      <w:r>
        <w:t xml:space="preserve"> (mod HR = 1). Det betyder at den sande sammenhæng mellem fald og frakturrisiko sandsynligvis er </w:t>
      </w:r>
      <w:r>
        <w:rPr>
          <w:i/>
          <w:iCs/>
        </w:rPr>
        <w:t>stærkere</w:t>
      </w:r>
      <w:r>
        <w:t xml:space="preserve"> end det observerede estimat (HR = 1.8 i bivariat analyse). Vi underestimerer altså den reelle effekt af fald som prædiktor for fraktur.</w:t>
      </w:r>
    </w:p>
    <w:p w14:paraId="0567F949" w14:textId="77777777" w:rsidR="007A10CE" w:rsidRDefault="0063481E">
      <w:r>
        <w:rPr>
          <w:noProof/>
        </w:rPr>
        <w:lastRenderedPageBreak/>
        <w:pict w14:anchorId="0BFA3DDB">
          <v:rect id="_x0000_i1028" alt="" style="width:481.9pt;height:.05pt;mso-width-percent:0;mso-height-percent:0;mso-width-percent:0;mso-height-percent:0" o:hralign="center" o:hrstd="t" o:hr="t"/>
        </w:pict>
      </w:r>
    </w:p>
    <w:p w14:paraId="00D32164" w14:textId="77777777" w:rsidR="007A10CE" w:rsidRDefault="00000000">
      <w:pPr>
        <w:pStyle w:val="Overskrift2"/>
      </w:pPr>
      <w:bookmarkStart w:id="9" w:name="X80940f5164e85a851320791a3718dd4d0318bd5"/>
      <w:bookmarkEnd w:id="5"/>
      <w:bookmarkEnd w:id="8"/>
      <w:r>
        <w:t>Spørgsmål 3 – Epidemiologi: Konfundering, mediation og effektmodifikation</w:t>
      </w:r>
    </w:p>
    <w:p w14:paraId="3EB4B1D3" w14:textId="77777777" w:rsidR="007A10CE" w:rsidRDefault="00000000">
      <w:pPr>
        <w:pStyle w:val="Overskrift3"/>
      </w:pPr>
      <w:bookmarkStart w:id="10" w:name="Xfb26a38737c4c103d049f79c405920b08576560"/>
      <w:r>
        <w:t>a) Fald som konfunder, mediator eller collider</w:t>
      </w:r>
    </w:p>
    <w:p w14:paraId="3516C3D8" w14:textId="77777777" w:rsidR="007A10CE" w:rsidRDefault="00000000">
      <w:pPr>
        <w:pStyle w:val="FirstParagraph"/>
      </w:pPr>
      <w:r>
        <w:t xml:space="preserve">I sammenhængen mellem </w:t>
      </w:r>
      <w:r>
        <w:rPr>
          <w:b/>
          <w:bCs/>
        </w:rPr>
        <w:t>calcium channel blockers</w:t>
      </w:r>
      <w:r>
        <w:t xml:space="preserve"> (eksponering) og </w:t>
      </w:r>
      <w:r>
        <w:rPr>
          <w:b/>
          <w:bCs/>
        </w:rPr>
        <w:t>incident fraktur</w:t>
      </w:r>
      <w:r>
        <w:t xml:space="preserve"> (udfald):</w:t>
      </w:r>
    </w:p>
    <w:p w14:paraId="456412C1" w14:textId="77777777" w:rsidR="007A10CE" w:rsidRDefault="00000000">
      <w:pPr>
        <w:pStyle w:val="Brdtekst"/>
      </w:pPr>
      <w:r>
        <w:rPr>
          <w:b/>
          <w:bCs/>
        </w:rPr>
        <w:t>Fald er en mediator.</w:t>
      </w:r>
      <w:r>
        <w:t xml:space="preserve"> Den kausale kæde er:</w:t>
      </w:r>
    </w:p>
    <w:p w14:paraId="2B30556C" w14:textId="77777777" w:rsidR="007A10CE" w:rsidRDefault="00000000">
      <w:pPr>
        <w:pStyle w:val="Brdtekst"/>
      </w:pPr>
      <w:r>
        <w:rPr>
          <w:b/>
          <w:bCs/>
        </w:rPr>
        <w:t>Calcium channel blockers → Fald → Fraktur</w:t>
      </w:r>
    </w:p>
    <w:p w14:paraId="7849EBDE" w14:textId="77777777" w:rsidR="007A10CE" w:rsidRDefault="00000000">
      <w:pPr>
        <w:pStyle w:val="Brdtekst"/>
      </w:pPr>
      <w:r>
        <w:t xml:space="preserve">Begrundelse: Calcium channel blockers er associeret med svimmelhed (som angivet i opgaven). Svimmelhed øger risikoen for fald, og fald er den direkte udløsende årsag til de fleste non-vertebrale frakturer. Fald ligger altså </w:t>
      </w:r>
      <w:r>
        <w:rPr>
          <w:i/>
          <w:iCs/>
        </w:rPr>
        <w:t>på den kausale vej</w:t>
      </w:r>
      <w:r>
        <w:t xml:space="preserve"> mellem brug af calcium channel blockers og fraktur.</w:t>
      </w:r>
    </w:p>
    <w:p w14:paraId="46EAA978" w14:textId="77777777" w:rsidR="007A10CE" w:rsidRDefault="00000000">
      <w:pPr>
        <w:pStyle w:val="Brdtekst"/>
      </w:pPr>
      <w:r>
        <w:t xml:space="preserve">Fald er </w:t>
      </w:r>
      <w:r>
        <w:rPr>
          <w:b/>
          <w:bCs/>
        </w:rPr>
        <w:t>ikke en konfunder</w:t>
      </w:r>
      <w:r>
        <w:t xml:space="preserve">, da det ikke opfylder kravet om at være associeret med eksponeringen </w:t>
      </w:r>
      <w:r>
        <w:rPr>
          <w:i/>
          <w:iCs/>
        </w:rPr>
        <w:t>uden</w:t>
      </w:r>
      <w:r>
        <w:t xml:space="preserve"> at ligge på den kausale vej – tværtimod er det netop en konsekvens af eksponeringen.</w:t>
      </w:r>
    </w:p>
    <w:p w14:paraId="33744A2B" w14:textId="77777777" w:rsidR="007A10CE" w:rsidRDefault="00000000">
      <w:pPr>
        <w:pStyle w:val="Brdtekst"/>
      </w:pPr>
      <w:r>
        <w:t xml:space="preserve">Fald er </w:t>
      </w:r>
      <w:r>
        <w:rPr>
          <w:b/>
          <w:bCs/>
        </w:rPr>
        <w:t>ikke en collider</w:t>
      </w:r>
      <w:r>
        <w:t xml:space="preserve">, da en collider kræver at både eksponering og udfald </w:t>
      </w:r>
      <w:r>
        <w:rPr>
          <w:i/>
          <w:iCs/>
        </w:rPr>
        <w:t>forårsager</w:t>
      </w:r>
      <w:r>
        <w:t xml:space="preserve"> den tredje variabel. Her forårsager fald frakturer, ikke omvendt.</w:t>
      </w:r>
    </w:p>
    <w:p w14:paraId="0F4E2AD7" w14:textId="77777777" w:rsidR="007A10CE" w:rsidRDefault="00000000">
      <w:pPr>
        <w:pStyle w:val="Overskrift3"/>
      </w:pPr>
      <w:bookmarkStart w:id="11" w:name="b-håndtering-af-konfunder-vs.-mediator"/>
      <w:bookmarkEnd w:id="10"/>
      <w:r>
        <w:t>b) Håndtering af konfunder vs. mediator</w:t>
      </w:r>
    </w:p>
    <w:p w14:paraId="44CE3E11" w14:textId="77777777" w:rsidR="007A10CE" w:rsidRDefault="00000000">
      <w:pPr>
        <w:pStyle w:val="FirstParagraph"/>
      </w:pPr>
      <w:r>
        <w:rPr>
          <w:b/>
          <w:bCs/>
        </w:rPr>
        <w:t>Konfunder:</w:t>
      </w:r>
      <w:r>
        <w:t xml:space="preserve"> Skal justeres for i analysen (fx inkluderes som kovariat i regressionsmodellen, eller via stratificering/matching). Formålet er at fjerne den skæve sammenhæng. Resultater rapporteres som justerede estimater, og det bør fremgå hvilke konfoundere der er justeret for.</w:t>
      </w:r>
    </w:p>
    <w:p w14:paraId="372FE25A" w14:textId="77777777" w:rsidR="007A10CE" w:rsidRDefault="00000000">
      <w:pPr>
        <w:pStyle w:val="Brdtekst"/>
      </w:pPr>
      <w:r>
        <w:rPr>
          <w:b/>
          <w:bCs/>
        </w:rPr>
        <w:t>Mediator:</w:t>
      </w:r>
      <w:r>
        <w:t xml:space="preserve"> Skal </w:t>
      </w:r>
      <w:r>
        <w:rPr>
          <w:i/>
          <w:iCs/>
        </w:rPr>
        <w:t>ikke</w:t>
      </w:r>
      <w:r>
        <w:t xml:space="preserve"> justeres for, hvis man ønsker at estimere den totale effekt af eksponeringen. Justering for en mediator fjerner den indirekte effekt og giver kun den direkte effekt, hvilket underestimerer den samlede sammenhæng. Hvis man er interesseret i at dekomponere den totale effekt i direkte og indirekte effekter, kan man bruge mediationsanalyse og rapportere begge dele separat.</w:t>
      </w:r>
    </w:p>
    <w:p w14:paraId="430B57CF" w14:textId="77777777" w:rsidR="007A10CE" w:rsidRDefault="00000000">
      <w:pPr>
        <w:pStyle w:val="Overskrift3"/>
      </w:pPr>
      <w:bookmarkStart w:id="12" w:name="X5ed2efeff90784f88fa76b8364d6c3adfb97852"/>
      <w:bookmarkEnd w:id="11"/>
      <w:r>
        <w:t>c) BMD som effektmodifikator for sammenhængen fald → fraktur</w:t>
      </w:r>
    </w:p>
    <w:p w14:paraId="2534741F" w14:textId="77777777" w:rsidR="007A10CE" w:rsidRDefault="00000000">
      <w:pPr>
        <w:pStyle w:val="FirstParagraph"/>
      </w:pPr>
      <w:r>
        <w:t xml:space="preserve">BMD kan plausibelt være en </w:t>
      </w:r>
      <w:r>
        <w:rPr>
          <w:b/>
          <w:bCs/>
        </w:rPr>
        <w:t>effektmodifikator</w:t>
      </w:r>
      <w:r>
        <w:t xml:space="preserve"> i sammenhængen mellem fald og fraktur:</w:t>
      </w:r>
    </w:p>
    <w:p w14:paraId="68578D85" w14:textId="77777777" w:rsidR="007A10CE" w:rsidRDefault="00000000">
      <w:pPr>
        <w:pStyle w:val="Compact"/>
        <w:numPr>
          <w:ilvl w:val="0"/>
          <w:numId w:val="4"/>
        </w:numPr>
      </w:pPr>
      <w:r>
        <w:t>Kvinder med lav BMD (osteoporose) har skrøbelige knogler. Et fald hos disse kvinder har langt større sandsynlighed for at resultere i en fraktur end et tilsvarende fald hos kvinder med normal BMD.</w:t>
      </w:r>
    </w:p>
    <w:p w14:paraId="01DD135E" w14:textId="77777777" w:rsidR="007A10CE" w:rsidRDefault="00000000">
      <w:pPr>
        <w:pStyle w:val="Compact"/>
        <w:numPr>
          <w:ilvl w:val="0"/>
          <w:numId w:val="4"/>
        </w:numPr>
      </w:pPr>
      <w:r>
        <w:t>Kvinder med relativt bevaret BMD (osteopeni) kan bedre modstå den mekaniske belastning af et fald uden fraktur.</w:t>
      </w:r>
    </w:p>
    <w:p w14:paraId="193CADC8" w14:textId="77777777" w:rsidR="007A10CE" w:rsidRDefault="00000000">
      <w:pPr>
        <w:pStyle w:val="FirstParagraph"/>
      </w:pPr>
      <w:r>
        <w:lastRenderedPageBreak/>
        <w:t xml:space="preserve">Altså: effekten af fald på frakturrisiko er formentlig </w:t>
      </w:r>
      <w:r>
        <w:rPr>
          <w:b/>
          <w:bCs/>
        </w:rPr>
        <w:t>stærkere</w:t>
      </w:r>
      <w:r>
        <w:t xml:space="preserve"> ved lav BMD end ved højere BMD. For at undersøge dette formelt kan man inkludere et </w:t>
      </w:r>
      <w:r>
        <w:rPr>
          <w:b/>
          <w:bCs/>
        </w:rPr>
        <w:t>interaktionsled</w:t>
      </w:r>
      <w:r>
        <w:t xml:space="preserve"> (fald × BMD T-score kategori) i Cox-regressionsmodellen og teste om det er signifikant. Artiklen rapporterer at der ikke blev fundet signifikante interaktioner (s. 4), men dette kan skyldes begrænset statistisk power.</w:t>
      </w:r>
    </w:p>
    <w:p w14:paraId="47E380B7" w14:textId="77777777" w:rsidR="007A10CE" w:rsidRDefault="0063481E">
      <w:r>
        <w:rPr>
          <w:noProof/>
        </w:rPr>
        <w:pict w14:anchorId="79E4E507">
          <v:rect id="_x0000_i1027" alt="" style="width:481.9pt;height:.05pt;mso-width-percent:0;mso-height-percent:0;mso-width-percent:0;mso-height-percent:0" o:hralign="center" o:hrstd="t" o:hr="t"/>
        </w:pict>
      </w:r>
    </w:p>
    <w:p w14:paraId="7DCDB9A7" w14:textId="77777777" w:rsidR="007A10CE" w:rsidRDefault="00000000">
      <w:pPr>
        <w:pStyle w:val="Overskrift2"/>
      </w:pPr>
      <w:bookmarkStart w:id="13" w:name="X044c897f3f8e9b5cfe0c70e15cfc3122294c479"/>
      <w:bookmarkEnd w:id="9"/>
      <w:bookmarkEnd w:id="12"/>
      <w:r>
        <w:t>Spørgsmål 4 – Biostatistik: Spørgsmål til artiklen</w:t>
      </w:r>
    </w:p>
    <w:p w14:paraId="58583F51" w14:textId="77777777" w:rsidR="007A10CE" w:rsidRDefault="00000000">
      <w:pPr>
        <w:pStyle w:val="Overskrift3"/>
      </w:pPr>
      <w:bookmarkStart w:id="14" w:name="X90e8e54cdad0009b6ce7d2042e1b0f1a530d54a"/>
      <w:r>
        <w:t>a) Fortolkning af HR = 1.7 (1.12–2.57) for “History of fracture”</w:t>
      </w:r>
    </w:p>
    <w:p w14:paraId="4C81E5CF" w14:textId="77777777" w:rsidR="007A10CE" w:rsidRDefault="00000000">
      <w:pPr>
        <w:pStyle w:val="FirstParagraph"/>
      </w:pPr>
      <w:r>
        <w:t xml:space="preserve">Kvinder med tidligere fraktur har en </w:t>
      </w:r>
      <w:r>
        <w:rPr>
          <w:b/>
          <w:bCs/>
        </w:rPr>
        <w:t>1,7 gange</w:t>
      </w:r>
      <w:r>
        <w:t xml:space="preserve"> så høj hazard (øjeblikkelig risiko) for non-vertebral fraktur inden for 1 år sammenlignet med kvinder uden tidligere fraktur, i den ujusterede (bivariate) analyse. 95% konfidensintervallet (1.12–2.57) angiver at vi med 95% sikkerhed kan sige at den sande HR ligger mellem 1.12 og 2.57. Da intervallet ikke inkluderer 1.0, er sammenhængen statistisk signifikant (p = 0.01).</w:t>
      </w:r>
    </w:p>
    <w:p w14:paraId="2E5A18CE" w14:textId="77777777" w:rsidR="007A10CE" w:rsidRDefault="00000000">
      <w:pPr>
        <w:pStyle w:val="Overskrift3"/>
      </w:pPr>
      <w:bookmarkStart w:id="15" w:name="b-antagelser-for-cox-regression"/>
      <w:bookmarkEnd w:id="14"/>
      <w:r>
        <w:t>b) Antagelser for Cox-regression</w:t>
      </w:r>
    </w:p>
    <w:p w14:paraId="5176722C" w14:textId="77777777" w:rsidR="007A10CE" w:rsidRDefault="00000000">
      <w:pPr>
        <w:pStyle w:val="FirstParagraph"/>
      </w:pPr>
      <w:r>
        <w:t>Cox proportional hazards-modellen har følgende antagelser:</w:t>
      </w:r>
    </w:p>
    <w:p w14:paraId="4806EBEF" w14:textId="77777777" w:rsidR="007A10CE" w:rsidRDefault="00000000">
      <w:pPr>
        <w:pStyle w:val="Compact"/>
        <w:numPr>
          <w:ilvl w:val="0"/>
          <w:numId w:val="5"/>
        </w:numPr>
      </w:pPr>
      <w:r>
        <w:rPr>
          <w:b/>
          <w:bCs/>
        </w:rPr>
        <w:t>Proportional hazards (PH-antagelsen):</w:t>
      </w:r>
      <w:r>
        <w:t xml:space="preserve"> Hazard ratio mellem grupper er </w:t>
      </w:r>
      <w:r>
        <w:rPr>
          <w:i/>
          <w:iCs/>
        </w:rPr>
        <w:t>konstant over tid</w:t>
      </w:r>
      <w:r>
        <w:t>. Dvs. forholdet mellem frakturrisikoen for kvinder med vs. uden frakturhistorie er det samme på alle tidspunkter i follow-up-perioden.</w:t>
      </w:r>
    </w:p>
    <w:p w14:paraId="4C960385" w14:textId="77777777" w:rsidR="007A10CE" w:rsidRDefault="00000000">
      <w:pPr>
        <w:pStyle w:val="Compact"/>
        <w:numPr>
          <w:ilvl w:val="0"/>
          <w:numId w:val="5"/>
        </w:numPr>
      </w:pPr>
      <w:r>
        <w:rPr>
          <w:b/>
          <w:bCs/>
        </w:rPr>
        <w:t>Uafhængige censureringer:</w:t>
      </w:r>
      <w:r>
        <w:t xml:space="preserve"> Censurering (fx død, lost to follow-up) er uafhængig af risikoen for fraktur.</w:t>
      </w:r>
    </w:p>
    <w:p w14:paraId="3211DB09" w14:textId="77777777" w:rsidR="007A10CE" w:rsidRDefault="00000000">
      <w:pPr>
        <w:pStyle w:val="Compact"/>
        <w:numPr>
          <w:ilvl w:val="0"/>
          <w:numId w:val="5"/>
        </w:numPr>
      </w:pPr>
      <w:r>
        <w:rPr>
          <w:b/>
          <w:bCs/>
        </w:rPr>
        <w:t>Log-lineær sammenhæng:</w:t>
      </w:r>
      <w:r>
        <w:t xml:space="preserve"> For kontinuerte variabler antages en lineær sammenhæng mellem kovariaten og log-hazard.</w:t>
      </w:r>
    </w:p>
    <w:p w14:paraId="720CBA50" w14:textId="77777777" w:rsidR="007A10CE" w:rsidRDefault="00000000">
      <w:pPr>
        <w:pStyle w:val="Compact"/>
        <w:numPr>
          <w:ilvl w:val="0"/>
          <w:numId w:val="5"/>
        </w:numPr>
      </w:pPr>
      <w:r>
        <w:rPr>
          <w:b/>
          <w:bCs/>
        </w:rPr>
        <w:t>Uafhængighed af observationer:</w:t>
      </w:r>
      <w:r>
        <w:t xml:space="preserve"> Observationerne antages at være uafhængige. I dette studie er der gentagne observationer per kvinde, hvilket forfatterne håndterer med en clustered Cox-model med robust variansestimering.</w:t>
      </w:r>
    </w:p>
    <w:p w14:paraId="6D548B4B" w14:textId="77777777" w:rsidR="007A10CE" w:rsidRDefault="00000000">
      <w:pPr>
        <w:pStyle w:val="Overskrift3"/>
      </w:pPr>
      <w:bookmarkStart w:id="16" w:name="X200183e4f1593a8d981cf74aee3e15b83f7168b"/>
      <w:bookmarkEnd w:id="15"/>
      <w:r>
        <w:t>c) Forskel mellem HR = 1.7 (tabel 3a) og HR = 1.4 (tabel 4)</w:t>
      </w:r>
    </w:p>
    <w:p w14:paraId="5F709C3A" w14:textId="77777777" w:rsidR="007A10CE" w:rsidRDefault="00000000">
      <w:pPr>
        <w:pStyle w:val="FirstParagraph"/>
      </w:pPr>
      <w:r>
        <w:t xml:space="preserve">Tabel 3a er en </w:t>
      </w:r>
      <w:r>
        <w:rPr>
          <w:b/>
          <w:bCs/>
        </w:rPr>
        <w:t>bivariat (ujusteret) analyse</w:t>
      </w:r>
      <w:r>
        <w:t xml:space="preserve"> hvor kun “History of fracture” indgår, mens tabel 4 er en </w:t>
      </w:r>
      <w:r>
        <w:rPr>
          <w:b/>
          <w:bCs/>
        </w:rPr>
        <w:t>multivariabel (justeret) analyse</w:t>
      </w:r>
      <w:r>
        <w:t xml:space="preserve"> med justering for bl.a. alder, BMD T-score, selvvurderet helbred, fald og medicinforbrug. Justering for disse konfoundere reducerer HR fra 1.7 til 1.4, da en del af den rå sammenhæng skyldtes fælles årsager (fx ældre kvinder har både højere sandsynlighed for tidligere fraktur og højere risiko for ny fraktur).</w:t>
      </w:r>
    </w:p>
    <w:p w14:paraId="7E265121" w14:textId="77777777" w:rsidR="007A10CE" w:rsidRDefault="00000000">
      <w:pPr>
        <w:pStyle w:val="Brdtekst"/>
      </w:pPr>
      <w:r>
        <w:t>Bemærk at HR = 1.4 i tabel 4 ikke længere er statistisk signifikant (p = 0.14, 95% CI: 0.89–2.19 inkluderer 1.0). Frakturhistorie mister altså sin uafhængige prædiktive værdi efter justering, hvilket tyder på at den bivariate sammenhæng i høj grad var konfunderet.</w:t>
      </w:r>
    </w:p>
    <w:p w14:paraId="1F036D0E" w14:textId="77777777" w:rsidR="007A10CE" w:rsidRDefault="00000000">
      <w:pPr>
        <w:pStyle w:val="Overskrift3"/>
      </w:pPr>
      <w:bookmarkStart w:id="17" w:name="d-vurdering-af-c-index-auc-0.71"/>
      <w:bookmarkEnd w:id="16"/>
      <w:r>
        <w:lastRenderedPageBreak/>
        <w:t>d) Vurdering af c-index (AUC) = 0.71</w:t>
      </w:r>
    </w:p>
    <w:p w14:paraId="617B748C" w14:textId="77777777" w:rsidR="007A10CE" w:rsidRDefault="00000000">
      <w:pPr>
        <w:pStyle w:val="FirstParagraph"/>
      </w:pPr>
      <w:r>
        <w:t xml:space="preserve">En c-index på 0.71 indikerer </w:t>
      </w:r>
      <w:r>
        <w:rPr>
          <w:b/>
          <w:bCs/>
        </w:rPr>
        <w:t>acceptabel til god</w:t>
      </w:r>
      <w:r>
        <w:t xml:space="preserve"> diskrimination:</w:t>
      </w:r>
    </w:p>
    <w:p w14:paraId="5832FD1E" w14:textId="77777777" w:rsidR="007A10CE" w:rsidRDefault="00000000">
      <w:pPr>
        <w:pStyle w:val="Compact"/>
        <w:numPr>
          <w:ilvl w:val="0"/>
          <w:numId w:val="6"/>
        </w:numPr>
      </w:pPr>
      <w:r>
        <w:t>0.50: Ingen diskrimination (tilfældig)</w:t>
      </w:r>
    </w:p>
    <w:p w14:paraId="37255512" w14:textId="77777777" w:rsidR="007A10CE" w:rsidRDefault="00000000">
      <w:pPr>
        <w:pStyle w:val="Compact"/>
        <w:numPr>
          <w:ilvl w:val="0"/>
          <w:numId w:val="6"/>
        </w:numPr>
      </w:pPr>
      <w:r>
        <w:t>0.60–0.70: Acceptabel</w:t>
      </w:r>
    </w:p>
    <w:p w14:paraId="2E3D5FF8" w14:textId="77777777" w:rsidR="007A10CE" w:rsidRDefault="00000000">
      <w:pPr>
        <w:pStyle w:val="Compact"/>
        <w:numPr>
          <w:ilvl w:val="0"/>
          <w:numId w:val="6"/>
        </w:numPr>
      </w:pPr>
      <w:r>
        <w:rPr>
          <w:b/>
          <w:bCs/>
        </w:rPr>
        <w:t>0.70–0.80: God</w:t>
      </w:r>
    </w:p>
    <w:p w14:paraId="03976B10" w14:textId="77777777" w:rsidR="007A10CE" w:rsidRDefault="00000000">
      <w:pPr>
        <w:pStyle w:val="Compact"/>
        <w:numPr>
          <w:ilvl w:val="0"/>
          <w:numId w:val="6"/>
        </w:numPr>
      </w:pPr>
      <w:r>
        <w:t>0.80–0.90: Fremragende</w:t>
      </w:r>
    </w:p>
    <w:p w14:paraId="62F3009A" w14:textId="77777777" w:rsidR="007A10CE" w:rsidRDefault="00000000">
      <w:pPr>
        <w:pStyle w:val="Compact"/>
        <w:numPr>
          <w:ilvl w:val="0"/>
          <w:numId w:val="6"/>
        </w:numPr>
      </w:pPr>
      <w:r>
        <w:t>0.90+: Exceptionel</w:t>
      </w:r>
    </w:p>
    <w:p w14:paraId="1F6B1234" w14:textId="77777777" w:rsidR="007A10CE" w:rsidRDefault="00000000">
      <w:pPr>
        <w:pStyle w:val="FirstParagraph"/>
      </w:pPr>
      <w:r>
        <w:t>Modellen med c-index = 0.71 kan altså i rimelig grad skelne mellem kvinder der får fraktur og kvinder der ikke gør. Det er bedre end FRAX’s rapporterede AUC på ca. 0.60 for major osteoporotic fracture. Dog er der stadig rum for forbedring – modellen fejlklassificerer ca. 29% af tilfældene. For klinisk brug kunne modellen bruges til at identificere højrisikokvinder, men bør suppleres med klinisk vurdering.</w:t>
      </w:r>
    </w:p>
    <w:p w14:paraId="69A60AD6" w14:textId="77777777" w:rsidR="007A10CE" w:rsidRDefault="00000000">
      <w:pPr>
        <w:pStyle w:val="Overskrift3"/>
      </w:pPr>
      <w:bookmarkStart w:id="18" w:name="e-sammenligning-1-års-vs.-2-års-model"/>
      <w:bookmarkEnd w:id="17"/>
      <w:r>
        <w:t>e) Sammenligning 1-års vs. 2-års model</w:t>
      </w:r>
    </w:p>
    <w:p w14:paraId="21FAAB8E" w14:textId="77777777" w:rsidR="007A10CE" w:rsidRDefault="00000000">
      <w:pPr>
        <w:pStyle w:val="FirstParagraph"/>
      </w:pPr>
      <w:r>
        <w:rPr>
          <w:b/>
          <w:bCs/>
        </w:rPr>
        <w:t>1-års modellen</w:t>
      </w:r>
      <w:r>
        <w:t xml:space="preserve"> (tabel 3a/4): Flere prædiktorer er signifikante (frakturhistorie, selvvurderet helbred, BMD T-score, nitratbrug). c-index = 0.71.</w:t>
      </w:r>
    </w:p>
    <w:p w14:paraId="28942B12" w14:textId="77777777" w:rsidR="007A10CE" w:rsidRDefault="00000000">
      <w:pPr>
        <w:pStyle w:val="Brdtekst"/>
      </w:pPr>
      <w:r>
        <w:rPr>
          <w:b/>
          <w:bCs/>
        </w:rPr>
        <w:t>2-års modellen</w:t>
      </w:r>
      <w:r>
        <w:t xml:space="preserve"> (tabel 3b/4 højre): Sammenhængene er </w:t>
      </w:r>
      <w:r>
        <w:rPr>
          <w:b/>
          <w:bCs/>
        </w:rPr>
        <w:t>attenuerede</w:t>
      </w:r>
      <w:r>
        <w:t xml:space="preserve"> – estimaterne er svagere og færre er signifikante. c-index = 0.64 (dårligere diskrimination).</w:t>
      </w:r>
    </w:p>
    <w:p w14:paraId="57452C20" w14:textId="77777777" w:rsidR="007A10CE" w:rsidRDefault="00000000">
      <w:pPr>
        <w:pStyle w:val="Brdtekst"/>
      </w:pPr>
      <w:r>
        <w:rPr>
          <w:b/>
          <w:bCs/>
        </w:rPr>
        <w:t>Foretrukket model: 1-års modellen.</w:t>
      </w:r>
      <w:r>
        <w:t xml:space="preserve"> Begrundelse: - Bedre diskrimination (c-index 0.71 vs. 0.64) - Stærkere og mere signifikante prædiktorer - Klinisk mere relevant: studiet handler netop om </w:t>
      </w:r>
      <w:r>
        <w:rPr>
          <w:i/>
          <w:iCs/>
        </w:rPr>
        <w:t>imminent</w:t>
      </w:r>
      <w:r>
        <w:t xml:space="preserve"> frakturrisiko, og risikofaktorer som fald og medicinforbrug har størst prædiktiv værdi på kort sigt - Attenuering over 2 år tyder på at risikofaktorerne “forældes” – deres effekt aftager med tiden, fx kan medicinforbrug ændres, fald er mere tidsnært relevante - For behandlingsbeslutninger (fx opstart af dyr anabolisk terapi) er 1-års risiko mest beslutningsrelevant</w:t>
      </w:r>
    </w:p>
    <w:p w14:paraId="13BAB89F" w14:textId="77777777" w:rsidR="007A10CE" w:rsidRDefault="0063481E">
      <w:r>
        <w:rPr>
          <w:noProof/>
        </w:rPr>
        <w:pict w14:anchorId="3BD92B97">
          <v:rect id="_x0000_i1026" alt="" style="width:481.9pt;height:.05pt;mso-width-percent:0;mso-height-percent:0;mso-width-percent:0;mso-height-percent:0" o:hralign="center" o:hrstd="t" o:hr="t"/>
        </w:pict>
      </w:r>
    </w:p>
    <w:p w14:paraId="7D495BF0" w14:textId="77777777" w:rsidR="007A10CE" w:rsidRDefault="00000000">
      <w:pPr>
        <w:pStyle w:val="Overskrift2"/>
      </w:pPr>
      <w:bookmarkStart w:id="19" w:name="X7b8ccac47426a7f3b16bc7cb17b6c401395049d"/>
      <w:bookmarkEnd w:id="13"/>
      <w:bookmarkEnd w:id="18"/>
      <w:r>
        <w:t>Spørgsmål 5 – Biostatistik: Spørgsmål til datasættet</w:t>
      </w:r>
    </w:p>
    <w:p w14:paraId="0258FE87" w14:textId="77777777" w:rsidR="007A10CE" w:rsidRDefault="00000000">
      <w:pPr>
        <w:pStyle w:val="Overskrift3"/>
      </w:pPr>
      <w:bookmarkStart w:id="20" w:name="a-proportion-frakturer-med-95-ci"/>
      <w:r>
        <w:t>a) Proportion frakturer med 95% CI</w:t>
      </w:r>
    </w:p>
    <w:p w14:paraId="2B292995" w14:textId="77777777" w:rsidR="007A10CE" w:rsidRDefault="00000000">
      <w:pPr>
        <w:pStyle w:val="SourceCode"/>
      </w:pPr>
      <w:r>
        <w:rPr>
          <w:rStyle w:val="FunctionTok"/>
        </w:rPr>
        <w:t>load</w:t>
      </w:r>
      <w:r>
        <w:rPr>
          <w:rStyle w:val="NormalTok"/>
        </w:rPr>
        <w:t>(</w:t>
      </w:r>
      <w:r>
        <w:rPr>
          <w:rStyle w:val="StringTok"/>
        </w:rPr>
        <w:t>"Hannan.RData"</w:t>
      </w:r>
      <w:r>
        <w:rPr>
          <w:rStyle w:val="NormalTok"/>
        </w:rPr>
        <w:t>)</w:t>
      </w:r>
      <w:r>
        <w:br/>
      </w:r>
      <w:r>
        <w:br/>
      </w:r>
      <w:r>
        <w:rPr>
          <w:rStyle w:val="CommentTok"/>
        </w:rPr>
        <w:t># Proportion frakturer</w:t>
      </w:r>
      <w:r>
        <w:br/>
      </w:r>
      <w:r>
        <w:rPr>
          <w:rStyle w:val="NormalTok"/>
        </w:rPr>
        <w:t xml:space="preserve">n </w:t>
      </w:r>
      <w:r>
        <w:rPr>
          <w:rStyle w:val="OtherTok"/>
        </w:rPr>
        <w:t>&lt;-</w:t>
      </w:r>
      <w:r>
        <w:rPr>
          <w:rStyle w:val="NormalTok"/>
        </w:rPr>
        <w:t xml:space="preserve"> </w:t>
      </w:r>
      <w:r>
        <w:rPr>
          <w:rStyle w:val="FunctionTok"/>
        </w:rPr>
        <w:t>nrow</w:t>
      </w:r>
      <w:r>
        <w:rPr>
          <w:rStyle w:val="NormalTok"/>
        </w:rPr>
        <w:t xml:space="preserve">(Hannan)        </w:t>
      </w:r>
      <w:r>
        <w:rPr>
          <w:rStyle w:val="CommentTok"/>
        </w:rPr>
        <w:t># 1470</w:t>
      </w:r>
      <w:r>
        <w:br/>
      </w:r>
      <w:r>
        <w:rPr>
          <w:rStyle w:val="NormalTok"/>
        </w:rPr>
        <w:t xml:space="preserve">x </w:t>
      </w:r>
      <w:r>
        <w:rPr>
          <w:rStyle w:val="OtherTok"/>
        </w:rPr>
        <w:t>&lt;-</w:t>
      </w:r>
      <w:r>
        <w:rPr>
          <w:rStyle w:val="NormalTok"/>
        </w:rPr>
        <w:t xml:space="preserve"> </w:t>
      </w:r>
      <w:r>
        <w:rPr>
          <w:rStyle w:val="FunctionTok"/>
        </w:rPr>
        <w:t>sum</w:t>
      </w:r>
      <w:r>
        <w:rPr>
          <w:rStyle w:val="NormalTok"/>
        </w:rPr>
        <w:t>(Hannan</w:t>
      </w:r>
      <w:r>
        <w:rPr>
          <w:rStyle w:val="SpecialCharTok"/>
        </w:rPr>
        <w:t>$</w:t>
      </w:r>
      <w:r>
        <w:rPr>
          <w:rStyle w:val="NormalTok"/>
        </w:rPr>
        <w:t xml:space="preserve">Fraktur) </w:t>
      </w:r>
      <w:r>
        <w:rPr>
          <w:rStyle w:val="CommentTok"/>
        </w:rPr>
        <w:t># 69</w:t>
      </w:r>
      <w:r>
        <w:br/>
      </w:r>
      <w:r>
        <w:rPr>
          <w:rStyle w:val="NormalTok"/>
        </w:rPr>
        <w:t xml:space="preserve">prop </w:t>
      </w:r>
      <w:r>
        <w:rPr>
          <w:rStyle w:val="OtherTok"/>
        </w:rPr>
        <w:t>&lt;-</w:t>
      </w:r>
      <w:r>
        <w:rPr>
          <w:rStyle w:val="NormalTok"/>
        </w:rPr>
        <w:t xml:space="preserve"> x </w:t>
      </w:r>
      <w:r>
        <w:rPr>
          <w:rStyle w:val="SpecialCharTok"/>
        </w:rPr>
        <w:t>/</w:t>
      </w:r>
      <w:r>
        <w:rPr>
          <w:rStyle w:val="NormalTok"/>
        </w:rPr>
        <w:t xml:space="preserve"> n            </w:t>
      </w:r>
      <w:r>
        <w:rPr>
          <w:rStyle w:val="CommentTok"/>
        </w:rPr>
        <w:t># 0.0469</w:t>
      </w:r>
      <w:r>
        <w:br/>
      </w:r>
      <w:r>
        <w:br/>
      </w:r>
      <w:r>
        <w:rPr>
          <w:rStyle w:val="CommentTok"/>
        </w:rPr>
        <w:t># 95% konfidensinterval</w:t>
      </w:r>
      <w:r>
        <w:br/>
      </w:r>
      <w:r>
        <w:rPr>
          <w:rStyle w:val="FunctionTok"/>
        </w:rPr>
        <w:t>binom.test</w:t>
      </w:r>
      <w:r>
        <w:rPr>
          <w:rStyle w:val="NormalTok"/>
        </w:rPr>
        <w:t>(x, n)</w:t>
      </w:r>
    </w:p>
    <w:p w14:paraId="652CF6DF" w14:textId="77777777" w:rsidR="007A10CE" w:rsidRDefault="00000000">
      <w:pPr>
        <w:pStyle w:val="FirstParagraph"/>
      </w:pPr>
      <w:r>
        <w:rPr>
          <w:b/>
          <w:bCs/>
        </w:rPr>
        <w:lastRenderedPageBreak/>
        <w:t>Resultat:</w:t>
      </w:r>
      <w:r>
        <w:t xml:space="preserve"> 69 ud af 1.470 kvinder har fraktur, svarende til en </w:t>
      </w:r>
      <w:r>
        <w:rPr>
          <w:b/>
          <w:bCs/>
        </w:rPr>
        <w:t>proportion på 4,69%</w:t>
      </w:r>
      <w:r>
        <w:t xml:space="preserve"> (95% CI: 3,67% – 5,90%).</w:t>
      </w:r>
    </w:p>
    <w:p w14:paraId="0907AD45" w14:textId="77777777" w:rsidR="007A10CE" w:rsidRDefault="00000000">
      <w:pPr>
        <w:pStyle w:val="Brdtekst"/>
      </w:pPr>
      <w:r>
        <w:t>Altså har knap 5% af kvinderne i datasættet en fraktur. Konfidensintervallet angiver at den sande proportion i populationen med 95% sikkerhed ligger mellem 3,7% og 5,9%.</w:t>
      </w:r>
    </w:p>
    <w:p w14:paraId="068EE4E5" w14:textId="77777777" w:rsidR="007A10CE" w:rsidRDefault="00000000">
      <w:pPr>
        <w:pStyle w:val="Overskrift3"/>
      </w:pPr>
      <w:bookmarkStart w:id="21" w:name="X5cdde987a5255f920432f954c11c824efa81f1f"/>
      <w:bookmarkEnd w:id="20"/>
      <w:r>
        <w:t>b) Ujusteret logistisk regression: ADL → Fraktur</w:t>
      </w:r>
    </w:p>
    <w:p w14:paraId="32EFDAD7" w14:textId="77777777" w:rsidR="007A10CE" w:rsidRDefault="00000000">
      <w:pPr>
        <w:pStyle w:val="SourceCode"/>
      </w:pPr>
      <w:r>
        <w:rPr>
          <w:rStyle w:val="NormalTok"/>
        </w:rPr>
        <w:t xml:space="preserve">model_b </w:t>
      </w:r>
      <w:r>
        <w:rPr>
          <w:rStyle w:val="OtherTok"/>
        </w:rPr>
        <w:t>&lt;-</w:t>
      </w:r>
      <w:r>
        <w:rPr>
          <w:rStyle w:val="NormalTok"/>
        </w:rPr>
        <w:t xml:space="preserve"> </w:t>
      </w:r>
      <w:r>
        <w:rPr>
          <w:rStyle w:val="FunctionTok"/>
        </w:rPr>
        <w:t>glm</w:t>
      </w:r>
      <w:r>
        <w:rPr>
          <w:rStyle w:val="NormalTok"/>
        </w:rPr>
        <w:t xml:space="preserve">(Fraktur </w:t>
      </w:r>
      <w:r>
        <w:rPr>
          <w:rStyle w:val="SpecialCharTok"/>
        </w:rPr>
        <w:t>~</w:t>
      </w:r>
      <w:r>
        <w:rPr>
          <w:rStyle w:val="NormalTok"/>
        </w:rPr>
        <w:t xml:space="preserve"> ADL, </w:t>
      </w:r>
      <w:r>
        <w:rPr>
          <w:rStyle w:val="AttributeTok"/>
        </w:rPr>
        <w:t>data =</w:t>
      </w:r>
      <w:r>
        <w:rPr>
          <w:rStyle w:val="NormalTok"/>
        </w:rPr>
        <w:t xml:space="preserve"> Hannan, </w:t>
      </w:r>
      <w:r>
        <w:rPr>
          <w:rStyle w:val="AttributeTok"/>
        </w:rPr>
        <w:t>family =</w:t>
      </w:r>
      <w:r>
        <w:rPr>
          <w:rStyle w:val="NormalTok"/>
        </w:rPr>
        <w:t xml:space="preserve"> binomial)</w:t>
      </w:r>
      <w:r>
        <w:br/>
      </w:r>
      <w:r>
        <w:rPr>
          <w:rStyle w:val="FunctionTok"/>
        </w:rPr>
        <w:t>summary</w:t>
      </w:r>
      <w:r>
        <w:rPr>
          <w:rStyle w:val="NormalTok"/>
        </w:rPr>
        <w:t>(model_b)</w:t>
      </w:r>
      <w:r>
        <w:br/>
      </w:r>
      <w:r>
        <w:rPr>
          <w:rStyle w:val="FunctionTok"/>
        </w:rPr>
        <w:t>exp</w:t>
      </w:r>
      <w:r>
        <w:rPr>
          <w:rStyle w:val="NormalTok"/>
        </w:rPr>
        <w:t>(</w:t>
      </w:r>
      <w:r>
        <w:rPr>
          <w:rStyle w:val="FunctionTok"/>
        </w:rPr>
        <w:t>cbind</w:t>
      </w:r>
      <w:r>
        <w:rPr>
          <w:rStyle w:val="NormalTok"/>
        </w:rPr>
        <w:t>(</w:t>
      </w:r>
      <w:r>
        <w:rPr>
          <w:rStyle w:val="AttributeTok"/>
        </w:rPr>
        <w:t>OR =</w:t>
      </w:r>
      <w:r>
        <w:rPr>
          <w:rStyle w:val="NormalTok"/>
        </w:rPr>
        <w:t xml:space="preserve"> </w:t>
      </w:r>
      <w:r>
        <w:rPr>
          <w:rStyle w:val="FunctionTok"/>
        </w:rPr>
        <w:t>coef</w:t>
      </w:r>
      <w:r>
        <w:rPr>
          <w:rStyle w:val="NormalTok"/>
        </w:rPr>
        <w:t xml:space="preserve">(model_b), </w:t>
      </w:r>
      <w:r>
        <w:rPr>
          <w:rStyle w:val="FunctionTok"/>
        </w:rPr>
        <w:t>confint.default</w:t>
      </w:r>
      <w:r>
        <w:rPr>
          <w:rStyle w:val="NormalTok"/>
        </w:rPr>
        <w:t>(model_b)))</w:t>
      </w:r>
    </w:p>
    <w:p w14:paraId="36AB460B" w14:textId="77777777" w:rsidR="007A10CE" w:rsidRDefault="00000000">
      <w:pPr>
        <w:pStyle w:val="FirstParagraph"/>
      </w:pPr>
      <w:r>
        <w:rPr>
          <w:b/>
          <w:bCs/>
        </w:rPr>
        <w:t>Resultat:</w:t>
      </w:r>
    </w:p>
    <w:tbl>
      <w:tblPr>
        <w:tblStyle w:val="Table"/>
        <w:tblW w:w="0" w:type="auto"/>
        <w:tblLook w:val="0020" w:firstRow="1" w:lastRow="0" w:firstColumn="0" w:lastColumn="0" w:noHBand="0" w:noVBand="0"/>
      </w:tblPr>
      <w:tblGrid>
        <w:gridCol w:w="1301"/>
        <w:gridCol w:w="797"/>
        <w:gridCol w:w="1681"/>
        <w:gridCol w:w="1030"/>
      </w:tblGrid>
      <w:tr w:rsidR="007A10CE" w14:paraId="4B7AE56C" w14:textId="77777777" w:rsidTr="007A10CE">
        <w:trPr>
          <w:cnfStyle w:val="100000000000" w:firstRow="1" w:lastRow="0" w:firstColumn="0" w:lastColumn="0" w:oddVBand="0" w:evenVBand="0" w:oddHBand="0" w:evenHBand="0" w:firstRowFirstColumn="0" w:firstRowLastColumn="0" w:lastRowFirstColumn="0" w:lastRowLastColumn="0"/>
          <w:tblHeader/>
        </w:trPr>
        <w:tc>
          <w:tcPr>
            <w:tcW w:w="0" w:type="auto"/>
          </w:tcPr>
          <w:p w14:paraId="63AAE8F7" w14:textId="77777777" w:rsidR="007A10CE" w:rsidRDefault="00000000">
            <w:pPr>
              <w:pStyle w:val="Compact"/>
            </w:pPr>
            <w:r>
              <w:t>Parameter</w:t>
            </w:r>
          </w:p>
        </w:tc>
        <w:tc>
          <w:tcPr>
            <w:tcW w:w="0" w:type="auto"/>
          </w:tcPr>
          <w:p w14:paraId="2EB824D2" w14:textId="77777777" w:rsidR="007A10CE" w:rsidRDefault="00000000">
            <w:pPr>
              <w:pStyle w:val="Compact"/>
            </w:pPr>
            <w:r>
              <w:t>OR</w:t>
            </w:r>
          </w:p>
        </w:tc>
        <w:tc>
          <w:tcPr>
            <w:tcW w:w="0" w:type="auto"/>
          </w:tcPr>
          <w:p w14:paraId="69696501" w14:textId="77777777" w:rsidR="007A10CE" w:rsidRDefault="00000000">
            <w:pPr>
              <w:pStyle w:val="Compact"/>
            </w:pPr>
            <w:r>
              <w:t>95% CI</w:t>
            </w:r>
          </w:p>
        </w:tc>
        <w:tc>
          <w:tcPr>
            <w:tcW w:w="0" w:type="auto"/>
          </w:tcPr>
          <w:p w14:paraId="0B54B39B" w14:textId="77777777" w:rsidR="007A10CE" w:rsidRDefault="00000000">
            <w:pPr>
              <w:pStyle w:val="Compact"/>
            </w:pPr>
            <w:r>
              <w:t>p-værdi</w:t>
            </w:r>
          </w:p>
        </w:tc>
      </w:tr>
      <w:tr w:rsidR="007A10CE" w14:paraId="79AE9B43" w14:textId="77777777">
        <w:tc>
          <w:tcPr>
            <w:tcW w:w="0" w:type="auto"/>
          </w:tcPr>
          <w:p w14:paraId="44C04F34" w14:textId="77777777" w:rsidR="007A10CE" w:rsidRDefault="00000000">
            <w:pPr>
              <w:pStyle w:val="Compact"/>
            </w:pPr>
            <w:r>
              <w:t>ADL</w:t>
            </w:r>
          </w:p>
        </w:tc>
        <w:tc>
          <w:tcPr>
            <w:tcW w:w="0" w:type="auto"/>
          </w:tcPr>
          <w:p w14:paraId="20AB581B" w14:textId="77777777" w:rsidR="007A10CE" w:rsidRDefault="00000000">
            <w:pPr>
              <w:pStyle w:val="Compact"/>
            </w:pPr>
            <w:r>
              <w:t>0.704</w:t>
            </w:r>
          </w:p>
        </w:tc>
        <w:tc>
          <w:tcPr>
            <w:tcW w:w="0" w:type="auto"/>
          </w:tcPr>
          <w:p w14:paraId="685FD1F5" w14:textId="77777777" w:rsidR="007A10CE" w:rsidRDefault="00000000">
            <w:pPr>
              <w:pStyle w:val="Compact"/>
            </w:pPr>
            <w:r>
              <w:t>(0.504–0.984)</w:t>
            </w:r>
          </w:p>
        </w:tc>
        <w:tc>
          <w:tcPr>
            <w:tcW w:w="0" w:type="auto"/>
          </w:tcPr>
          <w:p w14:paraId="3F068F27" w14:textId="77777777" w:rsidR="007A10CE" w:rsidRDefault="00000000">
            <w:pPr>
              <w:pStyle w:val="Compact"/>
            </w:pPr>
            <w:r>
              <w:t>0.040</w:t>
            </w:r>
          </w:p>
        </w:tc>
      </w:tr>
    </w:tbl>
    <w:p w14:paraId="3A876036" w14:textId="77777777" w:rsidR="007A10CE" w:rsidRDefault="00000000">
      <w:pPr>
        <w:pStyle w:val="Brdtekst"/>
      </w:pPr>
      <w:r>
        <w:rPr>
          <w:b/>
          <w:bCs/>
        </w:rPr>
        <w:t>Fortolkning:</w:t>
      </w:r>
      <w:r>
        <w:t xml:space="preserve"> For hver enheds stigning i ADL-score (dvs. bedre funktionsevne) falder odds for fraktur med en faktor 0.70 (30% reduktion). Sammenhængen er statistisk signifikant (p = 0.040). Kvinder med højere ADL-score (bedre funktionsniveau) har altså lavere odds for fraktur. Dette er biologisk plausibelt: bedre funktionsniveau indikerer bedre balance, muskelstyrke og mobilitet, som beskytter mod fald og dermed frakturer.</w:t>
      </w:r>
    </w:p>
    <w:p w14:paraId="7682CFA8" w14:textId="77777777" w:rsidR="007A10CE" w:rsidRDefault="00000000">
      <w:pPr>
        <w:pStyle w:val="Overskrift3"/>
      </w:pPr>
      <w:bookmarkStart w:id="22" w:name="c-justeret-logistisk-regression"/>
      <w:bookmarkEnd w:id="21"/>
      <w:r>
        <w:t>c) Justeret logistisk regression</w:t>
      </w:r>
    </w:p>
    <w:p w14:paraId="13654A48" w14:textId="77777777" w:rsidR="007A10CE" w:rsidRDefault="00000000">
      <w:pPr>
        <w:pStyle w:val="SourceCode"/>
      </w:pPr>
      <w:r>
        <w:rPr>
          <w:rStyle w:val="NormalTok"/>
        </w:rPr>
        <w:t xml:space="preserve">model_c </w:t>
      </w:r>
      <w:r>
        <w:rPr>
          <w:rStyle w:val="OtherTok"/>
        </w:rPr>
        <w:t>&lt;-</w:t>
      </w:r>
      <w:r>
        <w:rPr>
          <w:rStyle w:val="NormalTok"/>
        </w:rPr>
        <w:t xml:space="preserve"> </w:t>
      </w:r>
      <w:r>
        <w:rPr>
          <w:rStyle w:val="FunctionTok"/>
        </w:rPr>
        <w:t>glm</w:t>
      </w:r>
      <w:r>
        <w:rPr>
          <w:rStyle w:val="NormalTok"/>
        </w:rPr>
        <w:t xml:space="preserve">(Fraktur </w:t>
      </w:r>
      <w:r>
        <w:rPr>
          <w:rStyle w:val="SpecialCharTok"/>
        </w:rPr>
        <w:t>~</w:t>
      </w:r>
      <w:r>
        <w:rPr>
          <w:rStyle w:val="NormalTok"/>
        </w:rPr>
        <w:t xml:space="preserve"> ADL </w:t>
      </w:r>
      <w:r>
        <w:rPr>
          <w:rStyle w:val="SpecialCharTok"/>
        </w:rPr>
        <w:t>+</w:t>
      </w:r>
      <w:r>
        <w:rPr>
          <w:rStyle w:val="NormalTok"/>
        </w:rPr>
        <w:t xml:space="preserve"> Alder </w:t>
      </w:r>
      <w:r>
        <w:rPr>
          <w:rStyle w:val="SpecialCharTok"/>
        </w:rPr>
        <w:t>+</w:t>
      </w:r>
      <w:r>
        <w:rPr>
          <w:rStyle w:val="NormalTok"/>
        </w:rPr>
        <w:t xml:space="preserve"> Tidl_fald </w:t>
      </w:r>
      <w:r>
        <w:rPr>
          <w:rStyle w:val="SpecialCharTok"/>
        </w:rPr>
        <w:t>+</w:t>
      </w:r>
      <w:r>
        <w:rPr>
          <w:rStyle w:val="NormalTok"/>
        </w:rPr>
        <w:t xml:space="preserve"> Rygning,</w:t>
      </w:r>
      <w:r>
        <w:br/>
      </w:r>
      <w:r>
        <w:rPr>
          <w:rStyle w:val="NormalTok"/>
        </w:rPr>
        <w:t xml:space="preserve">               </w:t>
      </w:r>
      <w:r>
        <w:rPr>
          <w:rStyle w:val="AttributeTok"/>
        </w:rPr>
        <w:t>data =</w:t>
      </w:r>
      <w:r>
        <w:rPr>
          <w:rStyle w:val="NormalTok"/>
        </w:rPr>
        <w:t xml:space="preserve"> Hannan, </w:t>
      </w:r>
      <w:r>
        <w:rPr>
          <w:rStyle w:val="AttributeTok"/>
        </w:rPr>
        <w:t>family =</w:t>
      </w:r>
      <w:r>
        <w:rPr>
          <w:rStyle w:val="NormalTok"/>
        </w:rPr>
        <w:t xml:space="preserve"> binomial)</w:t>
      </w:r>
      <w:r>
        <w:br/>
      </w:r>
      <w:r>
        <w:rPr>
          <w:rStyle w:val="FunctionTok"/>
        </w:rPr>
        <w:t>summary</w:t>
      </w:r>
      <w:r>
        <w:rPr>
          <w:rStyle w:val="NormalTok"/>
        </w:rPr>
        <w:t>(model_c)</w:t>
      </w:r>
      <w:r>
        <w:br/>
      </w:r>
      <w:r>
        <w:rPr>
          <w:rStyle w:val="FunctionTok"/>
        </w:rPr>
        <w:t>exp</w:t>
      </w:r>
      <w:r>
        <w:rPr>
          <w:rStyle w:val="NormalTok"/>
        </w:rPr>
        <w:t>(</w:t>
      </w:r>
      <w:r>
        <w:rPr>
          <w:rStyle w:val="FunctionTok"/>
        </w:rPr>
        <w:t>cbind</w:t>
      </w:r>
      <w:r>
        <w:rPr>
          <w:rStyle w:val="NormalTok"/>
        </w:rPr>
        <w:t>(</w:t>
      </w:r>
      <w:r>
        <w:rPr>
          <w:rStyle w:val="AttributeTok"/>
        </w:rPr>
        <w:t>OR =</w:t>
      </w:r>
      <w:r>
        <w:rPr>
          <w:rStyle w:val="NormalTok"/>
        </w:rPr>
        <w:t xml:space="preserve"> </w:t>
      </w:r>
      <w:r>
        <w:rPr>
          <w:rStyle w:val="FunctionTok"/>
        </w:rPr>
        <w:t>coef</w:t>
      </w:r>
      <w:r>
        <w:rPr>
          <w:rStyle w:val="NormalTok"/>
        </w:rPr>
        <w:t xml:space="preserve">(model_c), </w:t>
      </w:r>
      <w:r>
        <w:rPr>
          <w:rStyle w:val="FunctionTok"/>
        </w:rPr>
        <w:t>confint.default</w:t>
      </w:r>
      <w:r>
        <w:rPr>
          <w:rStyle w:val="NormalTok"/>
        </w:rPr>
        <w:t>(model_c)))</w:t>
      </w:r>
    </w:p>
    <w:p w14:paraId="2FDF755D" w14:textId="77777777" w:rsidR="007A10CE" w:rsidRDefault="00000000">
      <w:pPr>
        <w:pStyle w:val="FirstParagraph"/>
      </w:pPr>
      <w:r>
        <w:rPr>
          <w:b/>
          <w:bCs/>
        </w:rPr>
        <w:t>Resultat:</w:t>
      </w:r>
    </w:p>
    <w:tbl>
      <w:tblPr>
        <w:tblStyle w:val="Table"/>
        <w:tblW w:w="0" w:type="auto"/>
        <w:tblLook w:val="0020" w:firstRow="1" w:lastRow="0" w:firstColumn="0" w:lastColumn="0" w:noHBand="0" w:noVBand="0"/>
      </w:tblPr>
      <w:tblGrid>
        <w:gridCol w:w="1301"/>
        <w:gridCol w:w="797"/>
        <w:gridCol w:w="1681"/>
        <w:gridCol w:w="1030"/>
      </w:tblGrid>
      <w:tr w:rsidR="007A10CE" w14:paraId="5F5640EC" w14:textId="77777777" w:rsidTr="007A10CE">
        <w:trPr>
          <w:cnfStyle w:val="100000000000" w:firstRow="1" w:lastRow="0" w:firstColumn="0" w:lastColumn="0" w:oddVBand="0" w:evenVBand="0" w:oddHBand="0" w:evenHBand="0" w:firstRowFirstColumn="0" w:firstRowLastColumn="0" w:lastRowFirstColumn="0" w:lastRowLastColumn="0"/>
          <w:tblHeader/>
        </w:trPr>
        <w:tc>
          <w:tcPr>
            <w:tcW w:w="0" w:type="auto"/>
          </w:tcPr>
          <w:p w14:paraId="2AA63605" w14:textId="77777777" w:rsidR="007A10CE" w:rsidRDefault="00000000">
            <w:pPr>
              <w:pStyle w:val="Compact"/>
            </w:pPr>
            <w:r>
              <w:t>Parameter</w:t>
            </w:r>
          </w:p>
        </w:tc>
        <w:tc>
          <w:tcPr>
            <w:tcW w:w="0" w:type="auto"/>
          </w:tcPr>
          <w:p w14:paraId="4573315D" w14:textId="77777777" w:rsidR="007A10CE" w:rsidRDefault="00000000">
            <w:pPr>
              <w:pStyle w:val="Compact"/>
            </w:pPr>
            <w:r>
              <w:t>OR</w:t>
            </w:r>
          </w:p>
        </w:tc>
        <w:tc>
          <w:tcPr>
            <w:tcW w:w="0" w:type="auto"/>
          </w:tcPr>
          <w:p w14:paraId="6F398490" w14:textId="77777777" w:rsidR="007A10CE" w:rsidRDefault="00000000">
            <w:pPr>
              <w:pStyle w:val="Compact"/>
            </w:pPr>
            <w:r>
              <w:t>95% CI</w:t>
            </w:r>
          </w:p>
        </w:tc>
        <w:tc>
          <w:tcPr>
            <w:tcW w:w="0" w:type="auto"/>
          </w:tcPr>
          <w:p w14:paraId="0C9F88F8" w14:textId="77777777" w:rsidR="007A10CE" w:rsidRDefault="00000000">
            <w:pPr>
              <w:pStyle w:val="Compact"/>
            </w:pPr>
            <w:r>
              <w:t>p-værdi</w:t>
            </w:r>
          </w:p>
        </w:tc>
      </w:tr>
      <w:tr w:rsidR="007A10CE" w14:paraId="4DC9610B" w14:textId="77777777">
        <w:tc>
          <w:tcPr>
            <w:tcW w:w="0" w:type="auto"/>
          </w:tcPr>
          <w:p w14:paraId="0B058BBC" w14:textId="77777777" w:rsidR="007A10CE" w:rsidRDefault="00000000">
            <w:pPr>
              <w:pStyle w:val="Compact"/>
            </w:pPr>
            <w:r>
              <w:t>ADL</w:t>
            </w:r>
          </w:p>
        </w:tc>
        <w:tc>
          <w:tcPr>
            <w:tcW w:w="0" w:type="auto"/>
          </w:tcPr>
          <w:p w14:paraId="6ECE5148" w14:textId="77777777" w:rsidR="007A10CE" w:rsidRDefault="00000000">
            <w:pPr>
              <w:pStyle w:val="Compact"/>
            </w:pPr>
            <w:r>
              <w:t>0.698</w:t>
            </w:r>
          </w:p>
        </w:tc>
        <w:tc>
          <w:tcPr>
            <w:tcW w:w="0" w:type="auto"/>
          </w:tcPr>
          <w:p w14:paraId="7C113AE0" w14:textId="77777777" w:rsidR="007A10CE" w:rsidRDefault="00000000">
            <w:pPr>
              <w:pStyle w:val="Compact"/>
            </w:pPr>
            <w:r>
              <w:t>(0.498–0.977)</w:t>
            </w:r>
          </w:p>
        </w:tc>
        <w:tc>
          <w:tcPr>
            <w:tcW w:w="0" w:type="auto"/>
          </w:tcPr>
          <w:p w14:paraId="3C0CB004" w14:textId="77777777" w:rsidR="007A10CE" w:rsidRDefault="00000000">
            <w:pPr>
              <w:pStyle w:val="Compact"/>
            </w:pPr>
            <w:r>
              <w:t>0.036</w:t>
            </w:r>
          </w:p>
        </w:tc>
      </w:tr>
      <w:tr w:rsidR="007A10CE" w14:paraId="51B61E3F" w14:textId="77777777">
        <w:tc>
          <w:tcPr>
            <w:tcW w:w="0" w:type="auto"/>
          </w:tcPr>
          <w:p w14:paraId="419CC9CC" w14:textId="77777777" w:rsidR="007A10CE" w:rsidRDefault="00000000">
            <w:pPr>
              <w:pStyle w:val="Compact"/>
            </w:pPr>
            <w:r>
              <w:t>Alder</w:t>
            </w:r>
          </w:p>
        </w:tc>
        <w:tc>
          <w:tcPr>
            <w:tcW w:w="0" w:type="auto"/>
          </w:tcPr>
          <w:p w14:paraId="36F6790B" w14:textId="77777777" w:rsidR="007A10CE" w:rsidRDefault="00000000">
            <w:pPr>
              <w:pStyle w:val="Compact"/>
            </w:pPr>
            <w:r>
              <w:t>1.076</w:t>
            </w:r>
          </w:p>
        </w:tc>
        <w:tc>
          <w:tcPr>
            <w:tcW w:w="0" w:type="auto"/>
          </w:tcPr>
          <w:p w14:paraId="288E5DFC" w14:textId="77777777" w:rsidR="007A10CE" w:rsidRDefault="00000000">
            <w:pPr>
              <w:pStyle w:val="Compact"/>
            </w:pPr>
            <w:r>
              <w:t>(1.032–1.122)</w:t>
            </w:r>
          </w:p>
        </w:tc>
        <w:tc>
          <w:tcPr>
            <w:tcW w:w="0" w:type="auto"/>
          </w:tcPr>
          <w:p w14:paraId="78B84EDB" w14:textId="77777777" w:rsidR="007A10CE" w:rsidRDefault="00000000">
            <w:pPr>
              <w:pStyle w:val="Compact"/>
            </w:pPr>
            <w:r>
              <w:t>&lt;0.001</w:t>
            </w:r>
          </w:p>
        </w:tc>
      </w:tr>
      <w:tr w:rsidR="007A10CE" w14:paraId="6700C769" w14:textId="77777777">
        <w:tc>
          <w:tcPr>
            <w:tcW w:w="0" w:type="auto"/>
          </w:tcPr>
          <w:p w14:paraId="52B325EF" w14:textId="77777777" w:rsidR="007A10CE" w:rsidRDefault="00000000">
            <w:pPr>
              <w:pStyle w:val="Compact"/>
            </w:pPr>
            <w:r>
              <w:t>Tidl_fald</w:t>
            </w:r>
          </w:p>
        </w:tc>
        <w:tc>
          <w:tcPr>
            <w:tcW w:w="0" w:type="auto"/>
          </w:tcPr>
          <w:p w14:paraId="3DC333DE" w14:textId="77777777" w:rsidR="007A10CE" w:rsidRDefault="00000000">
            <w:pPr>
              <w:pStyle w:val="Compact"/>
            </w:pPr>
            <w:r>
              <w:t>3.536</w:t>
            </w:r>
          </w:p>
        </w:tc>
        <w:tc>
          <w:tcPr>
            <w:tcW w:w="0" w:type="auto"/>
          </w:tcPr>
          <w:p w14:paraId="04A990A9" w14:textId="77777777" w:rsidR="007A10CE" w:rsidRDefault="00000000">
            <w:pPr>
              <w:pStyle w:val="Compact"/>
            </w:pPr>
            <w:r>
              <w:t>(2.119–5.902)</w:t>
            </w:r>
          </w:p>
        </w:tc>
        <w:tc>
          <w:tcPr>
            <w:tcW w:w="0" w:type="auto"/>
          </w:tcPr>
          <w:p w14:paraId="781F6208" w14:textId="77777777" w:rsidR="007A10CE" w:rsidRDefault="00000000">
            <w:pPr>
              <w:pStyle w:val="Compact"/>
            </w:pPr>
            <w:r>
              <w:t>&lt;0.001</w:t>
            </w:r>
          </w:p>
        </w:tc>
      </w:tr>
      <w:tr w:rsidR="007A10CE" w14:paraId="5D076268" w14:textId="77777777">
        <w:tc>
          <w:tcPr>
            <w:tcW w:w="0" w:type="auto"/>
          </w:tcPr>
          <w:p w14:paraId="23EF06C0" w14:textId="77777777" w:rsidR="007A10CE" w:rsidRDefault="00000000">
            <w:pPr>
              <w:pStyle w:val="Compact"/>
            </w:pPr>
            <w:r>
              <w:t>Rygning</w:t>
            </w:r>
          </w:p>
        </w:tc>
        <w:tc>
          <w:tcPr>
            <w:tcW w:w="0" w:type="auto"/>
          </w:tcPr>
          <w:p w14:paraId="23E2B40A" w14:textId="77777777" w:rsidR="007A10CE" w:rsidRDefault="00000000">
            <w:pPr>
              <w:pStyle w:val="Compact"/>
            </w:pPr>
            <w:r>
              <w:t>1.054</w:t>
            </w:r>
          </w:p>
        </w:tc>
        <w:tc>
          <w:tcPr>
            <w:tcW w:w="0" w:type="auto"/>
          </w:tcPr>
          <w:p w14:paraId="4B21B7A1" w14:textId="77777777" w:rsidR="007A10CE" w:rsidRDefault="00000000">
            <w:pPr>
              <w:pStyle w:val="Compact"/>
            </w:pPr>
            <w:r>
              <w:t>(0.442–2.517)</w:t>
            </w:r>
          </w:p>
        </w:tc>
        <w:tc>
          <w:tcPr>
            <w:tcW w:w="0" w:type="auto"/>
          </w:tcPr>
          <w:p w14:paraId="678E66B7" w14:textId="77777777" w:rsidR="007A10CE" w:rsidRDefault="00000000">
            <w:pPr>
              <w:pStyle w:val="Compact"/>
            </w:pPr>
            <w:r>
              <w:t>0.905</w:t>
            </w:r>
          </w:p>
        </w:tc>
      </w:tr>
    </w:tbl>
    <w:p w14:paraId="7F570725" w14:textId="77777777" w:rsidR="007A10CE" w:rsidRDefault="00000000">
      <w:pPr>
        <w:pStyle w:val="Brdtekst"/>
      </w:pPr>
      <w:r>
        <w:rPr>
          <w:b/>
          <w:bCs/>
        </w:rPr>
        <w:t>Fortolkning i forhold til 5b:</w:t>
      </w:r>
    </w:p>
    <w:p w14:paraId="48BA0EB3" w14:textId="77777777" w:rsidR="007A10CE" w:rsidRDefault="00000000">
      <w:pPr>
        <w:pStyle w:val="Compact"/>
        <w:numPr>
          <w:ilvl w:val="0"/>
          <w:numId w:val="7"/>
        </w:numPr>
      </w:pPr>
      <w:r>
        <w:rPr>
          <w:b/>
          <w:bCs/>
        </w:rPr>
        <w:t>ADL (OR = 0.698, p = 0.036):</w:t>
      </w:r>
      <w:r>
        <w:t xml:space="preserve"> Effekten af ADL er stort set uændret efter justering (OR 0.704 → 0.698). ADL forbliver en signifikant prædiktor. Det tyder på at alder, fald og rygning </w:t>
      </w:r>
      <w:r>
        <w:rPr>
          <w:i/>
          <w:iCs/>
        </w:rPr>
        <w:t>ikke</w:t>
      </w:r>
      <w:r>
        <w:t xml:space="preserve"> konfunderer sammenhængen mellem ADL og fraktur væsentligt – ADL har en uafhængig beskyttende effekt.</w:t>
      </w:r>
    </w:p>
    <w:p w14:paraId="24D2D766" w14:textId="77777777" w:rsidR="007A10CE" w:rsidRDefault="00000000">
      <w:pPr>
        <w:pStyle w:val="Compact"/>
        <w:numPr>
          <w:ilvl w:val="0"/>
          <w:numId w:val="7"/>
        </w:numPr>
      </w:pPr>
      <w:r>
        <w:rPr>
          <w:b/>
          <w:bCs/>
        </w:rPr>
        <w:t>Alder (OR = 1.076, p &lt; 0.001):</w:t>
      </w:r>
      <w:r>
        <w:t xml:space="preserve"> For hvert års stigning i alder stiger odds for fraktur med 7,6%. Alder er en stærk uafhængig prædiktor.</w:t>
      </w:r>
    </w:p>
    <w:p w14:paraId="479E2CE3" w14:textId="77777777" w:rsidR="007A10CE" w:rsidRDefault="00000000">
      <w:pPr>
        <w:pStyle w:val="Compact"/>
        <w:numPr>
          <w:ilvl w:val="0"/>
          <w:numId w:val="7"/>
        </w:numPr>
      </w:pPr>
      <w:r>
        <w:rPr>
          <w:b/>
          <w:bCs/>
        </w:rPr>
        <w:lastRenderedPageBreak/>
        <w:t>Tidl_fald (OR = 3.536, p &lt; 0.001):</w:t>
      </w:r>
      <w:r>
        <w:t xml:space="preserve"> Kvinder med tidligere fald har </w:t>
      </w:r>
      <w:r>
        <w:rPr>
          <w:b/>
          <w:bCs/>
        </w:rPr>
        <w:t>3,5 gange</w:t>
      </w:r>
      <w:r>
        <w:t xml:space="preserve"> højere odds for fraktur end kvinder uden tidligere fald. Dette er den stærkeste prædiktor i modellen.</w:t>
      </w:r>
    </w:p>
    <w:p w14:paraId="1A2CC939" w14:textId="77777777" w:rsidR="007A10CE" w:rsidRDefault="00000000">
      <w:pPr>
        <w:pStyle w:val="Compact"/>
        <w:numPr>
          <w:ilvl w:val="0"/>
          <w:numId w:val="7"/>
        </w:numPr>
      </w:pPr>
      <w:r>
        <w:rPr>
          <w:b/>
          <w:bCs/>
        </w:rPr>
        <w:t>Rygning (OR = 1.054, p = 0.905):</w:t>
      </w:r>
      <w:r>
        <w:t xml:space="preserve"> Rygning er </w:t>
      </w:r>
      <w:r>
        <w:rPr>
          <w:i/>
          <w:iCs/>
        </w:rPr>
        <w:t>ikke</w:t>
      </w:r>
      <w:r>
        <w:t xml:space="preserve"> signifikant associeret med fraktur i denne model. OR er tæt på 1 med et bredt konfidensinterval.</w:t>
      </w:r>
    </w:p>
    <w:p w14:paraId="4330517F" w14:textId="77777777" w:rsidR="007A10CE" w:rsidRDefault="00000000">
      <w:pPr>
        <w:pStyle w:val="Overskrift3"/>
      </w:pPr>
      <w:bookmarkStart w:id="23" w:name="d-auc-og-roc-kurve"/>
      <w:bookmarkEnd w:id="22"/>
      <w:r>
        <w:t>d) AUC og ROC-kurve</w:t>
      </w:r>
    </w:p>
    <w:p w14:paraId="2FB33B0C" w14:textId="77777777" w:rsidR="007A10CE" w:rsidRDefault="00000000">
      <w:pPr>
        <w:pStyle w:val="SourceCode"/>
      </w:pPr>
      <w:r>
        <w:rPr>
          <w:rStyle w:val="FunctionTok"/>
        </w:rPr>
        <w:t>library</w:t>
      </w:r>
      <w:r>
        <w:rPr>
          <w:rStyle w:val="NormalTok"/>
        </w:rPr>
        <w:t>(pROC)</w:t>
      </w:r>
      <w:r>
        <w:br/>
      </w:r>
      <w:r>
        <w:rPr>
          <w:rStyle w:val="NormalTok"/>
        </w:rPr>
        <w:t>Hannan</w:t>
      </w:r>
      <w:r>
        <w:rPr>
          <w:rStyle w:val="SpecialCharTok"/>
        </w:rPr>
        <w:t>$</w:t>
      </w:r>
      <w:r>
        <w:rPr>
          <w:rStyle w:val="NormalTok"/>
        </w:rPr>
        <w:t xml:space="preserve">pred_prob </w:t>
      </w:r>
      <w:r>
        <w:rPr>
          <w:rStyle w:val="OtherTok"/>
        </w:rPr>
        <w:t>&lt;-</w:t>
      </w:r>
      <w:r>
        <w:rPr>
          <w:rStyle w:val="NormalTok"/>
        </w:rPr>
        <w:t xml:space="preserve"> </w:t>
      </w:r>
      <w:r>
        <w:rPr>
          <w:rStyle w:val="FunctionTok"/>
        </w:rPr>
        <w:t>predict</w:t>
      </w:r>
      <w:r>
        <w:rPr>
          <w:rStyle w:val="NormalTok"/>
        </w:rPr>
        <w:t xml:space="preserve">(model_c, </w:t>
      </w:r>
      <w:r>
        <w:rPr>
          <w:rStyle w:val="AttributeTok"/>
        </w:rPr>
        <w:t>type =</w:t>
      </w:r>
      <w:r>
        <w:rPr>
          <w:rStyle w:val="NormalTok"/>
        </w:rPr>
        <w:t xml:space="preserve"> </w:t>
      </w:r>
      <w:r>
        <w:rPr>
          <w:rStyle w:val="StringTok"/>
        </w:rPr>
        <w:t>"response"</w:t>
      </w:r>
      <w:r>
        <w:rPr>
          <w:rStyle w:val="NormalTok"/>
        </w:rPr>
        <w:t>)</w:t>
      </w:r>
      <w:r>
        <w:br/>
      </w:r>
      <w:r>
        <w:rPr>
          <w:rStyle w:val="NormalTok"/>
        </w:rPr>
        <w:t xml:space="preserve">roc_obj </w:t>
      </w:r>
      <w:r>
        <w:rPr>
          <w:rStyle w:val="OtherTok"/>
        </w:rPr>
        <w:t>&lt;-</w:t>
      </w:r>
      <w:r>
        <w:rPr>
          <w:rStyle w:val="NormalTok"/>
        </w:rPr>
        <w:t xml:space="preserve"> </w:t>
      </w:r>
      <w:r>
        <w:rPr>
          <w:rStyle w:val="FunctionTok"/>
        </w:rPr>
        <w:t>roc</w:t>
      </w:r>
      <w:r>
        <w:rPr>
          <w:rStyle w:val="NormalTok"/>
        </w:rPr>
        <w:t>(Hannan</w:t>
      </w:r>
      <w:r>
        <w:rPr>
          <w:rStyle w:val="SpecialCharTok"/>
        </w:rPr>
        <w:t>$</w:t>
      </w:r>
      <w:r>
        <w:rPr>
          <w:rStyle w:val="NormalTok"/>
        </w:rPr>
        <w:t>Fraktur, Hannan</w:t>
      </w:r>
      <w:r>
        <w:rPr>
          <w:rStyle w:val="SpecialCharTok"/>
        </w:rPr>
        <w:t>$</w:t>
      </w:r>
      <w:r>
        <w:rPr>
          <w:rStyle w:val="NormalTok"/>
        </w:rPr>
        <w:t>pred_prob)</w:t>
      </w:r>
      <w:r>
        <w:br/>
      </w:r>
      <w:r>
        <w:rPr>
          <w:rStyle w:val="FunctionTok"/>
        </w:rPr>
        <w:t>auc</w:t>
      </w:r>
      <w:r>
        <w:rPr>
          <w:rStyle w:val="NormalTok"/>
        </w:rPr>
        <w:t>(roc_obj)</w:t>
      </w:r>
      <w:r>
        <w:br/>
      </w:r>
      <w:r>
        <w:rPr>
          <w:rStyle w:val="FunctionTok"/>
        </w:rPr>
        <w:t>plot</w:t>
      </w:r>
      <w:r>
        <w:rPr>
          <w:rStyle w:val="NormalTok"/>
        </w:rPr>
        <w:t xml:space="preserve">(roc_obj, </w:t>
      </w:r>
      <w:r>
        <w:rPr>
          <w:rStyle w:val="AttributeTok"/>
        </w:rPr>
        <w:t>main =</w:t>
      </w:r>
      <w:r>
        <w:rPr>
          <w:rStyle w:val="NormalTok"/>
        </w:rPr>
        <w:t xml:space="preserve"> </w:t>
      </w:r>
      <w:r>
        <w:rPr>
          <w:rStyle w:val="StringTok"/>
        </w:rPr>
        <w:t>"ROC-kurve: Prædiktionsmodel for fraktur"</w:t>
      </w:r>
      <w:r>
        <w:rPr>
          <w:rStyle w:val="NormalTok"/>
        </w:rPr>
        <w:t>,</w:t>
      </w:r>
      <w:r>
        <w:br/>
      </w:r>
      <w:r>
        <w:rPr>
          <w:rStyle w:val="NormalTok"/>
        </w:rPr>
        <w:t xml:space="preserve">     </w:t>
      </w:r>
      <w:r>
        <w:rPr>
          <w:rStyle w:val="AttributeTok"/>
        </w:rPr>
        <w:t>col =</w:t>
      </w:r>
      <w:r>
        <w:rPr>
          <w:rStyle w:val="NormalTok"/>
        </w:rPr>
        <w:t xml:space="preserve"> </w:t>
      </w:r>
      <w:r>
        <w:rPr>
          <w:rStyle w:val="StringTok"/>
        </w:rPr>
        <w:t>"blue"</w:t>
      </w:r>
      <w:r>
        <w:rPr>
          <w:rStyle w:val="NormalTok"/>
        </w:rPr>
        <w:t xml:space="preserve">, </w:t>
      </w:r>
      <w:r>
        <w:rPr>
          <w:rStyle w:val="AttributeTok"/>
        </w:rPr>
        <w:t>lwd =</w:t>
      </w:r>
      <w:r>
        <w:rPr>
          <w:rStyle w:val="NormalTok"/>
        </w:rPr>
        <w:t xml:space="preserve"> </w:t>
      </w:r>
      <w:r>
        <w:rPr>
          <w:rStyle w:val="DecValTok"/>
        </w:rPr>
        <w:t>2</w:t>
      </w:r>
      <w:r>
        <w:rPr>
          <w:rStyle w:val="NormalTok"/>
        </w:rPr>
        <w:t xml:space="preserve">, </w:t>
      </w:r>
      <w:r>
        <w:rPr>
          <w:rStyle w:val="AttributeTok"/>
        </w:rPr>
        <w:t>print.auc =</w:t>
      </w:r>
      <w:r>
        <w:rPr>
          <w:rStyle w:val="NormalTok"/>
        </w:rPr>
        <w:t xml:space="preserve"> </w:t>
      </w:r>
      <w:r>
        <w:rPr>
          <w:rStyle w:val="ConstantTok"/>
        </w:rPr>
        <w:t>TRUE</w:t>
      </w:r>
      <w:r>
        <w:rPr>
          <w:rStyle w:val="NormalTok"/>
        </w:rPr>
        <w:t>)</w:t>
      </w:r>
    </w:p>
    <w:p w14:paraId="09ED00E5" w14:textId="77777777" w:rsidR="007A10CE" w:rsidRDefault="00000000">
      <w:pPr>
        <w:pStyle w:val="FirstParagraph"/>
      </w:pPr>
      <w:r>
        <w:rPr>
          <w:b/>
          <w:bCs/>
        </w:rPr>
        <w:t>Resultat:</w:t>
      </w:r>
      <w:r>
        <w:t xml:space="preserve"> AUC = </w:t>
      </w:r>
      <w:r>
        <w:rPr>
          <w:b/>
          <w:bCs/>
        </w:rPr>
        <w:t>0.703</w:t>
      </w:r>
      <w:r>
        <w:t xml:space="preserve"> (95% CI: 0.640–0.765). Bemærk at dette er en </w:t>
      </w:r>
      <w:r>
        <w:rPr>
          <w:i/>
          <w:iCs/>
        </w:rPr>
        <w:t>apparent</w:t>
      </w:r>
      <w:r>
        <w:t xml:space="preserve"> AUC beregnet på træningsdata (modellen evalueres på samme data den er fittet på), og den reelle prædiktive evne på nye data kan være lavere.</w:t>
      </w:r>
    </w:p>
    <w:p w14:paraId="64481A3F" w14:textId="77777777" w:rsidR="007A10CE" w:rsidRDefault="00000000">
      <w:pPr>
        <w:pStyle w:val="Brdtekst"/>
      </w:pPr>
      <w:r>
        <w:rPr>
          <w:i/>
          <w:iCs/>
        </w:rPr>
        <w:t>(Se ROC-kurve i ROC_Hannan.png)</w:t>
      </w:r>
    </w:p>
    <w:p w14:paraId="3D23C08C" w14:textId="77777777" w:rsidR="007A10CE" w:rsidRDefault="00000000">
      <w:pPr>
        <w:pStyle w:val="Overskrift3"/>
      </w:pPr>
      <w:bookmarkStart w:id="24" w:name="X0680c036315074b615c5feae61ee6180fe56368"/>
      <w:bookmarkEnd w:id="23"/>
      <w:r>
        <w:t>e) Prædikteret risiko for en specifik kvinde</w:t>
      </w:r>
    </w:p>
    <w:p w14:paraId="1F9E96A6" w14:textId="77777777" w:rsidR="007A10CE" w:rsidRDefault="00000000">
      <w:pPr>
        <w:pStyle w:val="SourceCode"/>
      </w:pPr>
      <w:r>
        <w:rPr>
          <w:rStyle w:val="NormalTok"/>
        </w:rPr>
        <w:t xml:space="preserve">ny_kvinde </w:t>
      </w:r>
      <w:r>
        <w:rPr>
          <w:rStyle w:val="OtherTok"/>
        </w:rPr>
        <w:t>&lt;-</w:t>
      </w:r>
      <w:r>
        <w:rPr>
          <w:rStyle w:val="NormalTok"/>
        </w:rPr>
        <w:t xml:space="preserve"> </w:t>
      </w:r>
      <w:r>
        <w:rPr>
          <w:rStyle w:val="FunctionTok"/>
        </w:rPr>
        <w:t>data.frame</w:t>
      </w:r>
      <w:r>
        <w:rPr>
          <w:rStyle w:val="NormalTok"/>
        </w:rPr>
        <w:t>(</w:t>
      </w:r>
      <w:r>
        <w:rPr>
          <w:rStyle w:val="AttributeTok"/>
        </w:rPr>
        <w:t>Alder =</w:t>
      </w:r>
      <w:r>
        <w:rPr>
          <w:rStyle w:val="NormalTok"/>
        </w:rPr>
        <w:t xml:space="preserve"> </w:t>
      </w:r>
      <w:r>
        <w:rPr>
          <w:rStyle w:val="DecValTok"/>
        </w:rPr>
        <w:t>80</w:t>
      </w:r>
      <w:r>
        <w:rPr>
          <w:rStyle w:val="NormalTok"/>
        </w:rPr>
        <w:t xml:space="preserve">, </w:t>
      </w:r>
      <w:r>
        <w:rPr>
          <w:rStyle w:val="AttributeTok"/>
        </w:rPr>
        <w:t>Tidl_fald =</w:t>
      </w:r>
      <w:r>
        <w:rPr>
          <w:rStyle w:val="NormalTok"/>
        </w:rPr>
        <w:t xml:space="preserve"> </w:t>
      </w:r>
      <w:r>
        <w:rPr>
          <w:rStyle w:val="DecValTok"/>
        </w:rPr>
        <w:t>1</w:t>
      </w:r>
      <w:r>
        <w:rPr>
          <w:rStyle w:val="NormalTok"/>
        </w:rPr>
        <w:t xml:space="preserve">, </w:t>
      </w:r>
      <w:r>
        <w:rPr>
          <w:rStyle w:val="AttributeTok"/>
        </w:rPr>
        <w:t>Rygning =</w:t>
      </w:r>
      <w:r>
        <w:rPr>
          <w:rStyle w:val="NormalTok"/>
        </w:rPr>
        <w:t xml:space="preserve"> </w:t>
      </w:r>
      <w:r>
        <w:rPr>
          <w:rStyle w:val="DecValTok"/>
        </w:rPr>
        <w:t>0</w:t>
      </w:r>
      <w:r>
        <w:rPr>
          <w:rStyle w:val="NormalTok"/>
        </w:rPr>
        <w:t xml:space="preserve">, </w:t>
      </w:r>
      <w:r>
        <w:rPr>
          <w:rStyle w:val="AttributeTok"/>
        </w:rPr>
        <w:t>ADL =</w:t>
      </w:r>
      <w:r>
        <w:rPr>
          <w:rStyle w:val="NormalTok"/>
        </w:rPr>
        <w:t xml:space="preserve"> </w:t>
      </w:r>
      <w:r>
        <w:rPr>
          <w:rStyle w:val="DecValTok"/>
        </w:rPr>
        <w:t>3</w:t>
      </w:r>
      <w:r>
        <w:rPr>
          <w:rStyle w:val="NormalTok"/>
        </w:rPr>
        <w:t>)</w:t>
      </w:r>
      <w:r>
        <w:br/>
      </w:r>
      <w:r>
        <w:rPr>
          <w:rStyle w:val="FunctionTok"/>
        </w:rPr>
        <w:t>predict</w:t>
      </w:r>
      <w:r>
        <w:rPr>
          <w:rStyle w:val="NormalTok"/>
        </w:rPr>
        <w:t xml:space="preserve">(model_c, </w:t>
      </w:r>
      <w:r>
        <w:rPr>
          <w:rStyle w:val="AttributeTok"/>
        </w:rPr>
        <w:t>newdata =</w:t>
      </w:r>
      <w:r>
        <w:rPr>
          <w:rStyle w:val="NormalTok"/>
        </w:rPr>
        <w:t xml:space="preserve"> ny_kvinde, </w:t>
      </w:r>
      <w:r>
        <w:rPr>
          <w:rStyle w:val="AttributeTok"/>
        </w:rPr>
        <w:t>type =</w:t>
      </w:r>
      <w:r>
        <w:rPr>
          <w:rStyle w:val="NormalTok"/>
        </w:rPr>
        <w:t xml:space="preserve"> </w:t>
      </w:r>
      <w:r>
        <w:rPr>
          <w:rStyle w:val="StringTok"/>
        </w:rPr>
        <w:t>"response"</w:t>
      </w:r>
      <w:r>
        <w:rPr>
          <w:rStyle w:val="NormalTok"/>
        </w:rPr>
        <w:t>)</w:t>
      </w:r>
    </w:p>
    <w:p w14:paraId="22062557" w14:textId="77777777" w:rsidR="007A10CE" w:rsidRDefault="00000000">
      <w:pPr>
        <w:pStyle w:val="FirstParagraph"/>
      </w:pPr>
      <w:r>
        <w:rPr>
          <w:b/>
          <w:bCs/>
        </w:rPr>
        <w:t>Resultat:</w:t>
      </w:r>
      <w:r>
        <w:t xml:space="preserve"> Den prædikterede risiko for fraktur er </w:t>
      </w:r>
      <w:r>
        <w:rPr>
          <w:b/>
          <w:bCs/>
        </w:rPr>
        <w:t>24,5%</w:t>
      </w:r>
      <w:r>
        <w:t>.</w:t>
      </w:r>
    </w:p>
    <w:p w14:paraId="60D33593" w14:textId="77777777" w:rsidR="007A10CE" w:rsidRDefault="00000000">
      <w:pPr>
        <w:pStyle w:val="Brdtekst"/>
      </w:pPr>
      <w:r>
        <w:rPr>
          <w:b/>
          <w:bCs/>
        </w:rPr>
        <w:t>Fortolkning:</w:t>
      </w:r>
      <w:r>
        <w:t xml:space="preserve"> En 80-årig kvinde med tidligere fald, ikke-ryger og ADL-score på 3 (svær funktionsnedsættelse – kun 6 af 1.470 kvinder i datasættet har ADL ≤ 3) har en estimeret sandsynlighed på ca. 25% for at have en fraktur. Dette er væsentligt højere end den gennemsnitlige proportion i datasættet (4,7%), hvilket afspejler at denne kvinde har flere risikofaktorer: høj alder, tidligere fald og markant nedsat funktionsniveau. Det bør bemærkes at prædiktionen ved ADL = 3 er en ekstrapolation, da 98,9% af datasættets kvinder har ADL ≥ 5, og estimatet derfor bør tolkes med forsigtighed.</w:t>
      </w:r>
    </w:p>
    <w:p w14:paraId="21BB205F" w14:textId="77777777" w:rsidR="007A10CE" w:rsidRDefault="00000000">
      <w:pPr>
        <w:pStyle w:val="Overskrift3"/>
      </w:pPr>
      <w:bookmarkStart w:id="25" w:name="X40ac445b230af01bdffb1844ebaccc3ca5412ab"/>
      <w:bookmarkEnd w:id="24"/>
      <w:r>
        <w:t>f) Vurdering af modellens kliniske præcision</w:t>
      </w:r>
    </w:p>
    <w:p w14:paraId="22D5996E" w14:textId="77777777" w:rsidR="007A10CE" w:rsidRDefault="00000000">
      <w:pPr>
        <w:pStyle w:val="FirstParagraph"/>
      </w:pPr>
      <w:r>
        <w:rPr>
          <w:b/>
          <w:bCs/>
        </w:rPr>
        <w:t>AUC = 0.703:</w:t>
      </w:r>
      <w:r>
        <w:t xml:space="preserve"> Modellen har en </w:t>
      </w:r>
      <w:r>
        <w:rPr>
          <w:b/>
          <w:bCs/>
        </w:rPr>
        <w:t>acceptabel</w:t>
      </w:r>
      <w:r>
        <w:t xml:space="preserve"> diskriminationsevne. Den kan i rimelig grad skelne mellem kvinder med og uden fraktur, men er ikke fremragende (AUC &lt; 0.80).</w:t>
      </w:r>
    </w:p>
    <w:p w14:paraId="776BDE49" w14:textId="77777777" w:rsidR="007A10CE" w:rsidRDefault="00000000">
      <w:pPr>
        <w:pStyle w:val="Brdtekst"/>
      </w:pPr>
      <w:r>
        <w:rPr>
          <w:b/>
          <w:bCs/>
        </w:rPr>
        <w:t>Prædiktionen for den specifikke kvinde (24,5%)</w:t>
      </w:r>
      <w:r>
        <w:t xml:space="preserve"> virker klinisk plausibel og brugbar til at identificere højrisikopatienter.</w:t>
      </w:r>
    </w:p>
    <w:p w14:paraId="003B81BF" w14:textId="77777777" w:rsidR="007A10CE" w:rsidRDefault="00000000">
      <w:pPr>
        <w:pStyle w:val="Brdtekst"/>
      </w:pPr>
      <w:r>
        <w:rPr>
          <w:b/>
          <w:bCs/>
        </w:rPr>
        <w:t>Samlet vurdering:</w:t>
      </w:r>
      <w:r>
        <w:t xml:space="preserve"> Modellen har </w:t>
      </w:r>
      <w:r>
        <w:rPr>
          <w:i/>
          <w:iCs/>
        </w:rPr>
        <w:t>begrænset</w:t>
      </w:r>
      <w:r>
        <w:t xml:space="preserve"> klinisk præcision. Den er bedre end tilfældig gætning, men vil fejlklassificere en betydelig andel patienter. For at opnå bedre prædiktiv evne ville man inkludere stærkere prædiktorer som </w:t>
      </w:r>
      <w:r>
        <w:rPr>
          <w:b/>
          <w:bCs/>
        </w:rPr>
        <w:t>BMD T-score</w:t>
      </w:r>
      <w:r>
        <w:t xml:space="preserve"> (den stærkeste prædiktor i artiklens multivariable model med HR = 2.8), </w:t>
      </w:r>
      <w:r>
        <w:rPr>
          <w:b/>
          <w:bCs/>
        </w:rPr>
        <w:t>selvvurderet helbred</w:t>
      </w:r>
      <w:r>
        <w:t xml:space="preserve">, og evt. </w:t>
      </w:r>
      <w:r>
        <w:rPr>
          <w:b/>
          <w:bCs/>
        </w:rPr>
        <w:t>medicinforbrug</w:t>
      </w:r>
      <w:r>
        <w:t xml:space="preserve"> (nitrater). Modellen kan bruges som et groft screeningsværktøj til at identificere kvinder der bør henvises til yderligere udredning, men bør </w:t>
      </w:r>
      <w:r>
        <w:rPr>
          <w:i/>
          <w:iCs/>
        </w:rPr>
        <w:t>ikke</w:t>
      </w:r>
      <w:r>
        <w:t xml:space="preserve"> stå alene som klinisk beslutningsgrundlag.</w:t>
      </w:r>
    </w:p>
    <w:p w14:paraId="05ED2D2B" w14:textId="77777777" w:rsidR="007A10CE" w:rsidRDefault="0063481E">
      <w:r>
        <w:rPr>
          <w:noProof/>
        </w:rPr>
        <w:lastRenderedPageBreak/>
        <w:pict w14:anchorId="71761247">
          <v:rect id="_x0000_i1025" alt="" style="width:481.9pt;height:.05pt;mso-width-percent:0;mso-height-percent:0;mso-width-percent:0;mso-height-percent:0" o:hralign="center" o:hrstd="t" o:hr="t"/>
        </w:pict>
      </w:r>
    </w:p>
    <w:p w14:paraId="76EA879C" w14:textId="77777777" w:rsidR="007A10CE" w:rsidRDefault="00000000">
      <w:pPr>
        <w:pStyle w:val="Overskrift2"/>
      </w:pPr>
      <w:bookmarkStart w:id="26" w:name="komplet-r-kode"/>
      <w:bookmarkEnd w:id="19"/>
      <w:bookmarkEnd w:id="25"/>
      <w:r>
        <w:t>Komplet R-kode</w:t>
      </w:r>
    </w:p>
    <w:p w14:paraId="1E6174B4" w14:textId="77777777" w:rsidR="007A10CE" w:rsidRDefault="00000000">
      <w:pPr>
        <w:pStyle w:val="SourceCode"/>
      </w:pPr>
      <w:r>
        <w:rPr>
          <w:rStyle w:val="CommentTok"/>
        </w:rPr>
        <w:t># ============================================================</w:t>
      </w:r>
      <w:r>
        <w:br/>
      </w:r>
      <w:r>
        <w:rPr>
          <w:rStyle w:val="CommentTok"/>
        </w:rPr>
        <w:t># KOMPLET R-KODE TIL EKSAMEN - MARTS 2026</w:t>
      </w:r>
      <w:r>
        <w:br/>
      </w:r>
      <w:r>
        <w:rPr>
          <w:rStyle w:val="CommentTok"/>
        </w:rPr>
        <w:t># ============================================================</w:t>
      </w:r>
      <w:r>
        <w:br/>
      </w:r>
      <w:r>
        <w:br/>
      </w:r>
      <w:r>
        <w:rPr>
          <w:rStyle w:val="FunctionTok"/>
        </w:rPr>
        <w:t>load</w:t>
      </w:r>
      <w:r>
        <w:rPr>
          <w:rStyle w:val="NormalTok"/>
        </w:rPr>
        <w:t>(</w:t>
      </w:r>
      <w:r>
        <w:rPr>
          <w:rStyle w:val="StringTok"/>
        </w:rPr>
        <w:t>"Hannan.RData"</w:t>
      </w:r>
      <w:r>
        <w:rPr>
          <w:rStyle w:val="NormalTok"/>
        </w:rPr>
        <w:t>)</w:t>
      </w:r>
      <w:r>
        <w:br/>
      </w:r>
      <w:r>
        <w:br/>
      </w:r>
      <w:r>
        <w:rPr>
          <w:rStyle w:val="CommentTok"/>
        </w:rPr>
        <w:t># --- 5a: Proportion frakturer ---</w:t>
      </w:r>
      <w:r>
        <w:br/>
      </w:r>
      <w:r>
        <w:rPr>
          <w:rStyle w:val="NormalTok"/>
        </w:rPr>
        <w:t xml:space="preserve">n </w:t>
      </w:r>
      <w:r>
        <w:rPr>
          <w:rStyle w:val="OtherTok"/>
        </w:rPr>
        <w:t>&lt;-</w:t>
      </w:r>
      <w:r>
        <w:rPr>
          <w:rStyle w:val="NormalTok"/>
        </w:rPr>
        <w:t xml:space="preserve"> </w:t>
      </w:r>
      <w:r>
        <w:rPr>
          <w:rStyle w:val="FunctionTok"/>
        </w:rPr>
        <w:t>nrow</w:t>
      </w:r>
      <w:r>
        <w:rPr>
          <w:rStyle w:val="NormalTok"/>
        </w:rPr>
        <w:t>(Hannan)</w:t>
      </w:r>
      <w:r>
        <w:br/>
      </w:r>
      <w:r>
        <w:rPr>
          <w:rStyle w:val="NormalTok"/>
        </w:rPr>
        <w:t xml:space="preserve">x </w:t>
      </w:r>
      <w:r>
        <w:rPr>
          <w:rStyle w:val="OtherTok"/>
        </w:rPr>
        <w:t>&lt;-</w:t>
      </w:r>
      <w:r>
        <w:rPr>
          <w:rStyle w:val="NormalTok"/>
        </w:rPr>
        <w:t xml:space="preserve"> </w:t>
      </w:r>
      <w:r>
        <w:rPr>
          <w:rStyle w:val="FunctionTok"/>
        </w:rPr>
        <w:t>sum</w:t>
      </w:r>
      <w:r>
        <w:rPr>
          <w:rStyle w:val="NormalTok"/>
        </w:rPr>
        <w:t>(Hannan</w:t>
      </w:r>
      <w:r>
        <w:rPr>
          <w:rStyle w:val="SpecialCharTok"/>
        </w:rPr>
        <w:t>$</w:t>
      </w:r>
      <w:r>
        <w:rPr>
          <w:rStyle w:val="NormalTok"/>
        </w:rPr>
        <w:t>Fraktur)</w:t>
      </w:r>
      <w:r>
        <w:br/>
      </w:r>
      <w:r>
        <w:rPr>
          <w:rStyle w:val="FunctionTok"/>
        </w:rPr>
        <w:t>binom.test</w:t>
      </w:r>
      <w:r>
        <w:rPr>
          <w:rStyle w:val="NormalTok"/>
        </w:rPr>
        <w:t>(x, n)</w:t>
      </w:r>
      <w:r>
        <w:br/>
      </w:r>
      <w:r>
        <w:br/>
      </w:r>
      <w:r>
        <w:rPr>
          <w:rStyle w:val="CommentTok"/>
        </w:rPr>
        <w:t># --- 5b: Ujusteret logistisk regression ---</w:t>
      </w:r>
      <w:r>
        <w:br/>
      </w:r>
      <w:r>
        <w:rPr>
          <w:rStyle w:val="NormalTok"/>
        </w:rPr>
        <w:t xml:space="preserve">model_b </w:t>
      </w:r>
      <w:r>
        <w:rPr>
          <w:rStyle w:val="OtherTok"/>
        </w:rPr>
        <w:t>&lt;-</w:t>
      </w:r>
      <w:r>
        <w:rPr>
          <w:rStyle w:val="NormalTok"/>
        </w:rPr>
        <w:t xml:space="preserve"> </w:t>
      </w:r>
      <w:r>
        <w:rPr>
          <w:rStyle w:val="FunctionTok"/>
        </w:rPr>
        <w:t>glm</w:t>
      </w:r>
      <w:r>
        <w:rPr>
          <w:rStyle w:val="NormalTok"/>
        </w:rPr>
        <w:t xml:space="preserve">(Fraktur </w:t>
      </w:r>
      <w:r>
        <w:rPr>
          <w:rStyle w:val="SpecialCharTok"/>
        </w:rPr>
        <w:t>~</w:t>
      </w:r>
      <w:r>
        <w:rPr>
          <w:rStyle w:val="NormalTok"/>
        </w:rPr>
        <w:t xml:space="preserve"> ADL, </w:t>
      </w:r>
      <w:r>
        <w:rPr>
          <w:rStyle w:val="AttributeTok"/>
        </w:rPr>
        <w:t>data =</w:t>
      </w:r>
      <w:r>
        <w:rPr>
          <w:rStyle w:val="NormalTok"/>
        </w:rPr>
        <w:t xml:space="preserve"> Hannan, </w:t>
      </w:r>
      <w:r>
        <w:rPr>
          <w:rStyle w:val="AttributeTok"/>
        </w:rPr>
        <w:t>family =</w:t>
      </w:r>
      <w:r>
        <w:rPr>
          <w:rStyle w:val="NormalTok"/>
        </w:rPr>
        <w:t xml:space="preserve"> binomial)</w:t>
      </w:r>
      <w:r>
        <w:br/>
      </w:r>
      <w:r>
        <w:rPr>
          <w:rStyle w:val="FunctionTok"/>
        </w:rPr>
        <w:t>summary</w:t>
      </w:r>
      <w:r>
        <w:rPr>
          <w:rStyle w:val="NormalTok"/>
        </w:rPr>
        <w:t>(model_b)</w:t>
      </w:r>
      <w:r>
        <w:br/>
      </w:r>
      <w:r>
        <w:rPr>
          <w:rStyle w:val="FunctionTok"/>
        </w:rPr>
        <w:t>exp</w:t>
      </w:r>
      <w:r>
        <w:rPr>
          <w:rStyle w:val="NormalTok"/>
        </w:rPr>
        <w:t>(</w:t>
      </w:r>
      <w:r>
        <w:rPr>
          <w:rStyle w:val="FunctionTok"/>
        </w:rPr>
        <w:t>cbind</w:t>
      </w:r>
      <w:r>
        <w:rPr>
          <w:rStyle w:val="NormalTok"/>
        </w:rPr>
        <w:t>(</w:t>
      </w:r>
      <w:r>
        <w:rPr>
          <w:rStyle w:val="AttributeTok"/>
        </w:rPr>
        <w:t>OR =</w:t>
      </w:r>
      <w:r>
        <w:rPr>
          <w:rStyle w:val="NormalTok"/>
        </w:rPr>
        <w:t xml:space="preserve"> </w:t>
      </w:r>
      <w:r>
        <w:rPr>
          <w:rStyle w:val="FunctionTok"/>
        </w:rPr>
        <w:t>coef</w:t>
      </w:r>
      <w:r>
        <w:rPr>
          <w:rStyle w:val="NormalTok"/>
        </w:rPr>
        <w:t xml:space="preserve">(model_b), </w:t>
      </w:r>
      <w:r>
        <w:rPr>
          <w:rStyle w:val="FunctionTok"/>
        </w:rPr>
        <w:t>confint.default</w:t>
      </w:r>
      <w:r>
        <w:rPr>
          <w:rStyle w:val="NormalTok"/>
        </w:rPr>
        <w:t>(model_b)))</w:t>
      </w:r>
      <w:r>
        <w:br/>
      </w:r>
      <w:r>
        <w:br/>
      </w:r>
      <w:r>
        <w:rPr>
          <w:rStyle w:val="CommentTok"/>
        </w:rPr>
        <w:t># --- 5c: Justeret logistisk regression ---</w:t>
      </w:r>
      <w:r>
        <w:br/>
      </w:r>
      <w:r>
        <w:rPr>
          <w:rStyle w:val="NormalTok"/>
        </w:rPr>
        <w:t xml:space="preserve">model_c </w:t>
      </w:r>
      <w:r>
        <w:rPr>
          <w:rStyle w:val="OtherTok"/>
        </w:rPr>
        <w:t>&lt;-</w:t>
      </w:r>
      <w:r>
        <w:rPr>
          <w:rStyle w:val="NormalTok"/>
        </w:rPr>
        <w:t xml:space="preserve"> </w:t>
      </w:r>
      <w:r>
        <w:rPr>
          <w:rStyle w:val="FunctionTok"/>
        </w:rPr>
        <w:t>glm</w:t>
      </w:r>
      <w:r>
        <w:rPr>
          <w:rStyle w:val="NormalTok"/>
        </w:rPr>
        <w:t xml:space="preserve">(Fraktur </w:t>
      </w:r>
      <w:r>
        <w:rPr>
          <w:rStyle w:val="SpecialCharTok"/>
        </w:rPr>
        <w:t>~</w:t>
      </w:r>
      <w:r>
        <w:rPr>
          <w:rStyle w:val="NormalTok"/>
        </w:rPr>
        <w:t xml:space="preserve"> ADL </w:t>
      </w:r>
      <w:r>
        <w:rPr>
          <w:rStyle w:val="SpecialCharTok"/>
        </w:rPr>
        <w:t>+</w:t>
      </w:r>
      <w:r>
        <w:rPr>
          <w:rStyle w:val="NormalTok"/>
        </w:rPr>
        <w:t xml:space="preserve"> Alder </w:t>
      </w:r>
      <w:r>
        <w:rPr>
          <w:rStyle w:val="SpecialCharTok"/>
        </w:rPr>
        <w:t>+</w:t>
      </w:r>
      <w:r>
        <w:rPr>
          <w:rStyle w:val="NormalTok"/>
        </w:rPr>
        <w:t xml:space="preserve"> Tidl_fald </w:t>
      </w:r>
      <w:r>
        <w:rPr>
          <w:rStyle w:val="SpecialCharTok"/>
        </w:rPr>
        <w:t>+</w:t>
      </w:r>
      <w:r>
        <w:rPr>
          <w:rStyle w:val="NormalTok"/>
        </w:rPr>
        <w:t xml:space="preserve"> Rygning,</w:t>
      </w:r>
      <w:r>
        <w:br/>
      </w:r>
      <w:r>
        <w:rPr>
          <w:rStyle w:val="NormalTok"/>
        </w:rPr>
        <w:t xml:space="preserve">               </w:t>
      </w:r>
      <w:r>
        <w:rPr>
          <w:rStyle w:val="AttributeTok"/>
        </w:rPr>
        <w:t>data =</w:t>
      </w:r>
      <w:r>
        <w:rPr>
          <w:rStyle w:val="NormalTok"/>
        </w:rPr>
        <w:t xml:space="preserve"> Hannan, </w:t>
      </w:r>
      <w:r>
        <w:rPr>
          <w:rStyle w:val="AttributeTok"/>
        </w:rPr>
        <w:t>family =</w:t>
      </w:r>
      <w:r>
        <w:rPr>
          <w:rStyle w:val="NormalTok"/>
        </w:rPr>
        <w:t xml:space="preserve"> binomial)</w:t>
      </w:r>
      <w:r>
        <w:br/>
      </w:r>
      <w:r>
        <w:rPr>
          <w:rStyle w:val="FunctionTok"/>
        </w:rPr>
        <w:t>summary</w:t>
      </w:r>
      <w:r>
        <w:rPr>
          <w:rStyle w:val="NormalTok"/>
        </w:rPr>
        <w:t>(model_c)</w:t>
      </w:r>
      <w:r>
        <w:br/>
      </w:r>
      <w:r>
        <w:rPr>
          <w:rStyle w:val="FunctionTok"/>
        </w:rPr>
        <w:t>exp</w:t>
      </w:r>
      <w:r>
        <w:rPr>
          <w:rStyle w:val="NormalTok"/>
        </w:rPr>
        <w:t>(</w:t>
      </w:r>
      <w:r>
        <w:rPr>
          <w:rStyle w:val="FunctionTok"/>
        </w:rPr>
        <w:t>cbind</w:t>
      </w:r>
      <w:r>
        <w:rPr>
          <w:rStyle w:val="NormalTok"/>
        </w:rPr>
        <w:t>(</w:t>
      </w:r>
      <w:r>
        <w:rPr>
          <w:rStyle w:val="AttributeTok"/>
        </w:rPr>
        <w:t>OR =</w:t>
      </w:r>
      <w:r>
        <w:rPr>
          <w:rStyle w:val="NormalTok"/>
        </w:rPr>
        <w:t xml:space="preserve"> </w:t>
      </w:r>
      <w:r>
        <w:rPr>
          <w:rStyle w:val="FunctionTok"/>
        </w:rPr>
        <w:t>coef</w:t>
      </w:r>
      <w:r>
        <w:rPr>
          <w:rStyle w:val="NormalTok"/>
        </w:rPr>
        <w:t xml:space="preserve">(model_c), </w:t>
      </w:r>
      <w:r>
        <w:rPr>
          <w:rStyle w:val="FunctionTok"/>
        </w:rPr>
        <w:t>confint.default</w:t>
      </w:r>
      <w:r>
        <w:rPr>
          <w:rStyle w:val="NormalTok"/>
        </w:rPr>
        <w:t>(model_c)))</w:t>
      </w:r>
      <w:r>
        <w:br/>
      </w:r>
      <w:r>
        <w:br/>
      </w:r>
      <w:r>
        <w:rPr>
          <w:rStyle w:val="CommentTok"/>
        </w:rPr>
        <w:t># --- 5d: AUC og ROC ---</w:t>
      </w:r>
      <w:r>
        <w:br/>
      </w:r>
      <w:r>
        <w:rPr>
          <w:rStyle w:val="FunctionTok"/>
        </w:rPr>
        <w:t>library</w:t>
      </w:r>
      <w:r>
        <w:rPr>
          <w:rStyle w:val="NormalTok"/>
        </w:rPr>
        <w:t>(pROC)</w:t>
      </w:r>
      <w:r>
        <w:br/>
      </w:r>
      <w:r>
        <w:rPr>
          <w:rStyle w:val="NormalTok"/>
        </w:rPr>
        <w:t>Hannan</w:t>
      </w:r>
      <w:r>
        <w:rPr>
          <w:rStyle w:val="SpecialCharTok"/>
        </w:rPr>
        <w:t>$</w:t>
      </w:r>
      <w:r>
        <w:rPr>
          <w:rStyle w:val="NormalTok"/>
        </w:rPr>
        <w:t xml:space="preserve">pred_prob </w:t>
      </w:r>
      <w:r>
        <w:rPr>
          <w:rStyle w:val="OtherTok"/>
        </w:rPr>
        <w:t>&lt;-</w:t>
      </w:r>
      <w:r>
        <w:rPr>
          <w:rStyle w:val="NormalTok"/>
        </w:rPr>
        <w:t xml:space="preserve"> </w:t>
      </w:r>
      <w:r>
        <w:rPr>
          <w:rStyle w:val="FunctionTok"/>
        </w:rPr>
        <w:t>predict</w:t>
      </w:r>
      <w:r>
        <w:rPr>
          <w:rStyle w:val="NormalTok"/>
        </w:rPr>
        <w:t xml:space="preserve">(model_c, </w:t>
      </w:r>
      <w:r>
        <w:rPr>
          <w:rStyle w:val="AttributeTok"/>
        </w:rPr>
        <w:t>type =</w:t>
      </w:r>
      <w:r>
        <w:rPr>
          <w:rStyle w:val="NormalTok"/>
        </w:rPr>
        <w:t xml:space="preserve"> </w:t>
      </w:r>
      <w:r>
        <w:rPr>
          <w:rStyle w:val="StringTok"/>
        </w:rPr>
        <w:t>"response"</w:t>
      </w:r>
      <w:r>
        <w:rPr>
          <w:rStyle w:val="NormalTok"/>
        </w:rPr>
        <w:t>)</w:t>
      </w:r>
      <w:r>
        <w:br/>
      </w:r>
      <w:r>
        <w:rPr>
          <w:rStyle w:val="NormalTok"/>
        </w:rPr>
        <w:t xml:space="preserve">roc_obj </w:t>
      </w:r>
      <w:r>
        <w:rPr>
          <w:rStyle w:val="OtherTok"/>
        </w:rPr>
        <w:t>&lt;-</w:t>
      </w:r>
      <w:r>
        <w:rPr>
          <w:rStyle w:val="NormalTok"/>
        </w:rPr>
        <w:t xml:space="preserve"> </w:t>
      </w:r>
      <w:r>
        <w:rPr>
          <w:rStyle w:val="FunctionTok"/>
        </w:rPr>
        <w:t>roc</w:t>
      </w:r>
      <w:r>
        <w:rPr>
          <w:rStyle w:val="NormalTok"/>
        </w:rPr>
        <w:t>(Hannan</w:t>
      </w:r>
      <w:r>
        <w:rPr>
          <w:rStyle w:val="SpecialCharTok"/>
        </w:rPr>
        <w:t>$</w:t>
      </w:r>
      <w:r>
        <w:rPr>
          <w:rStyle w:val="NormalTok"/>
        </w:rPr>
        <w:t>Fraktur, Hannan</w:t>
      </w:r>
      <w:r>
        <w:rPr>
          <w:rStyle w:val="SpecialCharTok"/>
        </w:rPr>
        <w:t>$</w:t>
      </w:r>
      <w:r>
        <w:rPr>
          <w:rStyle w:val="NormalTok"/>
        </w:rPr>
        <w:t>pred_prob)</w:t>
      </w:r>
      <w:r>
        <w:br/>
      </w:r>
      <w:r>
        <w:rPr>
          <w:rStyle w:val="FunctionTok"/>
        </w:rPr>
        <w:t>auc</w:t>
      </w:r>
      <w:r>
        <w:rPr>
          <w:rStyle w:val="NormalTok"/>
        </w:rPr>
        <w:t>(roc_obj)</w:t>
      </w:r>
      <w:r>
        <w:br/>
      </w:r>
      <w:r>
        <w:rPr>
          <w:rStyle w:val="FunctionTok"/>
        </w:rPr>
        <w:t>ci.auc</w:t>
      </w:r>
      <w:r>
        <w:rPr>
          <w:rStyle w:val="NormalTok"/>
        </w:rPr>
        <w:t>(roc_obj)</w:t>
      </w:r>
      <w:r>
        <w:br/>
      </w:r>
      <w:r>
        <w:rPr>
          <w:rStyle w:val="FunctionTok"/>
        </w:rPr>
        <w:t>plot</w:t>
      </w:r>
      <w:r>
        <w:rPr>
          <w:rStyle w:val="NormalTok"/>
        </w:rPr>
        <w:t xml:space="preserve">(roc_obj, </w:t>
      </w:r>
      <w:r>
        <w:rPr>
          <w:rStyle w:val="AttributeTok"/>
        </w:rPr>
        <w:t>main =</w:t>
      </w:r>
      <w:r>
        <w:rPr>
          <w:rStyle w:val="NormalTok"/>
        </w:rPr>
        <w:t xml:space="preserve"> </w:t>
      </w:r>
      <w:r>
        <w:rPr>
          <w:rStyle w:val="StringTok"/>
        </w:rPr>
        <w:t>"ROC-kurve: Prædiktionsmodel for fraktur"</w:t>
      </w:r>
      <w:r>
        <w:rPr>
          <w:rStyle w:val="NormalTok"/>
        </w:rPr>
        <w:t>,</w:t>
      </w:r>
      <w:r>
        <w:br/>
      </w:r>
      <w:r>
        <w:rPr>
          <w:rStyle w:val="NormalTok"/>
        </w:rPr>
        <w:t xml:space="preserve">     </w:t>
      </w:r>
      <w:r>
        <w:rPr>
          <w:rStyle w:val="AttributeTok"/>
        </w:rPr>
        <w:t>col =</w:t>
      </w:r>
      <w:r>
        <w:rPr>
          <w:rStyle w:val="NormalTok"/>
        </w:rPr>
        <w:t xml:space="preserve"> </w:t>
      </w:r>
      <w:r>
        <w:rPr>
          <w:rStyle w:val="StringTok"/>
        </w:rPr>
        <w:t>"blue"</w:t>
      </w:r>
      <w:r>
        <w:rPr>
          <w:rStyle w:val="NormalTok"/>
        </w:rPr>
        <w:t xml:space="preserve">, </w:t>
      </w:r>
      <w:r>
        <w:rPr>
          <w:rStyle w:val="AttributeTok"/>
        </w:rPr>
        <w:t>lwd =</w:t>
      </w:r>
      <w:r>
        <w:rPr>
          <w:rStyle w:val="NormalTok"/>
        </w:rPr>
        <w:t xml:space="preserve"> </w:t>
      </w:r>
      <w:r>
        <w:rPr>
          <w:rStyle w:val="DecValTok"/>
        </w:rPr>
        <w:t>2</w:t>
      </w:r>
      <w:r>
        <w:rPr>
          <w:rStyle w:val="NormalTok"/>
        </w:rPr>
        <w:t xml:space="preserve">, </w:t>
      </w:r>
      <w:r>
        <w:rPr>
          <w:rStyle w:val="AttributeTok"/>
        </w:rPr>
        <w:t>print.auc =</w:t>
      </w:r>
      <w:r>
        <w:rPr>
          <w:rStyle w:val="NormalTok"/>
        </w:rPr>
        <w:t xml:space="preserve"> </w:t>
      </w:r>
      <w:r>
        <w:rPr>
          <w:rStyle w:val="ConstantTok"/>
        </w:rPr>
        <w:t>TRUE</w:t>
      </w:r>
      <w:r>
        <w:rPr>
          <w:rStyle w:val="NormalTok"/>
        </w:rPr>
        <w:t>)</w:t>
      </w:r>
      <w:r>
        <w:br/>
      </w:r>
      <w:r>
        <w:br/>
      </w:r>
      <w:r>
        <w:rPr>
          <w:rStyle w:val="CommentTok"/>
        </w:rPr>
        <w:t># --- 5e: Prædiktion for specifik kvinde ---</w:t>
      </w:r>
      <w:r>
        <w:br/>
      </w:r>
      <w:r>
        <w:rPr>
          <w:rStyle w:val="NormalTok"/>
        </w:rPr>
        <w:t xml:space="preserve">ny_kvinde </w:t>
      </w:r>
      <w:r>
        <w:rPr>
          <w:rStyle w:val="OtherTok"/>
        </w:rPr>
        <w:t>&lt;-</w:t>
      </w:r>
      <w:r>
        <w:rPr>
          <w:rStyle w:val="NormalTok"/>
        </w:rPr>
        <w:t xml:space="preserve"> </w:t>
      </w:r>
      <w:r>
        <w:rPr>
          <w:rStyle w:val="FunctionTok"/>
        </w:rPr>
        <w:t>data.frame</w:t>
      </w:r>
      <w:r>
        <w:rPr>
          <w:rStyle w:val="NormalTok"/>
        </w:rPr>
        <w:t>(</w:t>
      </w:r>
      <w:r>
        <w:rPr>
          <w:rStyle w:val="AttributeTok"/>
        </w:rPr>
        <w:t>Alder =</w:t>
      </w:r>
      <w:r>
        <w:rPr>
          <w:rStyle w:val="NormalTok"/>
        </w:rPr>
        <w:t xml:space="preserve"> </w:t>
      </w:r>
      <w:r>
        <w:rPr>
          <w:rStyle w:val="DecValTok"/>
        </w:rPr>
        <w:t>80</w:t>
      </w:r>
      <w:r>
        <w:rPr>
          <w:rStyle w:val="NormalTok"/>
        </w:rPr>
        <w:t xml:space="preserve">, </w:t>
      </w:r>
      <w:r>
        <w:rPr>
          <w:rStyle w:val="AttributeTok"/>
        </w:rPr>
        <w:t>Tidl_fald =</w:t>
      </w:r>
      <w:r>
        <w:rPr>
          <w:rStyle w:val="NormalTok"/>
        </w:rPr>
        <w:t xml:space="preserve"> </w:t>
      </w:r>
      <w:r>
        <w:rPr>
          <w:rStyle w:val="DecValTok"/>
        </w:rPr>
        <w:t>1</w:t>
      </w:r>
      <w:r>
        <w:rPr>
          <w:rStyle w:val="NormalTok"/>
        </w:rPr>
        <w:t xml:space="preserve">, </w:t>
      </w:r>
      <w:r>
        <w:rPr>
          <w:rStyle w:val="AttributeTok"/>
        </w:rPr>
        <w:t>Rygning =</w:t>
      </w:r>
      <w:r>
        <w:rPr>
          <w:rStyle w:val="NormalTok"/>
        </w:rPr>
        <w:t xml:space="preserve"> </w:t>
      </w:r>
      <w:r>
        <w:rPr>
          <w:rStyle w:val="DecValTok"/>
        </w:rPr>
        <w:t>0</w:t>
      </w:r>
      <w:r>
        <w:rPr>
          <w:rStyle w:val="NormalTok"/>
        </w:rPr>
        <w:t xml:space="preserve">, </w:t>
      </w:r>
      <w:r>
        <w:rPr>
          <w:rStyle w:val="AttributeTok"/>
        </w:rPr>
        <w:t>ADL =</w:t>
      </w:r>
      <w:r>
        <w:rPr>
          <w:rStyle w:val="NormalTok"/>
        </w:rPr>
        <w:t xml:space="preserve"> </w:t>
      </w:r>
      <w:r>
        <w:rPr>
          <w:rStyle w:val="DecValTok"/>
        </w:rPr>
        <w:t>3</w:t>
      </w:r>
      <w:r>
        <w:rPr>
          <w:rStyle w:val="NormalTok"/>
        </w:rPr>
        <w:t>)</w:t>
      </w:r>
      <w:r>
        <w:br/>
      </w:r>
      <w:r>
        <w:rPr>
          <w:rStyle w:val="FunctionTok"/>
        </w:rPr>
        <w:t>predict</w:t>
      </w:r>
      <w:r>
        <w:rPr>
          <w:rStyle w:val="NormalTok"/>
        </w:rPr>
        <w:t xml:space="preserve">(model_c, </w:t>
      </w:r>
      <w:r>
        <w:rPr>
          <w:rStyle w:val="AttributeTok"/>
        </w:rPr>
        <w:t>newdata =</w:t>
      </w:r>
      <w:r>
        <w:rPr>
          <w:rStyle w:val="NormalTok"/>
        </w:rPr>
        <w:t xml:space="preserve"> ny_kvinde, </w:t>
      </w:r>
      <w:r>
        <w:rPr>
          <w:rStyle w:val="AttributeTok"/>
        </w:rPr>
        <w:t>type =</w:t>
      </w:r>
      <w:r>
        <w:rPr>
          <w:rStyle w:val="NormalTok"/>
        </w:rPr>
        <w:t xml:space="preserve"> </w:t>
      </w:r>
      <w:r>
        <w:rPr>
          <w:rStyle w:val="StringTok"/>
        </w:rPr>
        <w:t>"response"</w:t>
      </w:r>
      <w:r>
        <w:rPr>
          <w:rStyle w:val="NormalTok"/>
        </w:rPr>
        <w:t>)</w:t>
      </w:r>
      <w:bookmarkEnd w:id="0"/>
      <w:bookmarkEnd w:id="26"/>
    </w:p>
    <w:sectPr w:rsidR="007A10CE">
      <w:pgSz w:w="12240" w:h="15840"/>
      <w:pgMar w:top="1701" w:right="1134" w:bottom="1701"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2F56C" w14:textId="77777777" w:rsidR="0063481E" w:rsidRDefault="0063481E">
      <w:pPr>
        <w:spacing w:after="0"/>
      </w:pPr>
      <w:r>
        <w:separator/>
      </w:r>
    </w:p>
  </w:endnote>
  <w:endnote w:type="continuationSeparator" w:id="0">
    <w:p w14:paraId="68531ABE" w14:textId="77777777" w:rsidR="0063481E" w:rsidRDefault="0063481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6B5DA" w14:textId="77777777" w:rsidR="0063481E" w:rsidRDefault="0063481E">
      <w:r>
        <w:separator/>
      </w:r>
    </w:p>
  </w:footnote>
  <w:footnote w:type="continuationSeparator" w:id="0">
    <w:p w14:paraId="6E00E9F0" w14:textId="77777777" w:rsidR="0063481E" w:rsidRDefault="006348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B32D55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F74CD1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4483E0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224948636">
    <w:abstractNumId w:val="0"/>
  </w:num>
  <w:num w:numId="2" w16cid:durableId="1059062086">
    <w:abstractNumId w:val="1"/>
  </w:num>
  <w:num w:numId="3" w16cid:durableId="30614414">
    <w:abstractNumId w:val="1"/>
  </w:num>
  <w:num w:numId="4" w16cid:durableId="651446947">
    <w:abstractNumId w:val="1"/>
  </w:num>
  <w:num w:numId="5" w16cid:durableId="9110414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57932771">
    <w:abstractNumId w:val="1"/>
  </w:num>
  <w:num w:numId="7" w16cid:durableId="3618990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0CE"/>
    <w:rsid w:val="00292BB3"/>
    <w:rsid w:val="0063481E"/>
    <w:rsid w:val="007466DF"/>
    <w:rsid w:val="007A10CE"/>
    <w:rsid w:val="00806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5DBBC"/>
  <w15:docId w15:val="{54BBBEDB-EADA-AF44-B2DE-ADE604927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Overskrift1">
    <w:name w:val="heading 1"/>
    <w:basedOn w:val="Normal"/>
    <w:next w:val="Brdteks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Overskrift2">
    <w:name w:val="heading 2"/>
    <w:basedOn w:val="Normal"/>
    <w:next w:val="Brdteks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Overskrift3">
    <w:name w:val="heading 3"/>
    <w:basedOn w:val="Normal"/>
    <w:next w:val="Brdteks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Brdteks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Overskrift5">
    <w:name w:val="heading 5"/>
    <w:basedOn w:val="Normal"/>
    <w:next w:val="Brdteks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Overskrift6">
    <w:name w:val="heading 6"/>
    <w:basedOn w:val="Normal"/>
    <w:next w:val="Brdteks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Overskrift7">
    <w:name w:val="heading 7"/>
    <w:basedOn w:val="Normal"/>
    <w:next w:val="Brdteks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Overskrift8">
    <w:name w:val="heading 8"/>
    <w:basedOn w:val="Normal"/>
    <w:next w:val="Brdteks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Overskrift9">
    <w:name w:val="heading 9"/>
    <w:basedOn w:val="Normal"/>
    <w:next w:val="Brdteks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Brdtekst">
    <w:name w:val="Body Text"/>
    <w:basedOn w:val="Normal"/>
    <w:qFormat/>
    <w:pPr>
      <w:spacing w:before="180" w:after="180"/>
    </w:pPr>
  </w:style>
  <w:style w:type="paragraph" w:customStyle="1" w:styleId="FirstParagraph">
    <w:name w:val="First Paragraph"/>
    <w:basedOn w:val="Brdtekst"/>
    <w:next w:val="Brdtekst"/>
    <w:qFormat/>
  </w:style>
  <w:style w:type="paragraph" w:customStyle="1" w:styleId="Compact">
    <w:name w:val="Compact"/>
    <w:basedOn w:val="Brdtekst"/>
    <w:qFormat/>
    <w:pPr>
      <w:spacing w:before="36" w:after="36"/>
    </w:pPr>
  </w:style>
  <w:style w:type="paragraph" w:styleId="Titel">
    <w:name w:val="Title"/>
    <w:basedOn w:val="Normal"/>
    <w:next w:val="Brdteks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dertitel">
    <w:name w:val="Subtitle"/>
    <w:basedOn w:val="Titel"/>
    <w:next w:val="Brdtekst"/>
    <w:qFormat/>
    <w:pPr>
      <w:spacing w:before="240"/>
    </w:pPr>
    <w:rPr>
      <w:sz w:val="30"/>
      <w:szCs w:val="30"/>
    </w:rPr>
  </w:style>
  <w:style w:type="paragraph" w:customStyle="1" w:styleId="Author">
    <w:name w:val="Author"/>
    <w:next w:val="Brdtekst"/>
    <w:qFormat/>
    <w:pPr>
      <w:keepNext/>
      <w:keepLines/>
      <w:jc w:val="center"/>
    </w:pPr>
  </w:style>
  <w:style w:type="paragraph" w:styleId="Dato">
    <w:name w:val="Date"/>
    <w:next w:val="Brdteks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rdtekst"/>
    <w:qFormat/>
    <w:pPr>
      <w:keepNext/>
      <w:keepLines/>
      <w:spacing w:before="100" w:after="300"/>
    </w:pPr>
    <w:rPr>
      <w:sz w:val="20"/>
      <w:szCs w:val="20"/>
    </w:rPr>
  </w:style>
  <w:style w:type="paragraph" w:styleId="Bibliografi">
    <w:name w:val="Bibliography"/>
    <w:basedOn w:val="Normal"/>
    <w:qFormat/>
  </w:style>
  <w:style w:type="paragraph" w:styleId="Bloktekst">
    <w:name w:val="Block Text"/>
    <w:basedOn w:val="Brdtekst"/>
    <w:next w:val="Brdtekst"/>
    <w:uiPriority w:val="9"/>
    <w:unhideWhenUsed/>
    <w:qFormat/>
    <w:pPr>
      <w:spacing w:before="100" w:after="100"/>
      <w:ind w:left="480" w:right="480"/>
    </w:pPr>
  </w:style>
  <w:style w:type="paragraph" w:styleId="Fodnoteteks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illedtekst">
    <w:name w:val="caption"/>
    <w:basedOn w:val="Normal"/>
    <w:link w:val="BilledtekstTegn"/>
    <w:pPr>
      <w:spacing w:after="120"/>
    </w:pPr>
    <w:rPr>
      <w:i/>
    </w:rPr>
  </w:style>
  <w:style w:type="paragraph" w:customStyle="1" w:styleId="TableCaption">
    <w:name w:val="Table Caption"/>
    <w:basedOn w:val="Billedtekst"/>
    <w:pPr>
      <w:keepNext/>
    </w:pPr>
  </w:style>
  <w:style w:type="paragraph" w:customStyle="1" w:styleId="ImageCaption">
    <w:name w:val="Image Caption"/>
    <w:basedOn w:val="Billedtekst"/>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illedtekstTegn">
    <w:name w:val="Billedtekst Tegn"/>
    <w:basedOn w:val="Standardskrifttypeiafsnit"/>
    <w:link w:val="Billedtekst"/>
  </w:style>
  <w:style w:type="character" w:customStyle="1" w:styleId="VerbatimChar">
    <w:name w:val="Verbatim Char"/>
    <w:basedOn w:val="BilledtekstTegn"/>
    <w:link w:val="SourceCode"/>
    <w:rPr>
      <w:rFonts w:ascii="Consolas" w:hAnsi="Consolas"/>
      <w:sz w:val="22"/>
    </w:rPr>
  </w:style>
  <w:style w:type="character" w:customStyle="1" w:styleId="SectionNumber">
    <w:name w:val="Section Number"/>
    <w:basedOn w:val="BilledtekstTegn"/>
  </w:style>
  <w:style w:type="character" w:styleId="Fodnotehenvisning">
    <w:name w:val="footnote reference"/>
    <w:basedOn w:val="BilledtekstTegn"/>
    <w:rPr>
      <w:vertAlign w:val="superscript"/>
    </w:rPr>
  </w:style>
  <w:style w:type="character" w:styleId="Hyperlink">
    <w:name w:val="Hyperlink"/>
    <w:basedOn w:val="BilledtekstTegn"/>
    <w:rPr>
      <w:color w:val="4F81BD" w:themeColor="accent1"/>
    </w:rPr>
  </w:style>
  <w:style w:type="paragraph" w:styleId="Overskrift">
    <w:name w:val="TOC Heading"/>
    <w:basedOn w:val="Overskrift1"/>
    <w:next w:val="Brdteks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2326</Words>
  <Characters>14194</Characters>
  <Application>Microsoft Office Word</Application>
  <DocSecurity>0</DocSecurity>
  <Lines>118</Lines>
  <Paragraphs>32</Paragraphs>
  <ScaleCrop>false</ScaleCrop>
  <Company/>
  <LinksUpToDate>false</LinksUpToDate>
  <CharactersWithSpaces>16488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Rasmus Thorsen Larsen</dc:creator>
  <cp:keywords/>
  <cp:lastModifiedBy>Rasmus Thorsen Larsen</cp:lastModifiedBy>
  <cp:revision>2</cp:revision>
  <dcterms:created xsi:type="dcterms:W3CDTF">2026-03-26T09:46:00Z</dcterms:created>
  <dcterms:modified xsi:type="dcterms:W3CDTF">2026-03-26T09:46:00Z</dcterms:modified>
</cp:coreProperties>
</file>