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sselectedend"/>
        <w:rPr/>
      </w:pPr>
      <w:r>
        <w:rPr>
          <w:rStyle w:val="Strong"/>
        </w:rPr>
        <w:t>5. The authors state in Response 5 that the descriptive analysis figures were removed, yet the revised manuscript contains a new descriptive Figure 1 showing taxonomic relative abundances ("Figure 1. Relative abundance distributions of samples shown with stacked bar charts", p. 9). More importantly, restricting the dataset to five cases does not solve the normalization problem raised in the original review. The revised analysis still relies on total-sum scaling of highly variable low-biomass samples, and no sensitivity analysis is provided to demonstrate that the displayed compositions are robust to sequencing depth or contaminant filtering.</w:t>
      </w:r>
    </w:p>
    <w:p>
      <w:pPr>
        <w:pStyle w:val="isselectedend"/>
        <w:bidi w:val="0"/>
        <w:rPr/>
      </w:pPr>
      <w:r>
        <w:rPr>
          <w:rStyle w:val="Strong"/>
        </w:rPr>
        <w:t>Response:</w:t>
      </w:r>
    </w:p>
    <w:p>
      <w:pPr>
        <w:pStyle w:val="isselectedend"/>
        <w:bidi w:val="0"/>
        <w:rPr/>
      </w:pPr>
      <w:r>
        <w:rPr/>
        <w:t xml:space="preserve">We thank the reviewer for this comment and have addressed its three parts. </w:t>
      </w:r>
    </w:p>
    <w:p>
      <w:pPr>
        <w:pStyle w:val="isselectedend"/>
        <w:bidi w:val="0"/>
        <w:rPr/>
      </w:pPr>
      <w:r>
        <w:rPr/>
        <w:t xml:space="preserve">a) Any statistical analysis in the study is removed of a descriptive counts table. Since the study’s scope has been changed back to 26 samples, Figure 1 has been removed and now a genera-based sensitivity analysis is included (Supplementary Figure S1) with </w:t>
      </w:r>
      <w:r>
        <w:rPr>
          <w:i/>
          <w:iCs/>
        </w:rPr>
        <w:t>in silico</w:t>
      </w:r>
      <w:r>
        <w:rPr/>
        <w:t xml:space="preserve"> decontamination (</w:t>
      </w:r>
      <w:r>
        <w:rPr>
          <w:i/>
          <w:iCs/>
        </w:rPr>
        <w:t>decontam</w:t>
      </w:r>
      <w:r>
        <w:rPr/>
        <w:t>).</w:t>
      </w:r>
    </w:p>
    <w:p>
      <w:pPr>
        <w:pStyle w:val="isselectedend"/>
        <w:bidi w:val="0"/>
        <w:rPr/>
      </w:pPr>
      <w:r>
        <w:rPr/>
        <w:t>b) We agree that relative abundance can hide very different amounts of underlying data. Read counts per sample range from 28 (BOS19) to ~26,700 reads (BOS18), and 16 of 26 samples have fewer reads than the NTC (747 reads) assigned at genus level. Every figure now shows the read count of each sample, and the full count table is provided as a supplementary file (Supplementary Table S1 and S2).</w:t>
      </w:r>
    </w:p>
    <w:p>
      <w:pPr>
        <w:pStyle w:val="isselectedend"/>
        <w:bidi w:val="0"/>
        <w:rPr/>
      </w:pPr>
      <w:r>
        <w:rPr/>
        <w:t xml:space="preserve">c) We reran the analysis under eight scenarios: no filtering, decontam (combined method) at thresholds 0.1 (pre-specified primary), 0.25 and 0.5, frequency-only decontam at the same thresholds (removed the NTC-based prevalence calculation), and a strict scenario removing every genus detected in the NTC. At </w:t>
      </w:r>
      <w:r>
        <w:rPr>
          <w:i/>
          <w:iCs/>
        </w:rPr>
        <w:t>decontam</w:t>
      </w:r>
      <w:r>
        <w:rPr/>
        <w:t>’s default 0.1, 3 genera (a median of 0.03% of reads per sample) were removed, so the primary analysis is close to the unfiltered data. The dominant genus was unchanged in 24 of 26 samples across the combined thresholds. The exceptions were BOS12 and BOS14 at 0.25 (</w:t>
      </w:r>
      <w:r>
        <w:rPr>
          <w:i/>
          <w:iCs/>
        </w:rPr>
        <w:t>Lacticaseibacillus</w:t>
      </w:r>
      <w:r>
        <w:rPr/>
        <w:t>), and BOS18 under frequency-only at 0.5, where retained reads fell from ~26,600 to ~6,000. Among the 26 samples, only 7 of them (BOS01, 09, 11, 17, 18, 19 and 23) were able to keep their top genus after the NTC-based removal. Among them, BOS11 and BOS18 were able to keep both their relatively high sequencing depth and the top genus. Stricter thresholds mainly changed relative abundances through renormalization. We therefore report BOS11 as robust while BOS09, 16, 21 and 23 as dependent on the filtering choice. Supplementary Figure S1 and Tables S1-6 give the details.</w:t>
      </w:r>
    </w:p>
    <w:p>
      <w:pPr>
        <w:pStyle w:val="isselectedend"/>
        <w:rPr/>
      </w:pPr>
      <w:r>
        <w:rPr/>
      </w:r>
      <w:r>
        <w:br w:type="page"/>
      </w:r>
    </w:p>
    <w:p>
      <w:pPr>
        <w:pStyle w:val="isselectedend"/>
        <w:spacing w:before="0" w:after="227"/>
        <w:rPr>
          <w:b/>
          <w:bCs/>
        </w:rPr>
      </w:pPr>
      <w:r>
        <w:rPr>
          <w:b/>
          <w:bCs/>
        </w:rPr>
        <w:t>6. The contamination problem remains only partially addressed. A single NTC is not equivalent to an extraction blank processed through the complete DNA extraction workflow, which is particularly important for low-biomass CSF specimens. The description of decontam is also problematic ("the 'combined' method was utilized, leveraging both the frequency of taxa in the NTC and the pre-sequencing DNA concentrations of the samples", p. 13, L. 335-337). The frequency and prevalence approaches in decontam are conceptually different, and one NTC provides very limited information for prevalence-based contaminant identification. The authors therefore still cannot rigorously demonstrate that low-level bacterial signals are biological rather than reagent or workflow contaminants.</w:t>
      </w:r>
    </w:p>
    <w:p>
      <w:pPr>
        <w:pStyle w:val="isselectedend"/>
        <w:rPr/>
      </w:pPr>
      <w:r>
        <w:rPr>
          <w:rStyle w:val="Strong"/>
        </w:rPr>
        <w:t>Response:</w:t>
      </w:r>
    </w:p>
    <w:p>
      <w:pPr>
        <w:pStyle w:val="isselectedend"/>
        <w:bidi w:val="0"/>
        <w:rPr/>
      </w:pPr>
      <w:r>
        <w:rPr/>
        <w:t>We thank the reviewer and agree that contamination cannot be fully excluded in low-biomass specimens. We have corrected the method description, clarified the control and added analyses.</w:t>
      </w:r>
    </w:p>
    <w:p>
      <w:pPr>
        <w:pStyle w:val="isselectedend"/>
        <w:rPr/>
      </w:pPr>
      <w:r>
        <w:rPr/>
        <w:t xml:space="preserve">a) The NTC was prepared by substituting water for the specimen at the DNA extraction step and carrying it through together with the samples. It is therefore a full-workflow negative control, not a PCR-only control. We have stated this in methods </w:t>
      </w:r>
      <w:r>
        <w:rPr>
          <w:shd w:fill="FFFF00" w:val="clear"/>
        </w:rPr>
        <w:t>(p. , L. )</w:t>
      </w:r>
      <w:r>
        <w:rPr/>
        <w:t>. We nevertheless accept that a single control cannot fully capture variability between extraction batches or reagent lots, and we now list this as a limitation.</w:t>
      </w:r>
    </w:p>
    <w:p>
      <w:pPr>
        <w:pStyle w:val="isselectedend"/>
        <w:bidi w:val="0"/>
        <w:rPr/>
      </w:pPr>
      <w:r>
        <w:rPr/>
        <w:t xml:space="preserve">b) We thank the reviewer for pointing out the error in the method description of </w:t>
      </w:r>
      <w:r>
        <w:rPr>
          <w:i/>
          <w:iCs/>
        </w:rPr>
        <w:t>decontam</w:t>
      </w:r>
      <w:r>
        <w:rPr/>
        <w:t xml:space="preserve">. The two approaches are, indeed, different. The frequency test uses the pre-sequencing DNA concentration of the samples, as the prevalence test compares the presence of each genus in the samples with the NTC labelled inputs. The “combined” method merges the two p-values (Fisher’s method). The methods section now say this </w:t>
      </w:r>
      <w:r>
        <w:rPr>
          <w:shd w:fill="FFFF00" w:val="clear"/>
        </w:rPr>
        <w:t>(p. , L. ).</w:t>
      </w:r>
      <w:r>
        <w:rPr/>
        <w:t xml:space="preserve"> </w:t>
      </w:r>
      <w:r>
        <w:rPr>
          <w:i/>
          <w:iCs/>
        </w:rPr>
        <w:t>Decontam</w:t>
      </w:r>
      <w:r>
        <w:rPr/>
        <w:t xml:space="preserve"> was run on genus-level raw counts.</w:t>
      </w:r>
    </w:p>
    <w:p>
      <w:pPr>
        <w:pStyle w:val="isselectedend"/>
        <w:bidi w:val="0"/>
        <w:rPr/>
      </w:pPr>
      <w:r>
        <w:rPr>
          <w:sz w:val="24"/>
          <w:szCs w:val="24"/>
        </w:rPr>
        <w:t>c) We agree that the prevalence test has little resolution with only one control. Of 544 genera, 331 could be jtested and 213 could not (Supplementary Table S4). At the pre-specified threshold of 0.1, three genera were flagged (</w:t>
      </w:r>
      <w:r>
        <w:rPr>
          <w:rStyle w:val="Emphasis"/>
          <w:sz w:val="24"/>
          <w:szCs w:val="24"/>
        </w:rPr>
        <w:t>Hominisplanchenecus</w:t>
      </w:r>
      <w:r>
        <w:rPr>
          <w:sz w:val="24"/>
          <w:szCs w:val="24"/>
        </w:rPr>
        <w:t xml:space="preserve">, </w:t>
      </w:r>
      <w:r>
        <w:rPr>
          <w:rStyle w:val="Emphasis"/>
          <w:sz w:val="24"/>
          <w:szCs w:val="24"/>
        </w:rPr>
        <w:t>Pseudoflavonifractor</w:t>
      </w:r>
      <w:r>
        <w:rPr>
          <w:sz w:val="24"/>
          <w:szCs w:val="24"/>
        </w:rPr>
        <w:t xml:space="preserve">, </w:t>
      </w:r>
      <w:r>
        <w:rPr>
          <w:rStyle w:val="Emphasis"/>
          <w:sz w:val="24"/>
          <w:szCs w:val="24"/>
        </w:rPr>
        <w:t>Cuneatibacter</w:t>
      </w:r>
      <w:r>
        <w:rPr>
          <w:sz w:val="24"/>
          <w:szCs w:val="24"/>
        </w:rPr>
        <w:t xml:space="preserve">), accounting for a median of 0.03% of reads per sample. Two of them were detected in the NTC, and </w:t>
      </w:r>
      <w:r>
        <w:rPr>
          <w:rStyle w:val="Emphasis"/>
          <w:sz w:val="24"/>
          <w:szCs w:val="24"/>
        </w:rPr>
        <w:t>Hominisplanchenecus</w:t>
      </w:r>
      <w:r>
        <w:rPr>
          <w:sz w:val="24"/>
          <w:szCs w:val="24"/>
        </w:rPr>
        <w:t xml:space="preserve"> was flagged the combined method, driven by the frequency test, and is absent from the NTC. Of the 86 genera detected in the NTC, 2 were flagged, 72 were tested and not flagged, and 12 could not be tested. We do not interpret “not flagged” as “shown not to be a contaminant”. Most of these genera are abundant in the study samples, so </w:t>
      </w:r>
      <w:r>
        <w:rPr>
          <w:i/>
          <w:iCs/>
          <w:sz w:val="24"/>
          <w:szCs w:val="24"/>
        </w:rPr>
        <w:t>decontam</w:t>
      </w:r>
      <w:r>
        <w:rPr>
          <w:sz w:val="24"/>
          <w:szCs w:val="24"/>
        </w:rPr>
        <w:t xml:space="preserve"> cannot separate them from sample signal.</w:t>
      </w:r>
    </w:p>
    <w:p>
      <w:pPr>
        <w:pStyle w:val="isselectedend"/>
        <w:bidi w:val="0"/>
        <w:rPr/>
      </w:pPr>
      <w:r>
        <w:rPr/>
        <w:t xml:space="preserve">d) </w:t>
      </w:r>
      <w:r>
        <w:rPr>
          <w:rFonts w:eastAsia="Times New Roman" w:cs="Times New Roman"/>
          <w:lang w:eastAsia="tr-TR"/>
        </w:rPr>
        <w:t xml:space="preserve">Because </w:t>
      </w:r>
      <w:r>
        <w:rPr>
          <w:rFonts w:eastAsia="Times New Roman" w:cs="Times New Roman"/>
          <w:i/>
          <w:iCs/>
          <w:lang w:eastAsia="tr-TR"/>
        </w:rPr>
        <w:t>decontam</w:t>
      </w:r>
      <w:r>
        <w:rPr>
          <w:rFonts w:eastAsia="Times New Roman" w:cs="Times New Roman"/>
          <w:lang w:eastAsia="tr-TR"/>
        </w:rPr>
        <w:t xml:space="preserve"> has little prevalence power here, we added scenarios that do not depend on it (Supplementary Table S4, Supplementary Figure S1):</w:t>
      </w:r>
    </w:p>
    <w:p>
      <w:pPr>
        <w:pStyle w:val="isselectedend"/>
        <w:numPr>
          <w:ilvl w:val="0"/>
          <w:numId w:val="1"/>
        </w:numPr>
        <w:bidi w:val="0"/>
        <w:rPr/>
      </w:pPr>
      <w:r>
        <w:rPr>
          <w:rFonts w:eastAsia="Times New Roman" w:cs="Times New Roman"/>
          <w:i/>
          <w:iCs/>
          <w:lang w:eastAsia="tr-TR"/>
        </w:rPr>
        <w:t>decontam</w:t>
      </w:r>
      <w:r>
        <w:rPr>
          <w:rFonts w:eastAsia="Times New Roman" w:cs="Times New Roman"/>
          <w:lang w:eastAsia="tr-TR"/>
        </w:rPr>
        <w:t xml:space="preserve"> thresholds of 0.25 and 0.5, and frequency-only </w:t>
      </w:r>
      <w:r>
        <w:rPr>
          <w:rFonts w:eastAsia="Times New Roman" w:cs="Times New Roman"/>
          <w:i/>
          <w:iCs/>
          <w:lang w:eastAsia="tr-TR"/>
        </w:rPr>
        <w:t>decontam</w:t>
      </w:r>
      <w:r>
        <w:rPr>
          <w:rFonts w:eastAsia="Times New Roman" w:cs="Times New Roman"/>
          <w:lang w:eastAsia="tr-TR"/>
        </w:rPr>
        <w:t xml:space="preserve">, which does not use the NTC; </w:t>
      </w:r>
    </w:p>
    <w:p>
      <w:pPr>
        <w:pStyle w:val="isselectedend"/>
        <w:numPr>
          <w:ilvl w:val="0"/>
          <w:numId w:val="1"/>
        </w:numPr>
        <w:bidi w:val="0"/>
        <w:rPr/>
      </w:pPr>
      <w:r>
        <w:rPr/>
        <w:t>a strict scenario that removes every genus detected in the NTC, regardless of abundance. Samples retained between 3.5% and 99.6% of their reads. Only 7 of 26 samples kept the same dominant genus, and 13 had fewer than 100 reads.</w:t>
      </w:r>
    </w:p>
    <w:p>
      <w:pPr>
        <w:pStyle w:val="isselectedend"/>
        <w:bidi w:val="0"/>
        <w:rPr/>
      </w:pPr>
      <w:r>
        <w:rPr/>
        <w:t>e) We agree that we cannot rigorously demonstrate that low-level bacterial signals are biological as microbial community compositions. Sixteen of 26 samples have fewer reads than the NTC (747), and we have marked them as low-confidence and do not draw conclusions about their relative abundances. Our conclusions are limited to signals that are;</w:t>
      </w:r>
    </w:p>
    <w:p>
      <w:pPr>
        <w:pStyle w:val="isselectedend"/>
        <w:numPr>
          <w:ilvl w:val="0"/>
          <w:numId w:val="2"/>
        </w:numPr>
        <w:bidi w:val="0"/>
        <w:rPr/>
      </w:pPr>
      <w:r>
        <w:rPr/>
        <w:t>supported by high read counts,</w:t>
      </w:r>
    </w:p>
    <w:p>
      <w:pPr>
        <w:pStyle w:val="isselectedend"/>
        <w:numPr>
          <w:ilvl w:val="0"/>
          <w:numId w:val="2"/>
        </w:numPr>
        <w:bidi w:val="0"/>
        <w:rPr/>
      </w:pPr>
      <w:r>
        <w:rPr/>
        <w:t>not detected in the NTC, and</w:t>
      </w:r>
    </w:p>
    <w:p>
      <w:pPr>
        <w:pStyle w:val="isselectedend"/>
        <w:numPr>
          <w:ilvl w:val="0"/>
          <w:numId w:val="2"/>
        </w:numPr>
        <w:bidi w:val="0"/>
        <w:rPr/>
      </w:pPr>
      <w:r>
        <w:rPr>
          <w:sz w:val="24"/>
          <w:szCs w:val="24"/>
        </w:rPr>
        <w:t xml:space="preserve">retained under the strict scenario: e.g., </w:t>
      </w:r>
      <w:r>
        <w:rPr>
          <w:rStyle w:val="Emphasis"/>
          <w:sz w:val="24"/>
          <w:szCs w:val="24"/>
        </w:rPr>
        <w:t>Klebsiella</w:t>
      </w:r>
      <w:r>
        <w:rPr>
          <w:sz w:val="24"/>
          <w:szCs w:val="24"/>
        </w:rPr>
        <w:t xml:space="preserve"> in BOS11 (16,473 reads). Findings that rest on low-depth samples or on genera that were also detected in the NTC are described as preliminary. The manuscript has been revised accordingly.</w:t>
      </w:r>
      <w:r>
        <w:br w:type="page"/>
      </w:r>
    </w:p>
    <w:p>
      <w:pPr>
        <w:pStyle w:val="isselectedend"/>
        <w:bidi w:val="0"/>
        <w:spacing w:before="0" w:after="227"/>
        <w:rPr>
          <w:b/>
          <w:bCs/>
        </w:rPr>
      </w:pPr>
      <w:r>
        <w:rPr>
          <w:b/>
          <w:bCs/>
        </w:rPr>
        <w:t>Manuscript:</w:t>
      </w:r>
    </w:p>
    <w:p>
      <w:pPr>
        <w:pStyle w:val="isselectedend"/>
        <w:bidi w:val="0"/>
        <w:rPr>
          <w:b/>
          <w:bCs/>
        </w:rPr>
      </w:pPr>
      <w:r>
        <w:rPr>
          <w:b/>
          <w:bCs/>
        </w:rPr>
        <w:t>Results:</w:t>
      </w:r>
    </w:p>
    <w:p>
      <w:pPr>
        <w:pStyle w:val="isselectedend"/>
        <w:bidi w:val="0"/>
        <w:rPr>
          <w:b w:val="false"/>
          <w:bCs w:val="false"/>
        </w:rPr>
      </w:pPr>
      <w:r>
        <w:rPr>
          <w:b w:val="false"/>
          <w:bCs w:val="false"/>
        </w:rPr>
        <w:t>2.6. Microbial 16S rRNA gene targeted NGS relative abundance for cerebrospinal fluid (CSF) samples at phylum and genus taxonomic levels</w:t>
      </w:r>
    </w:p>
    <w:p>
      <w:pPr>
        <w:pStyle w:val="isselectedend"/>
        <w:bidi w:val="0"/>
        <w:rPr>
          <w:b w:val="false"/>
          <w:bCs w:val="false"/>
        </w:rPr>
      </w:pPr>
      <w:r>
        <w:rPr>
          <w:b w:val="false"/>
          <w:bCs w:val="false"/>
        </w:rPr>
        <w:t xml:space="preserve">After the analysis completed with the total of 26 clinical 5 spcific-case samples, their count values were obtained for downstream analysis. Due to low biomass samples, the decontamination step was included to decide the possible contaminant phyla and genera. In raw total, 14 phyla and 538 genera were detected in all samples except NTC. After the decontamination procedure, only 3 were found to be contaminants, and the rest were kept for further case specific investigation. Rest of the analyses are provided in Supplementary Table S1-S6). </w:t>
      </w:r>
    </w:p>
    <w:p>
      <w:pPr>
        <w:pStyle w:val="isselectedend"/>
        <w:bidi w:val="0"/>
        <w:rPr>
          <w:b/>
          <w:bCs/>
        </w:rPr>
      </w:pPr>
      <w:r>
        <w:rPr>
          <w:b/>
          <w:bCs/>
        </w:rPr>
        <w:t>Methods:</w:t>
      </w:r>
    </w:p>
    <w:p>
      <w:pPr>
        <w:pStyle w:val="isselectedend"/>
        <w:bidi w:val="0"/>
        <w:rPr/>
      </w:pPr>
      <w:r>
        <w:rPr/>
        <w:t>4.6. DNA Extraction and Sequencing</w:t>
      </w:r>
    </w:p>
    <w:p>
      <w:pPr>
        <w:pStyle w:val="isselectedend"/>
        <w:bidi w:val="0"/>
        <w:rPr/>
      </w:pPr>
      <w:r>
        <w:rPr/>
        <w:t>Approximately 650 µL of cerebrospinal fluid (CSF) samples from each 26 samples were stored at −80°C for fulle length 16S rRNA gene next-generation DNA sequencing and analysis. Genomic DNA (gDNA) was extracted from the collected samples using the ZymoBIOMICS DNA Miniprep Kit (Zymo Research, Cat. No. D4300) according to the manufacturer’s instructions. Quality control and concentration measurements were performed using NanoDrop OneC (Thermo Fisher Sci., Cat. No. ND-ONE-W) and Qubit 2.0 (Thermo Fisher Sci., Cat. No. Q32866), respectively. In this microbiota study, PCR amplification of the 16S rRNA gene was carried out to obtain 16S amplicons. Samples with insufficient purity (ONT recommends 260/280 ratio of ~1.80 and 260/230 ratio of 2.00–2.20 for DNA) were purified using the magnetic bead purification method described in the ONT 16S Barcoded sequencing (ONT; SQK-16S114-24) manual. The quality control and concentration measurements of the samples were repeated after purification. The conditions specified in the ONT SQK-16S114-24 kit manual and the primg ONT MinKNOW software. All 26 selected CSF samples underwent sequencing and suers included in the kit, covering the V1–V9 regions of the 16S rRNA gene, were used. During the procedure, DNA concentrations were measured using Qubit 2.0. For sequencing, the prepared DNA library was mixed with ONT sequencing buffer, loading beads, and DNase/RNase-free water, and then loaded onto an ONT FLO-MIN114-24 (r10.4.1) flow cell. Sequencing was performed using the MinION Mk1B device, and raw sequencing data in pod5 format were obtained using the ONT MinKNOW software. For sequencing, the prepared DNA library was mixed with ONT sequencing buffer, loading beads, and DNase/RNase-free water, and then loaded onto an ONT FLO-MIN114-24 (r10.4.1) flow cell. Sequencing was performed using the MinION Mk1B device, and raw sequencing data in POD5 format were obtained using sequent bioinformatic analysis. Five patients, namely Case 09 (BOS09), Case 11 (BOS11), Case 16 (BOS16), Case 21 (BOS21), and Case 23 (BOS23), were subsequently selected for detailed clinical and microbiological case-based evaluation.</w:t>
      </w:r>
    </w:p>
    <w:p>
      <w:pPr>
        <w:pStyle w:val="isselectedend"/>
        <w:bidi w:val="0"/>
        <w:rPr/>
      </w:pPr>
      <w:r>
        <w:rPr/>
        <w:t>4.7. Microbiome Bioinformatics Analysis</w:t>
      </w:r>
    </w:p>
    <w:p>
      <w:pPr>
        <w:pStyle w:val="isselectedend"/>
        <w:bidi w:val="0"/>
        <w:rPr/>
      </w:pPr>
      <w:r>
        <w:rPr/>
        <w:t>The obtained POD5 data were processed using the dorado (basecaller &amp; demux; v1.0.1) command-line software with the latest hac (high-accuracy) model and quality score threshold of Q9. The adapter and index sequence trimming were performed with the same tool. Pre- and post- quality control steps were carried out with FastQC (v0.12.1). Initial filtering processes were done with bbtools (bbduk.sh; v39.29), and final read filtering, with magicblast (v1.7.2; Boratyn GM, et al., 2019), and samtools (v1.21). Taxonomic consensus was obtained using references based on the NCBI 16S bacterial taxonomy reference database (NCBI 16S RefSeq – priority for matching; O’Leary, N.A., 2016) and the Genome Taxonomy Database (GTDb; Parks, D. H., 2022) with blastn (blast+; Camacho, C., 2009). Then the sequences were matched and annotated against the NCBI Entrez database (as of date 02/08/2025). To ensure complete data transparency regarding sequencing depths, absolute raw count matrices were generated for the five clinical samples and the NTC, amd are available in Supplementary Table S1 and S2. Taxonomic relative abundance tables (TSS normalization) for each sample were generated up to the species taxonomic level using bitscore, majority voting from blast assigned taxonomy and 97.2% similarity threshold (Hackman, T. J., 2025) with R language (packages: readxl v1.4.3, tidyverse v2.0.0).</w:t>
      </w:r>
    </w:p>
    <w:p>
      <w:pPr>
        <w:pStyle w:val="isselectedend"/>
        <w:rPr/>
      </w:pPr>
      <w:r>
        <w:rPr/>
        <w:t>4.8. Microbiome Statistical Analysis</w:t>
      </w:r>
    </w:p>
    <w:p>
      <w:pPr>
        <w:pStyle w:val="isselectedend"/>
        <w:rPr/>
      </w:pPr>
      <w:r>
        <w:rPr/>
        <w:t>All descriptive and sensitivity analyses were carried out and plots generated in R (v4.5.2). The speciments were low-biomass cerebrospinal fluid samples. Pre-sequencing DNA concentrations were low range (0.1 to 7.8 ng/µg) for 23 of the samples, while the remaining three had 12, 24 and 76 ng/µl. The number of reads per sample was lown and highly variable (28 to 26,761 reads, Supplementary Table S1, Supplementary Figure S1) and 16 of 26 samples had fewer reads than the NTC (747 reads). Because noise and contaminant DNA a large influence on such data, a no-template control (NTC) was included. Water was substituted for the specimen at the DNA extraction step, and the NTC was processed through PCR, library preparation and sequencing together with the samples.</w:t>
      </w:r>
    </w:p>
    <w:p>
      <w:pPr>
        <w:pStyle w:val="isselectedend"/>
        <w:rPr/>
      </w:pPr>
      <w:r>
        <w:rPr/>
        <w:t xml:space="preserve">Putative contaminants were identified with the </w:t>
      </w:r>
      <w:r>
        <w:rPr>
          <w:i/>
          <w:iCs/>
        </w:rPr>
        <w:t>decontam</w:t>
      </w:r>
      <w:r>
        <w:rPr/>
        <w:t xml:space="preserve"> R package (v1.24.0; Davis et al., 2017) which was applied to genus-level raw read counts of the 26 samples and the NTC. </w:t>
      </w:r>
      <w:r>
        <w:rPr>
          <w:i/>
          <w:iCs/>
        </w:rPr>
        <w:t>Decontam</w:t>
      </w:r>
      <w:r>
        <w:rPr/>
        <w:t xml:space="preserve"> provides a frequency test, which uses the pre-sequencing DNA concentration of each sample and flags taxa whose relative abundance is inversely related to DNA concentration, and a prevalence test, which compares the presence of each taxon in the samples with the NTC. The “combined” method merges the two p-values (Fisher’s method), and taxa with a combined score below the threshold were classified as putative contamitants. The default threshold (0.1) was set before the results were examined and was used as the primary analysis. Taxa for which </w:t>
      </w:r>
      <w:r>
        <w:rPr>
          <w:i/>
          <w:iCs/>
        </w:rPr>
        <w:t>decontam</w:t>
      </w:r>
      <w:r>
        <w:rPr/>
        <w:t xml:space="preserve"> returned no p-value were not tested and could not be flagged. Because the prevalence test has very limited resolution with a single control, the following sensitivity scenarios were evaluated: (i) no filtering (threshold 0), (ii) the combined method at thresholds 0.25 and 0.5; (iii) the frequency method alone, which does not use the NTC, at thresholds 0.1, 0.25 and 0.5, applied to the study samples only; and (iv) a strict, rule-based scenario that removed every genus detected in the NTC, intependent of </w:t>
      </w:r>
      <w:r>
        <w:rPr>
          <w:i/>
          <w:iCs/>
        </w:rPr>
        <w:t>decontam</w:t>
      </w:r>
      <w:r>
        <w:rPr/>
        <w:t xml:space="preserve">. For each scenario, the number of genera removed, the percentage of reads removed persample, and the number of NTC reads retained (Supplementary Table S4). The </w:t>
      </w:r>
      <w:r>
        <w:rPr>
          <w:i/>
          <w:iCs/>
        </w:rPr>
        <w:t>decontam</w:t>
      </w:r>
      <w:r>
        <w:rPr/>
        <w:t xml:space="preserve"> p-values for all genera are, also, given in the Supplementary Table S5.</w:t>
      </w:r>
    </w:p>
    <w:p>
      <w:pPr>
        <w:pStyle w:val="isselectedend"/>
        <w:rPr/>
      </w:pPr>
      <w:r>
        <w:rPr/>
        <w:t>After contaminant removal, relative abundances were calculated by totas-sum scaling of the retained reads of each sample. Stacked bar plots were generated for every scenario with the tidyverse packages (v2.0.0) and RcolorBrewer (v1.1.3), using a fixed color assignemt across scenarios. The genera with the highest mean abundances or that were dominant in at least one sample were colored, and all other genera were grouped as “Others”. Because relative abundance does not show how much data underlies each sample, the read count of each sample is printed below its bar. Samples were classified as low depth (fewer reads that the NTC, n = 16) or adequate depth (n = 10) based on their relative abundances, and their relative abundance values were not used for interpretation.</w:t>
      </w:r>
    </w:p>
    <w:p>
      <w:pPr>
        <w:pStyle w:val="isselectedend"/>
        <w:spacing w:lineRule="auto" w:line="276" w:before="0" w:after="227"/>
        <w:rPr/>
      </w:pPr>
      <w:r>
        <w:rPr/>
        <w:t>The influence of each scenario on the composition was assessed by (a) comparing the dominant genus of each sample with that in the unfiltered data, (b) the Bray-Curtis dissimilarity between each scenario and the and the unfiltered profile, calculated separately for the two depth groups, and (c) the fraction of reads retained per sample. The stability of each sample’s dominant genus to sampling noise was estimated by 1,000 multinomial resamples of the ungiltered counts ar each sample’s observed depth (seed = 1), which showed how often the same genus remained the most abundant.</w:t>
      </w:r>
      <w:r>
        <w:br w:type="page"/>
      </w:r>
    </w:p>
    <w:p>
      <w:pPr>
        <w:pStyle w:val="isselectedend"/>
        <w:bidi w:val="0"/>
        <w:spacing w:lineRule="auto" w:line="276" w:before="0" w:after="227"/>
        <w:rPr>
          <w:b/>
          <w:bCs/>
        </w:rPr>
      </w:pPr>
      <w:r>
        <w:rPr>
          <w:b/>
          <w:bCs/>
        </w:rPr>
        <w:t>Figure captions:</w:t>
      </w:r>
    </w:p>
    <w:p>
      <w:pPr>
        <w:pStyle w:val="isselectedend"/>
        <w:bidi w:val="0"/>
        <w:spacing w:lineRule="auto" w:line="276" w:before="0" w:after="227"/>
        <w:rPr/>
      </w:pPr>
      <w:r>
        <w:rPr/>
        <w:t>SUPPLEMENTARY</w:t>
      </w:r>
      <w:r>
        <w:rPr/>
        <w:t xml:space="preserve"> F</w:t>
      </w:r>
      <w:r>
        <w:rPr/>
        <w:t>IGURE</w:t>
      </w:r>
      <w:r>
        <w:rPr/>
        <w:t xml:space="preserve"> S1. Genus-level composition of the 26 BOS samples and the NTC under eight contaminant-filtering scenarios. Stacked bars show the relative abundance of retained reads in each sample (total-sum scaling calculated after contaminant removal). Panels show: (A) no filtering (decontam threshold 0); (B) decontam, “combined” method, threshold 0.1 (primary, pre-specified analysis); (C) combined method, threshold 0.25; (D) combined method, threshold 0.5; (E,G </w:t>
      </w:r>
      <w:r>
        <w:rPr/>
        <w:t>and F</w:t>
      </w:r>
      <w:r>
        <w:rPr/>
        <w:t xml:space="preserve">) decontam, “frequency” method alone, thresholds 0.1, 0.25 and 0.5, applied to the study samples only; (H) strict scenario, in which every genus detected in the NTC was removed, independent of decontam. The number below each sample ID is the number of reads retained in that panel. Read counts in red are lower than the unfiltered read count of the NTC (747 reads). In panels E, G </w:t>
      </w:r>
      <w:r>
        <w:rPr/>
        <w:t>and F</w:t>
      </w:r>
      <w:r>
        <w:rPr/>
        <w:t xml:space="preserve"> the NTC was not used by the frequency test, and its bar shows the NTC after the genera flagged in the samples were removed. In panel H the NTC has no reads left by definition, so its bar is empty. Genus colours are fixed across panels. The 41 genera with the highest mean relative abundance across scenarios, together with the dominant genus of each sample in each scenario, are coloured; all other genera are grouped as “Others” (grey). Because many samples have few reads, particularly those marked in red, the relative abundances of these samples are low-confidence and should be read together with the read counts. Exact counts for all genera and scenarios are given in Supplementary Table S</w:t>
      </w:r>
      <w:r>
        <w:rPr/>
        <w:t>3</w:t>
      </w:r>
      <w:r>
        <w:rPr/>
        <w:t>, the per-scenario summary in Supplementary Table S</w:t>
      </w:r>
      <w:r>
        <w:rPr/>
        <w:t>4</w:t>
      </w:r>
      <w:r>
        <w:rPr/>
        <w:t>, and decontam p-values in Supplementary Table S</w:t>
      </w:r>
      <w:r>
        <w:rPr/>
        <w:t>5</w:t>
      </w:r>
      <w:r>
        <w:rPr/>
        <w:t>.</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OpenSymbol">
    <w:altName w:val="Arial Unicode MS"/>
    <w:charset w:val="02"/>
    <w:family w:val="roman"/>
    <w:pitch w:val="default"/>
  </w:font>
  <w:font w:name="Liberation Sans">
    <w:altName w:val="Arial"/>
    <w:charset w:val="01"/>
    <w:family w:val="swiss"/>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lowerRoman"/>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tr-TR" w:eastAsia="en-US" w:bidi="ar-SA"/>
    </w:rPr>
  </w:style>
  <w:style w:type="character" w:styleId="DefaultParagraphFont" w:default="1">
    <w:name w:val="Default Paragraph Font"/>
    <w:uiPriority w:val="1"/>
    <w:semiHidden/>
    <w:unhideWhenUsed/>
    <w:rPr/>
  </w:style>
  <w:style w:type="character" w:styleId="Strong">
    <w:name w:val="Strong"/>
    <w:basedOn w:val="DefaultParagraphFont"/>
    <w:uiPriority w:val="22"/>
    <w:qFormat/>
    <w:rsid w:val="00f40f08"/>
    <w:rPr>
      <w:b/>
      <w:bCs/>
    </w:rPr>
  </w:style>
  <w:style w:type="character" w:styleId="Emphasis">
    <w:name w:val="Emphasis"/>
    <w:basedOn w:val="DefaultParagraphFont"/>
    <w:uiPriority w:val="20"/>
    <w:qFormat/>
    <w:rsid w:val="00f40f08"/>
    <w:rPr>
      <w:i/>
      <w:iCs/>
    </w:rPr>
  </w:style>
  <w:style w:type="character" w:styleId="Bullets">
    <w:name w:val="Bullets"/>
    <w:rPr>
      <w:rFonts w:ascii="OpenSymbol" w:hAnsi="OpenSymbol" w:eastAsia="OpenSymbol" w:cs="OpenSymbol"/>
    </w:rPr>
  </w:style>
  <w:style w:type="character" w:styleId="NumberingSymbols">
    <w:name w:val="Numbering Symbols"/>
    <w:rPr/>
  </w:style>
  <w:style w:type="paragraph" w:styleId="Heading">
    <w:name w:val="Heading"/>
    <w:basedOn w:val="Normal"/>
    <w:next w:val="BodyText"/>
    <w:pPr>
      <w:keepNext w:val="true"/>
      <w:spacing w:before="240" w:after="120"/>
    </w:pPr>
    <w:rPr>
      <w:rFonts w:ascii="Liberation Sans" w:hAnsi="Liberation Sans" w:eastAsia="Noto Sans"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Droid Sans Devanagari"/>
    </w:rPr>
  </w:style>
  <w:style w:type="paragraph" w:styleId="Caption">
    <w:name w:val="caption"/>
    <w:basedOn w:val="Normal"/>
    <w:pPr>
      <w:suppressLineNumbers/>
      <w:spacing w:before="120" w:after="120"/>
    </w:pPr>
    <w:rPr>
      <w:rFonts w:ascii="Times New Roman" w:hAnsi="Times New Roman" w:cs="Droid Sans Devanagari"/>
      <w:i/>
      <w:iCs/>
      <w:sz w:val="24"/>
      <w:szCs w:val="24"/>
    </w:rPr>
  </w:style>
  <w:style w:type="paragraph" w:styleId="Index">
    <w:name w:val="Index"/>
    <w:basedOn w:val="Normal"/>
    <w:pPr>
      <w:suppressLineNumbers/>
    </w:pPr>
    <w:rPr>
      <w:rFonts w:ascii="Times New Roman" w:hAnsi="Times New Roman" w:cs="Droid Sans Devanagari"/>
    </w:rPr>
  </w:style>
  <w:style w:type="paragraph" w:styleId="isselectedend" w:customStyle="1">
    <w:name w:val="isselectedend"/>
    <w:basedOn w:val="Normal"/>
    <w:rsid w:val="00f40f08"/>
    <w:pPr>
      <w:spacing w:lineRule="auto" w:line="276" w:before="0" w:after="227"/>
    </w:pPr>
    <w:rPr>
      <w:rFonts w:ascii="Times New Roman" w:hAnsi="Times New Roman" w:eastAsia="Times New Roman" w:cs="Times New Roman"/>
      <w:sz w:val="24"/>
      <w:szCs w:val="24"/>
      <w:lang w:eastAsia="tr-TR"/>
    </w:rPr>
  </w:style>
  <w:style w:type="paragraph" w:styleId="NormalWeb">
    <w:name w:val="Normal (Web)"/>
    <w:basedOn w:val="Normal"/>
    <w:uiPriority w:val="99"/>
    <w:semiHidden/>
    <w:unhideWhenUsed/>
    <w:rsid w:val="00f40f08"/>
    <w:pPr>
      <w:spacing w:lineRule="auto" w:line="240" w:beforeAutospacing="1" w:afterAutospacing="1"/>
    </w:pPr>
    <w:rPr>
      <w:rFonts w:ascii="Times New Roman" w:hAnsi="Times New Roman" w:eastAsia="Times New Roman" w:cs="Times New Roman"/>
      <w:sz w:val="24"/>
      <w:szCs w:val="24"/>
      <w:lang w:eastAsia="tr-TR"/>
    </w:rPr>
  </w:style>
  <w:style w:type="paragraph" w:styleId="pdq2pgselectionanchorcontainer" w:customStyle="1">
    <w:name w:val="pdq2pg_selectionanchorcontainer"/>
    <w:basedOn w:val="Normal"/>
    <w:rsid w:val="008e4d16"/>
    <w:pPr>
      <w:spacing w:lineRule="auto" w:line="240" w:beforeAutospacing="1" w:afterAutospacing="1"/>
    </w:pPr>
    <w:rPr>
      <w:rFonts w:ascii="Times New Roman" w:hAnsi="Times New Roman" w:eastAsia="Times New Roman" w:cs="Times New Roman"/>
      <w:sz w:val="24"/>
      <w:szCs w:val="24"/>
      <w:lang w:eastAsia="tr-TR"/>
    </w:rPr>
  </w:style>
  <w:style w:type="numbering" w:styleId="NoList" w:default="1">
    <w:name w:val="No List"/>
    <w:uiPriority w:val="99"/>
    <w:semiHidden/>
    <w:unhideWhenUsed/>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1332</TotalTime>
  <Application>LibreOffice/26.8.1.1$Linux_X86_64 LibreOffice_project/680$Build-1</Application>
  <AppVersion>15.0000</AppVersion>
  <Pages>7</Pages>
  <Words>2497</Words>
  <Characters>13559</Characters>
  <CharactersWithSpaces>16018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2026-09-23T12:43:00Z</dcterms:created>
  <dc:creator>Lenovo</dc:creator>
  <dc:description/>
  <dc:language>en-CA</dc:language>
  <cp:lastModifiedBy/>
  <dcterms:modified xsi:type="dcterms:W3CDTF">2026-10-11T09:20:14Z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