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76" w:lineRule="auto"/>
        <w:jc w:val="center"/>
      </w:pPr>
      <w:r>
        <w:drawing>
          <wp:inline xmlns:a="http://schemas.openxmlformats.org/drawingml/2006/main" xmlns:pic="http://schemas.openxmlformats.org/drawingml/2006/picture">
            <wp:extent cx="5760000" cy="8146700"/>
            <wp:docPr id="1" name="Picture 1"/>
            <wp:cNvGraphicFramePr>
              <a:graphicFrameLocks noChangeAspect="1"/>
            </wp:cNvGraphicFramePr>
            <a:graphic>
              <a:graphicData uri="http://schemas.openxmlformats.org/drawingml/2006/picture">
                <pic:pic>
                  <pic:nvPicPr>
                    <pic:cNvPr id="0" name="gen_cover2.png"/>
                    <pic:cNvPicPr/>
                  </pic:nvPicPr>
                  <pic:blipFill>
                    <a:blip r:embed="rId10"/>
                    <a:stretch>
                      <a:fillRect/>
                    </a:stretch>
                  </pic:blipFill>
                  <pic:spPr>
                    <a:xfrm>
                      <a:off x="0" y="0"/>
                      <a:ext cx="5760000" cy="8146700"/>
                    </a:xfrm>
                    <a:prstGeom prst="rect"/>
                  </pic:spPr>
                </pic:pic>
              </a:graphicData>
            </a:graphic>
          </wp:inline>
        </w:drawing>
      </w:r>
    </w:p>
    <w:p>
      <w:pPr>
        <w:widowControl/>
        <w:spacing w:line="276" w:lineRule="auto"/>
      </w:pPr>
      <w:r>
        <w:br w:type="page"/>
      </w:r>
    </w:p>
    <w:p>
      <w:pPr>
        <w:widowControl/>
        <w:spacing w:after="240" w:line="276" w:lineRule="auto"/>
        <w:jc w:val="center"/>
      </w:pPr>
      <w:r>
        <w:rPr>
          <w:rFonts w:ascii="Arial Black" w:hAnsi="Arial Black" w:cs="Arial Black"/>
          <w:b/>
          <w:i w:val="0"/>
          <w:color w:val="1F3A63"/>
          <w:sz w:val="28"/>
        </w:rPr>
        <w:t>İÇİNDEKİLER</w:t>
      </w:r>
    </w:p>
    <w:p>
      <w:pPr>
        <w:widowControl/>
        <w:spacing w:line="276" w:lineRule="auto"/>
      </w:pPr>
      <w:r>
        <w:fldChar w:fldCharType="begin"/>
        <w:instrText xml:space="preserve">TOC \o "1-2" \h \z \u</w:instrText>
        <w:fldChar w:fldCharType="separate"/>
      </w:r>
    </w:p>
    <w:p>
      <w:pPr>
        <w:widowControl/>
        <w:spacing w:line="276" w:lineRule="auto"/>
      </w:pPr>
      <w:r>
        <w:rPr>
          <w:rFonts w:ascii="Arial" w:hAnsi="Arial" w:cs="Arial"/>
          <w:b w:val="0"/>
          <w:i/>
          <w:color w:val="555555"/>
          <w:sz w:val="20"/>
        </w:rPr>
        <w:t>İçindekiler tablosu Word'de güncellenecektir: tabloya sağ tıklayın → "Alanı Güncelleştir" → "Tüm tabloyu güncelleştir".</w:t>
      </w:r>
    </w:p>
    <w:p>
      <w:pPr>
        <w:pStyle w:val="Heading1"/>
        <w:keepNext/>
        <w:keepLines/>
        <w:pageBreakBefore/>
        <w:widowControl/>
        <w:spacing w:line="276" w:lineRule="auto"/>
        <w:jc w:val="left"/>
      </w:pPr>
      <w:r>
        <w:rPr>
          <w:rFonts w:ascii="Arial" w:hAnsi="Arial"/>
          <w:b w:val="0"/>
        </w:rPr>
        <w:t>ŞEKİLLER VE TABLOLAR LİSTESİ</w:t>
      </w:r>
    </w:p>
    <w:p>
      <w:pPr>
        <w:pStyle w:val="Heading2"/>
        <w:keepNext/>
        <w:keepLines/>
        <w:widowControl/>
        <w:spacing w:line="276" w:lineRule="auto"/>
        <w:jc w:val="left"/>
      </w:pPr>
      <w:r>
        <w:rPr>
          <w:rFonts w:ascii="Arial" w:hAnsi="Arial"/>
          <w:b w:val="0"/>
        </w:rPr>
        <w:t>Şekiller</w:t>
      </w:r>
    </w:p>
    <w:p>
      <w:pPr>
        <w:widowControl/>
        <w:spacing w:line="276" w:lineRule="auto"/>
        <w:jc w:val="left"/>
      </w:pPr>
      <w:r>
        <w:rPr>
          <w:rFonts w:ascii="Arial" w:hAnsi="Arial"/>
          <w:b w:val="0"/>
          <w:sz w:val="22"/>
        </w:rPr>
        <w:t>Şekil 1: RoboVizyon organizasyon şeması ve sorumluluk dağılımı</w:t>
      </w:r>
    </w:p>
    <w:p>
      <w:pPr>
        <w:widowControl/>
        <w:spacing w:line="276" w:lineRule="auto"/>
        <w:jc w:val="left"/>
      </w:pPr>
      <w:r>
        <w:rPr>
          <w:rFonts w:ascii="Arial" w:hAnsi="Arial"/>
          <w:b w:val="0"/>
          <w:sz w:val="22"/>
        </w:rPr>
        <w:t>Şekil 2: Nihai sistem blok şeması — beş katmanlı mimari ve ana veri/güç akışları</w:t>
      </w:r>
    </w:p>
    <w:p>
      <w:pPr>
        <w:widowControl/>
        <w:spacing w:line="276" w:lineRule="auto"/>
        <w:jc w:val="left"/>
      </w:pPr>
      <w:r>
        <w:rPr>
          <w:rFonts w:ascii="Arial" w:hAnsi="Arial"/>
          <w:b w:val="0"/>
          <w:sz w:val="22"/>
        </w:rPr>
        <w:t>Şekil 3: Aracın Fusion 360'ta hazırlanan nihai 3B modeli — izometrik görünüm</w:t>
      </w:r>
    </w:p>
    <w:p>
      <w:pPr>
        <w:widowControl/>
        <w:spacing w:line="276" w:lineRule="auto"/>
        <w:jc w:val="left"/>
      </w:pPr>
      <w:r>
        <w:rPr>
          <w:rFonts w:ascii="Arial" w:hAnsi="Arial"/>
          <w:b w:val="0"/>
          <w:sz w:val="22"/>
        </w:rPr>
        <w:t>Şekil 4: Yan görünüm — mast yüksekliği, çatal stroku ve şasi üzerindeki bileşen yerleşimi</w:t>
      </w:r>
    </w:p>
    <w:p>
      <w:pPr>
        <w:widowControl/>
        <w:spacing w:line="276" w:lineRule="auto"/>
        <w:jc w:val="left"/>
      </w:pPr>
      <w:r>
        <w:rPr>
          <w:rFonts w:ascii="Arial" w:hAnsi="Arial"/>
          <w:b w:val="0"/>
          <w:sz w:val="22"/>
        </w:rPr>
        <w:t>Şekil 5: Ön görünüm — mast genişliği, çatal aralığı ve kamera/LiDAR konumlandırması</w:t>
      </w:r>
    </w:p>
    <w:p>
      <w:pPr>
        <w:widowControl/>
        <w:spacing w:line="276" w:lineRule="auto"/>
        <w:jc w:val="left"/>
      </w:pPr>
      <w:r>
        <w:rPr>
          <w:rFonts w:ascii="Arial" w:hAnsi="Arial"/>
          <w:b w:val="0"/>
          <w:sz w:val="22"/>
        </w:rPr>
        <w:t>Şekil 6: Üstten görünüm — şasi taban plakası ve elektronik yerleşim alanı</w:t>
      </w:r>
    </w:p>
    <w:p>
      <w:pPr>
        <w:widowControl/>
        <w:spacing w:line="276" w:lineRule="auto"/>
        <w:jc w:val="left"/>
      </w:pPr>
      <w:r>
        <w:rPr>
          <w:rFonts w:ascii="Arial" w:hAnsi="Arial"/>
          <w:b w:val="0"/>
          <w:sz w:val="22"/>
        </w:rPr>
        <w:t>Şekil 7: Güç dağıtım ve sürüş mimarisi (Kelly KLS BLDC sürücü + hub motor) ve acil durdurma zinciri</w:t>
      </w:r>
    </w:p>
    <w:p>
      <w:pPr>
        <w:widowControl/>
        <w:spacing w:line="276" w:lineRule="auto"/>
        <w:jc w:val="left"/>
      </w:pPr>
      <w:r>
        <w:rPr>
          <w:rFonts w:ascii="Arial" w:hAnsi="Arial"/>
          <w:b w:val="0"/>
          <w:sz w:val="22"/>
        </w:rPr>
        <w:t>Şekil 8: Yarışma senaryosu ana görev akış diyagramı</w:t>
      </w:r>
    </w:p>
    <w:p>
      <w:pPr>
        <w:widowControl/>
        <w:spacing w:line="276" w:lineRule="auto"/>
        <w:jc w:val="left"/>
      </w:pPr>
      <w:r>
        <w:rPr>
          <w:rFonts w:ascii="Arial" w:hAnsi="Arial"/>
          <w:b w:val="0"/>
          <w:sz w:val="22"/>
        </w:rPr>
        <w:t>Şekil 9: Görev yönetimi durum makinesi — şartnamedeki sekiz durumun (a–h) gerçeklenmesi</w:t>
      </w:r>
    </w:p>
    <w:p>
      <w:pPr>
        <w:widowControl/>
        <w:spacing w:line="276" w:lineRule="auto"/>
        <w:jc w:val="left"/>
      </w:pPr>
      <w:r>
        <w:rPr>
          <w:rFonts w:ascii="Arial" w:hAnsi="Arial"/>
          <w:b w:val="0"/>
          <w:sz w:val="22"/>
        </w:rPr>
        <w:t>Şekil 10: Tek kameradan eş zamanlı çizgi takibi (üst) ve QR konum hesaplama (alt) hatları</w:t>
      </w:r>
    </w:p>
    <w:p>
      <w:pPr>
        <w:widowControl/>
        <w:spacing w:line="276" w:lineRule="auto"/>
        <w:jc w:val="left"/>
      </w:pPr>
      <w:r>
        <w:rPr>
          <w:rFonts w:ascii="Arial" w:hAnsi="Arial"/>
          <w:b w:val="0"/>
          <w:sz w:val="22"/>
        </w:rPr>
        <w:t>Şekil 11: ROS 2 düğüm grafiği ve arayüz katmanı (yazılım mimarisi)</w:t>
      </w:r>
    </w:p>
    <w:p>
      <w:pPr>
        <w:widowControl/>
        <w:spacing w:line="276" w:lineRule="auto"/>
        <w:jc w:val="left"/>
      </w:pPr>
      <w:r>
        <w:rPr>
          <w:rFonts w:ascii="Arial" w:hAnsi="Arial"/>
          <w:b w:val="0"/>
          <w:sz w:val="22"/>
        </w:rPr>
        <w:t>Şekil 12: Geliştirdiğimiz "OTONOM FORKLİFT GCS" operatör web arayüzü — canlı izleme ekranı</w:t>
      </w:r>
    </w:p>
    <w:p>
      <w:pPr>
        <w:widowControl/>
        <w:spacing w:line="276" w:lineRule="auto"/>
        <w:jc w:val="left"/>
      </w:pPr>
      <w:r>
        <w:rPr>
          <w:rFonts w:ascii="Arial" w:hAnsi="Arial"/>
          <w:b w:val="0"/>
          <w:sz w:val="22"/>
        </w:rPr>
        <w:t>Şekil 13: Operatör panelinin alternatif yerleşimi — canlı harita/rota editörü ve görev kartı detayı</w:t>
      </w:r>
    </w:p>
    <w:p>
      <w:pPr>
        <w:widowControl/>
        <w:spacing w:line="276" w:lineRule="auto"/>
        <w:jc w:val="left"/>
      </w:pPr>
      <w:r>
        <w:rPr>
          <w:rFonts w:ascii="Arial" w:hAnsi="Arial"/>
          <w:b w:val="0"/>
          <w:sz w:val="22"/>
        </w:rPr>
        <w:t>Şekil 14: Proje zaman planı ve kilometre taşları (Haziran–Eylül 2026)</w:t>
      </w:r>
    </w:p>
    <w:p>
      <w:pPr>
        <w:widowControl/>
        <w:spacing w:line="276" w:lineRule="auto"/>
        <w:jc w:val="left"/>
      </w:pPr>
      <w:r>
        <w:rPr>
          <w:rFonts w:ascii="Arial" w:hAnsi="Arial"/>
          <w:b w:val="0"/>
          <w:sz w:val="22"/>
        </w:rPr>
        <w:t>Şekil 15: Bütçe dağılımı ve finansman kaynakları</w:t>
      </w:r>
    </w:p>
    <w:p>
      <w:pPr>
        <w:widowControl/>
        <w:spacing w:line="276" w:lineRule="auto"/>
        <w:jc w:val="left"/>
      </w:pPr>
      <w:r>
        <w:rPr>
          <w:rFonts w:ascii="Arial" w:hAnsi="Arial"/>
          <w:b w:val="0"/>
          <w:sz w:val="22"/>
        </w:rPr>
        <w:t>Şekil 16: Olasılık × etki risk matrisi (azaltım öncesi konumlar)</w:t>
      </w:r>
    </w:p>
    <w:p>
      <w:pPr>
        <w:pStyle w:val="Heading2"/>
        <w:keepNext/>
        <w:keepLines/>
        <w:widowControl/>
        <w:spacing w:line="276" w:lineRule="auto"/>
        <w:jc w:val="left"/>
      </w:pPr>
      <w:r>
        <w:rPr>
          <w:rFonts w:ascii="Arial" w:hAnsi="Arial"/>
          <w:b w:val="0"/>
        </w:rPr>
        <w:t>Tablolar</w:t>
      </w:r>
    </w:p>
    <w:p>
      <w:pPr>
        <w:widowControl/>
        <w:spacing w:line="276" w:lineRule="auto"/>
        <w:jc w:val="left"/>
      </w:pPr>
      <w:r>
        <w:rPr>
          <w:rFonts w:ascii="Arial" w:hAnsi="Arial"/>
          <w:b w:val="0"/>
          <w:sz w:val="22"/>
        </w:rPr>
        <w:t>Tablo 1: RoboVizyon takım üyeleri ve sorumluluk alanları</w:t>
      </w:r>
    </w:p>
    <w:p>
      <w:pPr>
        <w:widowControl/>
        <w:spacing w:line="276" w:lineRule="auto"/>
        <w:jc w:val="left"/>
      </w:pPr>
      <w:r>
        <w:rPr>
          <w:rFonts w:ascii="Arial" w:hAnsi="Arial"/>
          <w:b w:val="0"/>
          <w:sz w:val="22"/>
        </w:rPr>
        <w:t>Tablo 2: TYF sonrası tasarım değişiklikleri ve gerekçeleri</w:t>
      </w:r>
    </w:p>
    <w:p>
      <w:pPr>
        <w:widowControl/>
        <w:spacing w:line="276" w:lineRule="auto"/>
        <w:jc w:val="left"/>
      </w:pPr>
      <w:r>
        <w:rPr>
          <w:rFonts w:ascii="Arial" w:hAnsi="Arial"/>
          <w:b w:val="0"/>
          <w:sz w:val="22"/>
        </w:rPr>
        <w:t>Tablo 3: Şartname görevleri — çözüm izlenebilirlik tablosu</w:t>
      </w:r>
    </w:p>
    <w:p>
      <w:pPr>
        <w:widowControl/>
        <w:spacing w:line="276" w:lineRule="auto"/>
        <w:jc w:val="left"/>
      </w:pPr>
      <w:r>
        <w:rPr>
          <w:rFonts w:ascii="Arial" w:hAnsi="Arial"/>
          <w:b w:val="0"/>
          <w:sz w:val="22"/>
        </w:rPr>
        <w:t>Tablo 4: Kritik malzeme seçimleri ve gerekçeleri</w:t>
      </w:r>
    </w:p>
    <w:p>
      <w:pPr>
        <w:widowControl/>
        <w:spacing w:line="276" w:lineRule="auto"/>
        <w:jc w:val="left"/>
      </w:pPr>
      <w:r>
        <w:rPr>
          <w:rFonts w:ascii="Arial" w:hAnsi="Arial"/>
          <w:b w:val="0"/>
          <w:sz w:val="22"/>
        </w:rPr>
        <w:t>Tablo 5: Projenin temel bileşenleri ve görselleri (görseller ilgili tedarikçi ürün sayfalarından alınmıştır [15])</w:t>
      </w:r>
    </w:p>
    <w:p>
      <w:pPr>
        <w:widowControl/>
        <w:spacing w:line="276" w:lineRule="auto"/>
        <w:jc w:val="left"/>
      </w:pPr>
      <w:r>
        <w:rPr>
          <w:rFonts w:ascii="Arial" w:hAnsi="Arial"/>
          <w:b w:val="0"/>
          <w:sz w:val="22"/>
        </w:rPr>
        <w:t>Tablo 6: Aracın temel fiziksel özellikleri</w:t>
      </w:r>
    </w:p>
    <w:p>
      <w:pPr>
        <w:widowControl/>
        <w:spacing w:line="276" w:lineRule="auto"/>
        <w:jc w:val="left"/>
      </w:pPr>
      <w:r>
        <w:rPr>
          <w:rFonts w:ascii="Arial" w:hAnsi="Arial"/>
          <w:b w:val="0"/>
          <w:sz w:val="22"/>
        </w:rPr>
        <w:t>Tablo 7: Kritik senaryolar için mühendislik doğrulama hesapları (girdi, formül, sonuç, emniyet payı)</w:t>
      </w:r>
    </w:p>
    <w:p>
      <w:pPr>
        <w:widowControl/>
        <w:spacing w:line="276" w:lineRule="auto"/>
        <w:jc w:val="left"/>
      </w:pPr>
      <w:r>
        <w:rPr>
          <w:rFonts w:ascii="Arial" w:hAnsi="Arial"/>
          <w:b w:val="0"/>
          <w:sz w:val="22"/>
        </w:rPr>
        <w:t>Tablo 8: Jetson–Arduino UART çerçeve protokolü (0xAA başlangıç + ID + uzunluk + yük + CRC8)</w:t>
      </w:r>
    </w:p>
    <w:p>
      <w:pPr>
        <w:widowControl/>
        <w:spacing w:line="276" w:lineRule="auto"/>
        <w:jc w:val="left"/>
      </w:pPr>
      <w:r>
        <w:rPr>
          <w:rFonts w:ascii="Arial" w:hAnsi="Arial"/>
          <w:b w:val="0"/>
          <w:sz w:val="22"/>
        </w:rPr>
        <w:t>Tablo 9: Şartname arayüz gereksinimleri ile panel bileşenlerinin eşleşmesi</w:t>
      </w:r>
    </w:p>
    <w:p>
      <w:pPr>
        <w:widowControl/>
        <w:spacing w:line="276" w:lineRule="auto"/>
        <w:jc w:val="left"/>
      </w:pPr>
      <w:r>
        <w:rPr>
          <w:rFonts w:ascii="Arial" w:hAnsi="Arial"/>
          <w:b w:val="0"/>
          <w:sz w:val="22"/>
        </w:rPr>
        <w:t>Tablo 10: Robot–PLC mesaj sözlüğü (soyut katman; resmî protokole adaptörle bağlanır)</w:t>
      </w:r>
    </w:p>
    <w:p>
      <w:pPr>
        <w:widowControl/>
        <w:spacing w:line="276" w:lineRule="auto"/>
        <w:jc w:val="left"/>
      </w:pPr>
      <w:r>
        <w:rPr>
          <w:rFonts w:ascii="Arial" w:hAnsi="Arial"/>
          <w:b w:val="0"/>
          <w:sz w:val="22"/>
        </w:rPr>
        <w:t>Tablo 11: Güvenlik tehlike-önlem matrisi</w:t>
      </w:r>
    </w:p>
    <w:p>
      <w:pPr>
        <w:widowControl/>
        <w:spacing w:line="276" w:lineRule="auto"/>
        <w:jc w:val="left"/>
      </w:pPr>
      <w:r>
        <w:rPr>
          <w:rFonts w:ascii="Arial" w:hAnsi="Arial"/>
          <w:b w:val="0"/>
          <w:sz w:val="22"/>
        </w:rPr>
        <w:t>Tablo 12: Kritik arıza modları için FMEA — Risk Öncelik Sayısı (RÖS = Ş×O×T) ve önlemler</w:t>
      </w:r>
    </w:p>
    <w:p>
      <w:pPr>
        <w:widowControl/>
        <w:spacing w:line="276" w:lineRule="auto"/>
        <w:jc w:val="left"/>
      </w:pPr>
      <w:r>
        <w:rPr>
          <w:rFonts w:ascii="Arial" w:hAnsi="Arial"/>
          <w:b w:val="0"/>
          <w:sz w:val="22"/>
        </w:rPr>
        <w:t>Tablo 13: Test planı, metrikler ve kabul kriterleri</w:t>
      </w:r>
    </w:p>
    <w:p>
      <w:pPr>
        <w:widowControl/>
        <w:spacing w:line="276" w:lineRule="auto"/>
        <w:jc w:val="left"/>
      </w:pPr>
      <w:r>
        <w:rPr>
          <w:rFonts w:ascii="Arial" w:hAnsi="Arial"/>
          <w:b w:val="0"/>
          <w:sz w:val="22"/>
        </w:rPr>
        <w:t>Tablo 14: Nihai bütçe kategori kırılımı (fiyat kontrol tarihi: 29.05.2026)</w:t>
      </w:r>
    </w:p>
    <w:p>
      <w:pPr>
        <w:widowControl/>
        <w:spacing w:line="276" w:lineRule="auto"/>
        <w:jc w:val="left"/>
      </w:pPr>
      <w:r>
        <w:rPr>
          <w:rFonts w:ascii="Arial" w:hAnsi="Arial"/>
          <w:b w:val="0"/>
          <w:sz w:val="22"/>
        </w:rPr>
        <w:t>Tablo 15: Risk kayıt tablosu ve azaltım önlemleri</w:t>
      </w:r>
    </w:p>
    <w:p>
      <w:pPr>
        <w:widowControl/>
        <w:spacing w:line="276" w:lineRule="auto"/>
        <w:jc w:val="left"/>
      </w:pPr>
      <w:r>
        <w:rPr>
          <w:rFonts w:ascii="Arial" w:hAnsi="Arial"/>
          <w:b w:val="0"/>
          <w:sz w:val="22"/>
        </w:rPr>
        <w:t>Tablo 16: Rekabet ortamı karşılaştırması ve konumlanma</w:t>
      </w:r>
    </w:p>
    <w:p>
      <w:pPr>
        <w:widowControl/>
        <w:spacing w:line="276" w:lineRule="auto"/>
        <w:jc w:val="left"/>
      </w:pPr>
      <w:r>
        <w:rPr>
          <w:rFonts w:ascii="Arial" w:hAnsi="Arial"/>
          <w:b w:val="0"/>
          <w:sz w:val="22"/>
        </w:rPr>
        <w:t>Tablo 17: Beş yıllık toplam sahip olma maliyeti (TCO) karşılaştırması (hafif sınıf AGV, yaklaşık değerler)</w:t>
      </w:r>
    </w:p>
    <w:p>
      <w:pPr>
        <w:widowControl/>
        <w:spacing w:line="276" w:lineRule="auto"/>
      </w:pPr>
      <w:r>
        <w:fldChar w:fldCharType="end"/>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 RAPOR ÖZETİ (10 PUAN)</w:t>
      </w:r>
    </w:p>
    <w:p>
      <w:pPr>
        <w:widowControl/>
        <w:spacing w:after="120" w:line="276" w:lineRule="auto"/>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line="276" w:lineRule="auto"/>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line="276" w:lineRule="auto"/>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line="276" w:lineRule="auto"/>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spacing w:line="276" w:lineRule="auto"/>
      </w:pPr>
      <w:r>
        <w:rPr>
          <w:rFonts w:ascii="Arial Black" w:hAnsi="Arial Black" w:cs="Arial Black"/>
          <w:b/>
          <w:i w:val="0"/>
          <w:color w:val="1F3A63"/>
          <w:sz w:val="28"/>
        </w:rPr>
        <w:t>2. TAKIM ŞEMASI (5 PUAN)</w:t>
      </w:r>
    </w:p>
    <w:p>
      <w:pPr>
        <w:pStyle w:val="Heading2"/>
        <w:keepNext/>
        <w:keepLines/>
        <w:widowControl/>
        <w:spacing w:line="276" w:lineRule="auto"/>
      </w:pPr>
      <w:r>
        <w:rPr>
          <w:rFonts w:ascii="Arial Black" w:hAnsi="Arial Black" w:cs="Arial Black"/>
          <w:b/>
          <w:i w:val="0"/>
          <w:color w:val="1F3A63"/>
          <w:sz w:val="26"/>
        </w:rPr>
        <w:t>2.1. Takım Üyeleri</w:t>
      </w:r>
    </w:p>
    <w:p>
      <w:pPr>
        <w:widowControl/>
        <w:spacing w:after="120" w:line="276" w:lineRule="auto"/>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1"/>
              </w:rPr>
              <w:t>Takımdaki Görev</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rPr>
          <w:cantSplit/>
        </w:trPr>
        <w:tc>
          <w:tcPr>
            <w:tcW w:type="dxa" w:w="3685"/>
          </w:tcPr>
          <w:p>
            <w:pPr>
              <w:spacing w:after="20" w:before="20" w:line="240" w:lineRule="auto"/>
              <w:jc w:val="left"/>
            </w:pPr>
            <w:r>
              <w:rPr>
                <w:rFonts w:ascii="Arial" w:hAnsi="Arial" w:cs="Arial"/>
                <w:b w:val="0"/>
                <w:i w:val="0"/>
                <w:sz w:val="21"/>
              </w:rPr>
              <w:t>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1"/>
              </w:rPr>
              <w:t>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1"/>
              </w:rPr>
              <w:t>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1"/>
              </w:rPr>
              <w:t>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1"/>
              </w:rPr>
              <w:t>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1"/>
              </w:rPr>
              <w:t>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keepNext/>
        <w:keepLines/>
        <w:widowControl/>
        <w:spacing w:before="60" w:after="200" w:line="276" w:lineRule="auto"/>
        <w:jc w:val="center"/>
      </w:pPr>
      <w:r>
        <w:rPr>
          <w:rFonts w:ascii="Arial" w:hAnsi="Arial" w:cs="Arial"/>
          <w:b w:val="0"/>
          <w:i/>
          <w:color w:val="555555"/>
          <w:sz w:val="20"/>
        </w:rPr>
        <w:t>Tablo 1: RoboVizyon takım üyeleri ve sorumluluk alanları</w:t>
      </w:r>
    </w:p>
    <w:p>
      <w:pPr>
        <w:pStyle w:val="Heading2"/>
        <w:keepNext/>
        <w:keepLines/>
        <w:widowControl/>
        <w:spacing w:line="276" w:lineRule="auto"/>
      </w:pPr>
      <w:r>
        <w:rPr>
          <w:rFonts w:ascii="Arial Black" w:hAnsi="Arial Black" w:cs="Arial Black"/>
          <w:b/>
          <w:i w:val="0"/>
          <w:color w:val="1F3A63"/>
          <w:sz w:val="26"/>
        </w:rPr>
        <w:t>2.2. Organizasyon Şeması ve Görev Dağılımı</w:t>
      </w:r>
    </w:p>
    <w:p>
      <w:pPr>
        <w:widowControl/>
        <w:spacing w:after="120" w:line="276" w:lineRule="auto"/>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2555077"/>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760000" cy="255507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 RoboVizyon organizasyon şeması ve sorumluluk dağılımı</w:t>
      </w:r>
    </w:p>
    <w:p>
      <w:pPr>
        <w:pStyle w:val="Heading1"/>
        <w:keepNext/>
        <w:keepLines/>
        <w:widowControl/>
        <w:spacing w:line="276" w:lineRule="auto"/>
      </w:pPr>
      <w:r>
        <w:rPr>
          <w:rFonts w:ascii="Arial Black" w:hAnsi="Arial Black" w:cs="Arial Black"/>
          <w:b/>
          <w:i w:val="0"/>
          <w:color w:val="1F3A63"/>
          <w:sz w:val="28"/>
        </w:rPr>
        <w:t>3. PROJE MEVCUT DURUM DEĞERLENDİRMESİ (5 PUAN)</w:t>
      </w:r>
    </w:p>
    <w:p>
      <w:pPr>
        <w:widowControl/>
        <w:spacing w:after="120" w:line="276" w:lineRule="auto"/>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rPr>
          <w:cantSplit/>
        </w:trP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keepNext/>
        <w:keepLines/>
        <w:widowControl/>
        <w:spacing w:before="60" w:after="200" w:line="276" w:lineRule="auto"/>
        <w:jc w:val="center"/>
      </w:pPr>
      <w:r>
        <w:rPr>
          <w:rFonts w:ascii="Arial" w:hAnsi="Arial" w:cs="Arial"/>
          <w:b w:val="0"/>
          <w:i/>
          <w:color w:val="555555"/>
          <w:sz w:val="20"/>
        </w:rPr>
        <w:t>Tablo 2: TYF sonrası tasarım değişiklikleri ve gerekçeleri</w:t>
      </w:r>
    </w:p>
    <w:p>
      <w:pPr>
        <w:widowControl/>
        <w:spacing w:after="120" w:line="276" w:lineRule="auto"/>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line="276" w:lineRule="auto"/>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spacing w:line="276" w:lineRule="auto"/>
      </w:pPr>
      <w:r>
        <w:rPr>
          <w:rFonts w:ascii="Arial Black" w:hAnsi="Arial Black" w:cs="Arial Black"/>
          <w:b/>
          <w:i w:val="0"/>
          <w:color w:val="1F3A63"/>
          <w:sz w:val="28"/>
        </w:rPr>
        <w:t>4. ARAÇ TASARIMI (40 PUAN)</w:t>
      </w:r>
    </w:p>
    <w:p>
      <w:pPr>
        <w:pStyle w:val="Heading2"/>
        <w:keepNext/>
        <w:keepLines/>
        <w:widowControl/>
        <w:spacing w:line="276" w:lineRule="auto"/>
      </w:pPr>
      <w:r>
        <w:rPr>
          <w:rFonts w:ascii="Arial Black" w:hAnsi="Arial Black" w:cs="Arial Black"/>
          <w:b/>
          <w:i w:val="0"/>
          <w:color w:val="1F3A63"/>
          <w:sz w:val="26"/>
        </w:rPr>
        <w:t>4.1. Sistem Tasarımı (10 Puan)</w:t>
      </w:r>
    </w:p>
    <w:p>
      <w:pPr>
        <w:widowControl/>
        <w:spacing w:after="120" w:line="276" w:lineRule="auto"/>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line="276" w:lineRule="auto"/>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line="276" w:lineRule="auto"/>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line="276" w:lineRule="auto"/>
        <w:jc w:val="center"/>
      </w:pPr>
      <w:r>
        <w:drawing>
          <wp:inline xmlns:a="http://schemas.openxmlformats.org/drawingml/2006/main" xmlns:pic="http://schemas.openxmlformats.org/drawingml/2006/picture">
            <wp:extent cx="5760000" cy="3420000"/>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760000" cy="34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2: Nihai sistem blok şeması — beş katmanlı mimari ve ana veri/güç akışları</w:t>
      </w:r>
    </w:p>
    <w:p>
      <w:pPr>
        <w:widowControl/>
        <w:spacing w:after="120" w:line="276" w:lineRule="auto"/>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rPr>
          <w:cantSplit/>
        </w:trP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rPr>
          <w:cantSplit/>
        </w:trP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4.4</w:t>
            </w:r>
          </w:p>
        </w:tc>
      </w:tr>
    </w:tbl>
    <w:p>
      <w:pPr>
        <w:keepNext/>
        <w:keepLines/>
        <w:widowControl/>
        <w:spacing w:before="60" w:after="200" w:line="276" w:lineRule="auto"/>
        <w:jc w:val="center"/>
      </w:pPr>
      <w:r>
        <w:rPr>
          <w:rFonts w:ascii="Arial" w:hAnsi="Arial" w:cs="Arial"/>
          <w:b w:val="0"/>
          <w:i/>
          <w:color w:val="555555"/>
          <w:sz w:val="20"/>
        </w:rPr>
        <w:t>Tablo 3: Şartname görevleri — çözüm izlenebilirlik tablosu</w:t>
      </w:r>
    </w:p>
    <w:p>
      <w:pPr>
        <w:pStyle w:val="Heading2"/>
        <w:keepNext/>
        <w:keepLines/>
        <w:widowControl/>
        <w:spacing w:line="276" w:lineRule="auto"/>
      </w:pPr>
      <w:r>
        <w:rPr>
          <w:rFonts w:ascii="Arial Black" w:hAnsi="Arial Black" w:cs="Arial Black"/>
          <w:b/>
          <w:i w:val="0"/>
          <w:color w:val="1F3A63"/>
          <w:sz w:val="26"/>
        </w:rPr>
        <w:t>4.2. Aracın Mekanik Tasarımı</w:t>
      </w:r>
    </w:p>
    <w:p>
      <w:pPr>
        <w:pStyle w:val="Heading2"/>
        <w:keepNext/>
        <w:keepLines/>
        <w:widowControl/>
        <w:spacing w:line="276" w:lineRule="auto"/>
      </w:pPr>
      <w:r>
        <w:rPr>
          <w:rFonts w:ascii="Arial Black" w:hAnsi="Arial Black" w:cs="Arial Black"/>
          <w:b/>
          <w:i w:val="0"/>
          <w:color w:val="1F3A63"/>
          <w:sz w:val="26"/>
        </w:rPr>
        <w:t>4.2.1. Mekanik Tasarım Süreci (3 Puan)</w:t>
      </w:r>
    </w:p>
    <w:p>
      <w:pPr>
        <w:widowControl/>
        <w:spacing w:after="120" w:line="276" w:lineRule="auto"/>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2).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keepNext/>
        <w:keepLines/>
        <w:widowControl/>
        <w:spacing w:before="80" w:after="40" w:line="276" w:lineRule="auto"/>
        <w:jc w:val="center"/>
      </w:pPr>
      <w:r>
        <w:drawing>
          <wp:inline xmlns:a="http://schemas.openxmlformats.org/drawingml/2006/main" xmlns:pic="http://schemas.openxmlformats.org/drawingml/2006/picture">
            <wp:extent cx="3960000" cy="2590760"/>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59076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2: Bu eskizlerden yola çıkarak hazırladığımız üç görünüşlü ölçülü çizim (ön, yan, izometrik) — CAD ortamına geçmeden önceki son kâğıt aşaması.</w:t>
      </w:r>
    </w:p>
    <w:p>
      <w:pPr>
        <w:widowControl/>
        <w:spacing w:after="120" w:line="276" w:lineRule="auto"/>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line="276" w:lineRule="auto"/>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line="276" w:lineRule="auto"/>
        <w:jc w:val="center"/>
      </w:pPr>
      <w:r>
        <w:drawing>
          <wp:inline xmlns:a="http://schemas.openxmlformats.org/drawingml/2006/main" xmlns:pic="http://schemas.openxmlformats.org/drawingml/2006/picture">
            <wp:extent cx="4140000" cy="2538214"/>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5382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3: Aracın Fusion 360'ta hazırlanan nihai 3B modeli — izometrik görünüm</w:t>
      </w:r>
    </w:p>
    <w:p>
      <w:pPr>
        <w:keepNext/>
        <w:keepLines/>
        <w:widowControl/>
        <w:spacing w:before="40" w:after="40" w:line="276" w:lineRule="auto"/>
        <w:jc w:val="center"/>
      </w:pPr>
      <w:r>
        <w:drawing>
          <wp:inline xmlns:a="http://schemas.openxmlformats.org/drawingml/2006/main" xmlns:pic="http://schemas.openxmlformats.org/drawingml/2006/picture">
            <wp:extent cx="4680000" cy="2052846"/>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846"/>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4: Yan görünüm — mast yüksekliği, çatal stroku ve şasi üzerindeki bileşen yerleşimi</w:t>
      </w:r>
    </w:p>
    <w:p>
      <w:pPr>
        <w:keepNext/>
        <w:keepLines/>
        <w:widowControl/>
        <w:spacing w:before="40" w:after="40" w:line="276" w:lineRule="auto"/>
        <w:jc w:val="center"/>
      </w:pPr>
      <w:r>
        <w:drawing>
          <wp:inline xmlns:a="http://schemas.openxmlformats.org/drawingml/2006/main" xmlns:pic="http://schemas.openxmlformats.org/drawingml/2006/picture">
            <wp:extent cx="3060000" cy="2436078"/>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6078"/>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5: Ön görünüm — mast genişliği, çatal aralığı ve kamera/LiDAR konumlandırması</w:t>
      </w:r>
    </w:p>
    <w:p>
      <w:pPr>
        <w:keepNext/>
        <w:keepLines/>
        <w:widowControl/>
        <w:spacing w:before="40" w:after="40" w:line="276" w:lineRule="auto"/>
        <w:jc w:val="center"/>
      </w:pPr>
      <w:r>
        <w:drawing>
          <wp:inline xmlns:a="http://schemas.openxmlformats.org/drawingml/2006/main" xmlns:pic="http://schemas.openxmlformats.org/drawingml/2006/picture">
            <wp:extent cx="2700000" cy="2949296"/>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9296"/>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6: Üstten görünüm — şasi taban plakası ve elektronik yerleşim alanı</w:t>
      </w:r>
    </w:p>
    <w:p>
      <w:pPr>
        <w:widowControl/>
        <w:spacing w:after="120" w:line="276" w:lineRule="auto"/>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spacing w:line="276" w:lineRule="auto"/>
      </w:pPr>
      <w:r>
        <w:rPr>
          <w:rFonts w:ascii="Arial Black" w:hAnsi="Arial Black" w:cs="Arial Black"/>
          <w:b/>
          <w:i w:val="0"/>
          <w:color w:val="1F3A63"/>
          <w:sz w:val="26"/>
        </w:rPr>
        <w:t>4.2.2. Malzemeler (3 Puan)</w:t>
      </w:r>
    </w:p>
    <w:p>
      <w:pPr>
        <w:widowControl/>
        <w:spacing w:after="120" w:line="276" w:lineRule="auto"/>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rPr>
          <w:cantSplit/>
        </w:trP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keepNext/>
        <w:keepLines/>
        <w:widowControl/>
        <w:spacing w:before="60" w:after="200" w:line="276" w:lineRule="auto"/>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511998" cy="1007999"/>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511998"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77225" cy="1007999"/>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77225"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007999"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4536"/>
            <w:gridSpan w:val="2"/>
          </w:tcPr>
          <w:p>
            <w:pPr>
              <w:spacing w:after="40"/>
              <w:jc w:val="center"/>
            </w:pPr>
            <w:r>
              <w:drawing>
                <wp:inline xmlns:a="http://schemas.openxmlformats.org/drawingml/2006/main" xmlns:pic="http://schemas.openxmlformats.org/drawingml/2006/picture">
                  <wp:extent cx="1311929" cy="1007999"/>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311929" cy="1007999"/>
                          </a:xfrm>
                          <a:prstGeom prst="rect"/>
                        </pic:spPr>
                      </pic:pic>
                    </a:graphicData>
                  </a:graphic>
                </wp:inline>
              </w:drawing>
            </w:r>
          </w:p>
        </w:tc>
        <w:tc>
          <w:tcPr>
            <w:tcW w:type="dxa" w:w="4536"/>
            <w:gridSpan w:val="2"/>
          </w:tcPr>
          <w:p>
            <w:pPr>
              <w:spacing w:after="40"/>
              <w:jc w:val="center"/>
            </w:pPr>
            <w:r>
              <w:drawing>
                <wp:inline xmlns:a="http://schemas.openxmlformats.org/drawingml/2006/main" xmlns:pic="http://schemas.openxmlformats.org/drawingml/2006/picture">
                  <wp:extent cx="1007999" cy="1007999"/>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007999" cy="1007999"/>
                          </a:xfrm>
                          <a:prstGeom prst="rect"/>
                        </pic:spPr>
                      </pic:pic>
                    </a:graphicData>
                  </a:graphic>
                </wp:inline>
              </w:drawing>
            </w:r>
          </w:p>
        </w:tc>
      </w:tr>
      <w:tr>
        <w:trPr>
          <w:cantSplit/>
        </w:trPr>
        <w:tc>
          <w:tcPr>
            <w:tcW w:type="dxa" w:w="4536"/>
            <w:gridSpan w:val="2"/>
          </w:tcPr>
          <w:p>
            <w:pPr>
              <w:jc w:val="center"/>
            </w:pPr>
            <w:r>
              <w:rPr>
                <w:rFonts w:ascii="Arial" w:hAnsi="Arial" w:cs="Arial"/>
                <w:b w:val="0"/>
                <w:i w:val="0"/>
                <w:color w:val="555555"/>
                <w:sz w:val="18"/>
              </w:rPr>
              <w:t>Kilitlemeli acil stop (40 mm, NC)</w:t>
            </w:r>
          </w:p>
        </w:tc>
        <w:tc>
          <w:tcPr>
            <w:tcW w:type="dxa" w:w="4536"/>
            <w:gridSpan w:val="2"/>
          </w:tcPr>
          <w:p>
            <w:pPr>
              <w:jc w:val="center"/>
            </w:pPr>
            <w:r>
              <w:rPr>
                <w:rFonts w:ascii="Arial" w:hAnsi="Arial" w:cs="Arial"/>
                <w:b w:val="0"/>
                <w:i w:val="0"/>
                <w:color w:val="555555"/>
                <w:sz w:val="18"/>
              </w:rPr>
              <w:t>Döner denge (sarhoş) tekeri</w:t>
            </w:r>
          </w:p>
        </w:tc>
      </w:tr>
    </w:tbl>
    <w:p>
      <w:pPr>
        <w:keepNext/>
        <w:keepLines/>
        <w:widowControl/>
        <w:spacing w:after="200" w:line="276" w:lineRule="auto"/>
        <w:jc w:val="center"/>
      </w:pPr>
      <w:r>
        <w:rPr>
          <w:rFonts w:ascii="Arial" w:hAnsi="Arial" w:cs="Arial"/>
          <w:b w:val="0"/>
          <w:i/>
          <w:color w:val="555555"/>
          <w:sz w:val="20"/>
        </w:rPr>
        <w:t>Tablo 5: Projenin temel bileşenleri ve görselleri (görseller ilgili tedarikçi ürün sayfalarından alınmıştır [15])</w:t>
      </w:r>
    </w:p>
    <w:p>
      <w:pPr>
        <w:pStyle w:val="Heading2"/>
        <w:keepNext/>
        <w:keepLines/>
        <w:widowControl/>
        <w:spacing w:line="276" w:lineRule="auto"/>
      </w:pPr>
      <w:r>
        <w:rPr>
          <w:rFonts w:ascii="Arial Black" w:hAnsi="Arial Black" w:cs="Arial Black"/>
          <w:b/>
          <w:i w:val="0"/>
          <w:color w:val="1F3A63"/>
          <w:sz w:val="26"/>
        </w:rPr>
        <w:t>4.2.3. Üretim Yöntemleri (2 Puan)</w:t>
      </w:r>
    </w:p>
    <w:p>
      <w:pPr>
        <w:widowControl/>
        <w:spacing w:after="120" w:line="276" w:lineRule="auto"/>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3: Sigma profil şasinin okul atölyesinde montajı; köşe bağlantıları kıskaç yardımıyla matkapla hazırlanıyor.</w:t>
      </w:r>
    </w:p>
    <w:p>
      <w:pPr>
        <w:keepNext/>
        <w:keepLines/>
        <w:widowControl/>
        <w:spacing w:before="80" w:after="40" w:line="276" w:lineRule="auto"/>
        <w:jc w:val="center"/>
      </w:pPr>
      <w:r>
        <w:drawing>
          <wp:inline xmlns:a="http://schemas.openxmlformats.org/drawingml/2006/main" xmlns:pic="http://schemas.openxmlformats.org/drawingml/2006/picture">
            <wp:extent cx="4140000" cy="55200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55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widowControl/>
        <w:spacing w:after="120" w:line="276" w:lineRule="auto"/>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line="276" w:lineRule="auto"/>
        <w:jc w:val="center"/>
      </w:pPr>
      <w:r>
        <w:drawing>
          <wp:inline xmlns:a="http://schemas.openxmlformats.org/drawingml/2006/main" xmlns:pic="http://schemas.openxmlformats.org/drawingml/2006/picture">
            <wp:extent cx="3420000" cy="45600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3420000" cy="456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keepNext/>
        <w:keepLines/>
        <w:widowControl/>
        <w:spacing w:line="276" w:lineRule="auto"/>
      </w:pPr>
      <w:r>
        <w:rPr>
          <w:rFonts w:ascii="Arial Black" w:hAnsi="Arial Black" w:cs="Arial Black"/>
          <w:b/>
          <w:i w:val="0"/>
          <w:color w:val="1F3A63"/>
          <w:sz w:val="26"/>
        </w:rPr>
        <w:t>4.2.4. Fiziksel Özellikler (2 Puan)</w:t>
      </w:r>
    </w:p>
    <w:p>
      <w:pPr>
        <w:widowControl/>
        <w:spacing w:after="120" w:line="276" w:lineRule="auto"/>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rPr>
          <w:cantSplit/>
        </w:trP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keepNext/>
        <w:keepLines/>
        <w:widowControl/>
        <w:spacing w:before="60" w:after="200" w:line="276" w:lineRule="auto"/>
        <w:jc w:val="center"/>
      </w:pPr>
      <w:r>
        <w:rPr>
          <w:rFonts w:ascii="Arial" w:hAnsi="Arial" w:cs="Arial"/>
          <w:b w:val="0"/>
          <w:i/>
          <w:color w:val="555555"/>
          <w:sz w:val="20"/>
        </w:rPr>
        <w:t>Tablo 6: Aracın temel fiziksel özellikleri</w:t>
      </w:r>
    </w:p>
    <w:p>
      <w:pPr>
        <w:widowControl/>
        <w:spacing w:line="276" w:lineRule="auto"/>
        <w:jc w:val="both"/>
      </w:pPr>
      <w:r>
        <w:rPr>
          <w:rFonts w:ascii="Arial" w:hAnsi="Arial"/>
          <w:b w:val="0"/>
          <w:i w:val="0"/>
        </w:rPr>
        <w:t>Tasarımın kritik yük ve hareket senaryolarında güvenli kaldığını sayısal olarak göstermek için, CAD modeli ve seçtiğimiz bileşenlerin katalog değerleri üzerinden bir dizi mühendislik doğrulama hesabı yaptık. Kullandığımız girdiler, formüller ve elde ettiğimiz emniyet payları Tablo 7'de özetlenmiştir; hesaplarda araç kütlesini 24 kg, sembolik yükü 5 kg, tahrik tekerleği yarıçapını 0,075 m, azami hızı 0,25 m/s ve yuvarlanma sürtünme katsayısını 0,05 aldık.</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Kontrol</w:t>
            </w:r>
          </w:p>
        </w:tc>
        <w:tc>
          <w:tcPr>
            <w:tcW w:type="dxa" w:w="2268"/>
            <w:shd w:val="clear" w:fill="1F3A63"/>
          </w:tcPr>
          <w:p>
            <w:pPr>
              <w:jc w:val="center"/>
            </w:pPr>
            <w:r/>
            <w:r>
              <w:rPr>
                <w:rFonts w:ascii="Arial" w:hAnsi="Arial"/>
                <w:b/>
                <w:color w:val="FFFFFF"/>
                <w:sz w:val="21"/>
              </w:rPr>
              <w:t>Girdi ve Formül</w:t>
            </w:r>
          </w:p>
        </w:tc>
        <w:tc>
          <w:tcPr>
            <w:tcW w:type="dxa" w:w="2268"/>
            <w:shd w:val="clear" w:fill="1F3A63"/>
          </w:tcPr>
          <w:p>
            <w:pPr>
              <w:jc w:val="center"/>
            </w:pPr>
            <w:r/>
            <w:r>
              <w:rPr>
                <w:rFonts w:ascii="Arial" w:hAnsi="Arial"/>
                <w:b/>
                <w:color w:val="FFFFFF"/>
                <w:sz w:val="21"/>
              </w:rPr>
              <w:t>Sonuç</w:t>
            </w:r>
          </w:p>
        </w:tc>
        <w:tc>
          <w:tcPr>
            <w:tcW w:type="dxa" w:w="2268"/>
            <w:shd w:val="clear" w:fill="1F3A63"/>
          </w:tcPr>
          <w:p>
            <w:pPr>
              <w:jc w:val="center"/>
            </w:pPr>
            <w:r/>
            <w:r>
              <w:rPr>
                <w:rFonts w:ascii="Arial" w:hAnsi="Arial"/>
                <w:b/>
                <w:color w:val="FFFFFF"/>
                <w:sz w:val="21"/>
              </w:rPr>
              <w:t>Emniyet Payı / Yorum</w:t>
            </w:r>
          </w:p>
        </w:tc>
      </w:tr>
      <w:tr>
        <w:trPr>
          <w:cantSplit/>
        </w:trPr>
        <w:tc>
          <w:tcPr>
            <w:tcW w:type="dxa" w:w="2268"/>
          </w:tcPr>
          <w:p>
            <w:pPr>
              <w:jc w:val="left"/>
            </w:pPr>
            <w:r/>
            <w:r>
              <w:rPr>
                <w:rFonts w:ascii="Arial" w:hAnsi="Arial"/>
                <w:b w:val="0"/>
                <w:sz w:val="21"/>
              </w:rPr>
              <w:t>Tahrik torku</w:t>
            </w:r>
          </w:p>
        </w:tc>
        <w:tc>
          <w:tcPr>
            <w:tcW w:type="dxa" w:w="2268"/>
          </w:tcPr>
          <w:p>
            <w:pPr>
              <w:jc w:val="left"/>
            </w:pPr>
            <w:r/>
            <w:r>
              <w:rPr>
                <w:rFonts w:ascii="Arial" w:hAnsi="Arial"/>
                <w:b w:val="0"/>
                <w:sz w:val="21"/>
              </w:rPr>
              <w:t>T=μ·m·g·r ; m=29 kg, r=0,075 m</w:t>
            </w:r>
          </w:p>
        </w:tc>
        <w:tc>
          <w:tcPr>
            <w:tcW w:type="dxa" w:w="2268"/>
          </w:tcPr>
          <w:p>
            <w:pPr>
              <w:jc w:val="center"/>
            </w:pPr>
            <w:r/>
            <w:r>
              <w:rPr>
                <w:rFonts w:ascii="Arial" w:hAnsi="Arial"/>
                <w:b w:val="0"/>
                <w:sz w:val="21"/>
              </w:rPr>
              <w:t>≈1,1 N·m</w:t>
            </w:r>
          </w:p>
        </w:tc>
        <w:tc>
          <w:tcPr>
            <w:tcW w:type="dxa" w:w="2268"/>
          </w:tcPr>
          <w:p>
            <w:pPr>
              <w:jc w:val="left"/>
            </w:pPr>
            <w:r/>
            <w:r>
              <w:rPr>
                <w:rFonts w:ascii="Arial" w:hAnsi="Arial"/>
                <w:b w:val="0"/>
                <w:sz w:val="21"/>
              </w:rPr>
              <w:t>Hub motor kalkış torku bunun çok üzerinde — açık yok</w:t>
            </w:r>
          </w:p>
        </w:tc>
      </w:tr>
      <w:tr>
        <w:trPr>
          <w:cantSplit/>
        </w:trPr>
        <w:tc>
          <w:tcPr>
            <w:tcW w:type="dxa" w:w="2268"/>
          </w:tcPr>
          <w:p>
            <w:pPr>
              <w:jc w:val="left"/>
            </w:pPr>
            <w:r/>
            <w:r>
              <w:rPr>
                <w:rFonts w:ascii="Arial" w:hAnsi="Arial"/>
                <w:b w:val="0"/>
                <w:sz w:val="21"/>
              </w:rPr>
              <w:t>Fren mesafesi (kontrollü)</w:t>
            </w:r>
          </w:p>
        </w:tc>
        <w:tc>
          <w:tcPr>
            <w:tcW w:type="dxa" w:w="2268"/>
          </w:tcPr>
          <w:p>
            <w:pPr>
              <w:jc w:val="left"/>
            </w:pPr>
            <w:r/>
            <w:r>
              <w:rPr>
                <w:rFonts w:ascii="Arial" w:hAnsi="Arial"/>
                <w:b w:val="0"/>
                <w:sz w:val="21"/>
              </w:rPr>
              <w:t>d=v²/2a ; v=0,25 m/s, a=0,5 m/s²</w:t>
            </w:r>
          </w:p>
        </w:tc>
        <w:tc>
          <w:tcPr>
            <w:tcW w:type="dxa" w:w="2268"/>
          </w:tcPr>
          <w:p>
            <w:pPr>
              <w:jc w:val="center"/>
            </w:pPr>
            <w:r/>
            <w:r>
              <w:rPr>
                <w:rFonts w:ascii="Arial" w:hAnsi="Arial"/>
                <w:b w:val="0"/>
                <w:sz w:val="21"/>
              </w:rPr>
              <w:t>≈6,3 cm</w:t>
            </w:r>
          </w:p>
        </w:tc>
        <w:tc>
          <w:tcPr>
            <w:tcW w:type="dxa" w:w="2268"/>
          </w:tcPr>
          <w:p>
            <w:pPr>
              <w:jc w:val="left"/>
            </w:pPr>
            <w:r/>
            <w:r>
              <w:rPr>
                <w:rFonts w:ascii="Arial" w:hAnsi="Arial"/>
                <w:b w:val="0"/>
                <w:sz w:val="21"/>
              </w:rPr>
              <w:t>Güvenlik alanı (≥20 cm) içinde durur</w:t>
            </w:r>
          </w:p>
        </w:tc>
      </w:tr>
      <w:tr>
        <w:trPr>
          <w:cantSplit/>
        </w:trPr>
        <w:tc>
          <w:tcPr>
            <w:tcW w:type="dxa" w:w="2268"/>
          </w:tcPr>
          <w:p>
            <w:pPr>
              <w:jc w:val="left"/>
            </w:pPr>
            <w:r/>
            <w:r>
              <w:rPr>
                <w:rFonts w:ascii="Arial" w:hAnsi="Arial"/>
                <w:b w:val="0"/>
                <w:sz w:val="21"/>
              </w:rPr>
              <w:t>Fren mesafesi (E-stop)</w:t>
            </w:r>
          </w:p>
        </w:tc>
        <w:tc>
          <w:tcPr>
            <w:tcW w:type="dxa" w:w="2268"/>
          </w:tcPr>
          <w:p>
            <w:pPr>
              <w:jc w:val="left"/>
            </w:pPr>
            <w:r/>
            <w:r>
              <w:rPr>
                <w:rFonts w:ascii="Arial" w:hAnsi="Arial"/>
                <w:b w:val="0"/>
                <w:sz w:val="21"/>
              </w:rPr>
              <w:t>a=μg=0,49 m/s² (serbest yuvarlanma)</w:t>
            </w:r>
          </w:p>
        </w:tc>
        <w:tc>
          <w:tcPr>
            <w:tcW w:type="dxa" w:w="2268"/>
          </w:tcPr>
          <w:p>
            <w:pPr>
              <w:jc w:val="center"/>
            </w:pPr>
            <w:r/>
            <w:r>
              <w:rPr>
                <w:rFonts w:ascii="Arial" w:hAnsi="Arial"/>
                <w:b w:val="0"/>
                <w:sz w:val="21"/>
              </w:rPr>
              <w:t>≈6,4 cm</w:t>
            </w:r>
          </w:p>
        </w:tc>
        <w:tc>
          <w:tcPr>
            <w:tcW w:type="dxa" w:w="2268"/>
          </w:tcPr>
          <w:p>
            <w:pPr>
              <w:jc w:val="left"/>
            </w:pPr>
            <w:r/>
            <w:r>
              <w:rPr>
                <w:rFonts w:ascii="Arial" w:hAnsi="Arial"/>
                <w:b w:val="0"/>
                <w:sz w:val="21"/>
              </w:rPr>
              <w:t>Enerji kesilse bile kısa mesafede durur</w:t>
            </w:r>
          </w:p>
        </w:tc>
      </w:tr>
      <w:tr>
        <w:trPr>
          <w:cantSplit/>
        </w:trPr>
        <w:tc>
          <w:tcPr>
            <w:tcW w:type="dxa" w:w="2268"/>
          </w:tcPr>
          <w:p>
            <w:pPr>
              <w:jc w:val="left"/>
            </w:pPr>
            <w:r/>
            <w:r>
              <w:rPr>
                <w:rFonts w:ascii="Arial" w:hAnsi="Arial"/>
                <w:b w:val="0"/>
                <w:sz w:val="21"/>
              </w:rPr>
              <w:t>Boyuna devrilme (yüklü)</w:t>
            </w:r>
          </w:p>
        </w:tc>
        <w:tc>
          <w:tcPr>
            <w:tcW w:type="dxa" w:w="2268"/>
          </w:tcPr>
          <w:p>
            <w:pPr>
              <w:jc w:val="left"/>
            </w:pPr>
            <w:r/>
            <w:r>
              <w:rPr>
                <w:rFonts w:ascii="Arial" w:hAnsi="Arial"/>
                <w:b w:val="0"/>
                <w:sz w:val="21"/>
              </w:rPr>
              <w:t>Devirici 5·9,81·0,20 / geri getirici 24·9,81·0,15</w:t>
            </w:r>
          </w:p>
        </w:tc>
        <w:tc>
          <w:tcPr>
            <w:tcW w:type="dxa" w:w="2268"/>
          </w:tcPr>
          <w:p>
            <w:pPr>
              <w:jc w:val="center"/>
            </w:pPr>
            <w:r/>
            <w:r>
              <w:rPr>
                <w:rFonts w:ascii="Arial" w:hAnsi="Arial"/>
                <w:b w:val="0"/>
                <w:sz w:val="21"/>
              </w:rPr>
              <w:t>SF ≈3,6</w:t>
            </w:r>
          </w:p>
        </w:tc>
        <w:tc>
          <w:tcPr>
            <w:tcW w:type="dxa" w:w="2268"/>
          </w:tcPr>
          <w:p>
            <w:pPr>
              <w:jc w:val="left"/>
            </w:pPr>
            <w:r/>
            <w:r>
              <w:rPr>
                <w:rFonts w:ascii="Arial" w:hAnsi="Arial"/>
                <w:b w:val="0"/>
                <w:sz w:val="21"/>
              </w:rPr>
              <w:t>Yük çatalda uzatılmışken bile devrilmez</w:t>
            </w:r>
          </w:p>
        </w:tc>
      </w:tr>
      <w:tr>
        <w:trPr>
          <w:cantSplit/>
        </w:trPr>
        <w:tc>
          <w:tcPr>
            <w:tcW w:type="dxa" w:w="2268"/>
          </w:tcPr>
          <w:p>
            <w:pPr>
              <w:jc w:val="left"/>
            </w:pPr>
            <w:r/>
            <w:r>
              <w:rPr>
                <w:rFonts w:ascii="Arial" w:hAnsi="Arial"/>
                <w:b w:val="0"/>
                <w:sz w:val="21"/>
              </w:rPr>
              <w:t>Yanal devrilme (viraj)</w:t>
            </w:r>
          </w:p>
        </w:tc>
        <w:tc>
          <w:tcPr>
            <w:tcW w:type="dxa" w:w="2268"/>
          </w:tcPr>
          <w:p>
            <w:pPr>
              <w:jc w:val="left"/>
            </w:pPr>
            <w:r/>
            <w:r>
              <w:rPr>
                <w:rFonts w:ascii="Arial" w:hAnsi="Arial"/>
                <w:b w:val="0"/>
                <w:sz w:val="21"/>
              </w:rPr>
              <w:t>a=v²/R ; v=0,15 m/s, R=0,5 m → 0,045 m/s²</w:t>
            </w:r>
          </w:p>
        </w:tc>
        <w:tc>
          <w:tcPr>
            <w:tcW w:type="dxa" w:w="2268"/>
          </w:tcPr>
          <w:p>
            <w:pPr>
              <w:jc w:val="center"/>
            </w:pPr>
            <w:r/>
            <w:r>
              <w:rPr>
                <w:rFonts w:ascii="Arial" w:hAnsi="Arial"/>
                <w:b w:val="0"/>
                <w:sz w:val="21"/>
              </w:rPr>
              <w:t>Oran ≈0,005</w:t>
            </w:r>
          </w:p>
        </w:tc>
        <w:tc>
          <w:tcPr>
            <w:tcW w:type="dxa" w:w="2268"/>
          </w:tcPr>
          <w:p>
            <w:pPr>
              <w:jc w:val="left"/>
            </w:pPr>
            <w:r/>
            <w:r>
              <w:rPr>
                <w:rFonts w:ascii="Arial" w:hAnsi="Arial"/>
                <w:b w:val="0"/>
                <w:sz w:val="21"/>
              </w:rPr>
              <w:t>Düşük hız + geniş iz → ihmal edilebilir</w:t>
            </w:r>
          </w:p>
        </w:tc>
      </w:tr>
      <w:tr>
        <w:trPr>
          <w:cantSplit/>
        </w:trPr>
        <w:tc>
          <w:tcPr>
            <w:tcW w:type="dxa" w:w="2268"/>
          </w:tcPr>
          <w:p>
            <w:pPr>
              <w:jc w:val="left"/>
            </w:pPr>
            <w:r/>
            <w:r>
              <w:rPr>
                <w:rFonts w:ascii="Arial" w:hAnsi="Arial"/>
                <w:b w:val="0"/>
                <w:sz w:val="21"/>
              </w:rPr>
              <w:t>Mast kızak sehimi</w:t>
            </w:r>
          </w:p>
        </w:tc>
        <w:tc>
          <w:tcPr>
            <w:tcW w:type="dxa" w:w="2268"/>
          </w:tcPr>
          <w:p>
            <w:pPr>
              <w:jc w:val="left"/>
            </w:pPr>
            <w:r/>
            <w:r>
              <w:rPr>
                <w:rFonts w:ascii="Arial" w:hAnsi="Arial"/>
                <w:b w:val="0"/>
                <w:sz w:val="21"/>
              </w:rPr>
              <w:t>δ=PL³/48EI ; 2×Ø8 mm çelik mil, P=78 N, L=0,4 m</w:t>
            </w:r>
          </w:p>
        </w:tc>
        <w:tc>
          <w:tcPr>
            <w:tcW w:type="dxa" w:w="2268"/>
          </w:tcPr>
          <w:p>
            <w:pPr>
              <w:jc w:val="center"/>
            </w:pPr>
            <w:r/>
            <w:r>
              <w:rPr>
                <w:rFonts w:ascii="Arial" w:hAnsi="Arial"/>
                <w:b w:val="0"/>
                <w:sz w:val="21"/>
              </w:rPr>
              <w:t>≈1,3 mm</w:t>
            </w:r>
          </w:p>
        </w:tc>
        <w:tc>
          <w:tcPr>
            <w:tcW w:type="dxa" w:w="2268"/>
          </w:tcPr>
          <w:p>
            <w:pPr>
              <w:jc w:val="left"/>
            </w:pPr>
            <w:r/>
            <w:r>
              <w:rPr>
                <w:rFonts w:ascii="Arial" w:hAnsi="Arial"/>
                <w:b w:val="0"/>
                <w:sz w:val="21"/>
              </w:rPr>
              <w:t>Yanaşma toleransının (±7,5 cm) çok altında</w:t>
            </w:r>
          </w:p>
        </w:tc>
      </w:tr>
      <w:tr>
        <w:trPr>
          <w:cantSplit/>
        </w:trPr>
        <w:tc>
          <w:tcPr>
            <w:tcW w:type="dxa" w:w="2268"/>
          </w:tcPr>
          <w:p>
            <w:pPr>
              <w:jc w:val="left"/>
            </w:pPr>
            <w:r/>
            <w:r>
              <w:rPr>
                <w:rFonts w:ascii="Arial" w:hAnsi="Arial"/>
                <w:b w:val="0"/>
                <w:sz w:val="21"/>
              </w:rPr>
              <w:t>Mast dikme emniyeti</w:t>
            </w:r>
          </w:p>
        </w:tc>
        <w:tc>
          <w:tcPr>
            <w:tcW w:type="dxa" w:w="2268"/>
          </w:tcPr>
          <w:p>
            <w:pPr>
              <w:jc w:val="left"/>
            </w:pPr>
            <w:r/>
            <w:r>
              <w:rPr>
                <w:rFonts w:ascii="Arial" w:hAnsi="Arial"/>
                <w:b w:val="0"/>
                <w:sz w:val="21"/>
              </w:rPr>
              <w:t>Akma sınırı / çalışma gerilmesi (CAD statik)</w:t>
            </w:r>
          </w:p>
        </w:tc>
        <w:tc>
          <w:tcPr>
            <w:tcW w:type="dxa" w:w="2268"/>
          </w:tcPr>
          <w:p>
            <w:pPr>
              <w:jc w:val="center"/>
            </w:pPr>
            <w:r/>
            <w:r>
              <w:rPr>
                <w:rFonts w:ascii="Arial" w:hAnsi="Arial"/>
                <w:b w:val="0"/>
                <w:sz w:val="21"/>
              </w:rPr>
              <w:t>SF ≈3</w:t>
            </w:r>
          </w:p>
        </w:tc>
        <w:tc>
          <w:tcPr>
            <w:tcW w:type="dxa" w:w="2268"/>
          </w:tcPr>
          <w:p>
            <w:pPr>
              <w:jc w:val="left"/>
            </w:pPr>
            <w:r/>
            <w:r>
              <w:rPr>
                <w:rFonts w:ascii="Arial" w:hAnsi="Arial"/>
                <w:b w:val="0"/>
                <w:sz w:val="21"/>
              </w:rPr>
              <w:t>Kesit bu kontrole göre seçildi</w:t>
            </w:r>
          </w:p>
        </w:tc>
      </w:tr>
      <w:tr>
        <w:trPr>
          <w:cantSplit/>
        </w:trPr>
        <w:tc>
          <w:tcPr>
            <w:tcW w:type="dxa" w:w="2268"/>
          </w:tcPr>
          <w:p>
            <w:pPr>
              <w:jc w:val="left"/>
            </w:pPr>
            <w:r/>
            <w:r>
              <w:rPr>
                <w:rFonts w:ascii="Arial" w:hAnsi="Arial"/>
                <w:b w:val="0"/>
                <w:sz w:val="21"/>
              </w:rPr>
              <w:t>Cıvata kesme</w:t>
            </w:r>
          </w:p>
        </w:tc>
        <w:tc>
          <w:tcPr>
            <w:tcW w:type="dxa" w:w="2268"/>
          </w:tcPr>
          <w:p>
            <w:pPr>
              <w:jc w:val="left"/>
            </w:pPr>
            <w:r/>
            <w:r>
              <w:rPr>
                <w:rFonts w:ascii="Arial" w:hAnsi="Arial"/>
                <w:b w:val="0"/>
                <w:sz w:val="21"/>
              </w:rPr>
              <w:t>τ=V/A ; 4×M5, V≈78 N</w:t>
            </w:r>
          </w:p>
        </w:tc>
        <w:tc>
          <w:tcPr>
            <w:tcW w:type="dxa" w:w="2268"/>
          </w:tcPr>
          <w:p>
            <w:pPr>
              <w:jc w:val="center"/>
            </w:pPr>
            <w:r/>
            <w:r>
              <w:rPr>
                <w:rFonts w:ascii="Arial" w:hAnsi="Arial"/>
                <w:b w:val="0"/>
                <w:sz w:val="21"/>
              </w:rPr>
              <w:t>τ ≈1 MPa</w:t>
            </w:r>
          </w:p>
        </w:tc>
        <w:tc>
          <w:tcPr>
            <w:tcW w:type="dxa" w:w="2268"/>
          </w:tcPr>
          <w:p>
            <w:pPr>
              <w:jc w:val="left"/>
            </w:pPr>
            <w:r/>
            <w:r>
              <w:rPr>
                <w:rFonts w:ascii="Arial" w:hAnsi="Arial"/>
                <w:b w:val="0"/>
                <w:sz w:val="21"/>
              </w:rPr>
              <w:t>Sınıf 8.8 kesme dayanımına göre SF »100</w:t>
            </w:r>
          </w:p>
        </w:tc>
      </w:tr>
      <w:tr>
        <w:trPr>
          <w:cantSplit/>
        </w:trPr>
        <w:tc>
          <w:tcPr>
            <w:tcW w:type="dxa" w:w="2268"/>
          </w:tcPr>
          <w:p>
            <w:pPr>
              <w:jc w:val="left"/>
            </w:pPr>
            <w:r/>
            <w:r>
              <w:rPr>
                <w:rFonts w:ascii="Arial" w:hAnsi="Arial"/>
                <w:b w:val="0"/>
                <w:sz w:val="21"/>
              </w:rPr>
              <w:t>Sürekli akım / termal</w:t>
            </w:r>
          </w:p>
        </w:tc>
        <w:tc>
          <w:tcPr>
            <w:tcW w:type="dxa" w:w="2268"/>
          </w:tcPr>
          <w:p>
            <w:pPr>
              <w:jc w:val="left"/>
            </w:pPr>
            <w:r/>
            <w:r>
              <w:rPr>
                <w:rFonts w:ascii="Arial" w:hAnsi="Arial"/>
                <w:b w:val="0"/>
                <w:sz w:val="21"/>
              </w:rPr>
              <w:t>I=P/V ; P_ort=150 W, V=36 V</w:t>
            </w:r>
          </w:p>
        </w:tc>
        <w:tc>
          <w:tcPr>
            <w:tcW w:type="dxa" w:w="2268"/>
          </w:tcPr>
          <w:p>
            <w:pPr>
              <w:jc w:val="center"/>
            </w:pPr>
            <w:r/>
            <w:r>
              <w:rPr>
                <w:rFonts w:ascii="Arial" w:hAnsi="Arial"/>
                <w:b w:val="0"/>
                <w:sz w:val="21"/>
              </w:rPr>
              <w:t>≈4,2 A</w:t>
            </w:r>
          </w:p>
        </w:tc>
        <w:tc>
          <w:tcPr>
            <w:tcW w:type="dxa" w:w="2268"/>
          </w:tcPr>
          <w:p>
            <w:pPr>
              <w:jc w:val="left"/>
            </w:pPr>
            <w:r/>
            <w:r>
              <w:rPr>
                <w:rFonts w:ascii="Arial" w:hAnsi="Arial"/>
                <w:b w:val="0"/>
                <w:sz w:val="21"/>
              </w:rPr>
              <w:t>BMS 40 A — ~9× marj; sürücü nominalinin altında</w:t>
            </w:r>
          </w:p>
        </w:tc>
      </w:tr>
      <w:tr>
        <w:trPr>
          <w:cantSplit/>
        </w:trPr>
        <w:tc>
          <w:tcPr>
            <w:tcW w:type="dxa" w:w="2268"/>
          </w:tcPr>
          <w:p>
            <w:pPr>
              <w:jc w:val="left"/>
            </w:pPr>
            <w:r/>
            <w:r>
              <w:rPr>
                <w:rFonts w:ascii="Arial" w:hAnsi="Arial"/>
                <w:b w:val="0"/>
                <w:sz w:val="21"/>
              </w:rPr>
              <w:t>Batarya deşarj C-oranı</w:t>
            </w:r>
          </w:p>
        </w:tc>
        <w:tc>
          <w:tcPr>
            <w:tcW w:type="dxa" w:w="2268"/>
          </w:tcPr>
          <w:p>
            <w:pPr>
              <w:jc w:val="left"/>
            </w:pPr>
            <w:r/>
            <w:r>
              <w:rPr>
                <w:rFonts w:ascii="Arial" w:hAnsi="Arial"/>
                <w:b w:val="0"/>
                <w:sz w:val="21"/>
              </w:rPr>
              <w:t>I/Q ; 4,2 A / 8,7 Ah (tepe ~15 A)</w:t>
            </w:r>
          </w:p>
        </w:tc>
        <w:tc>
          <w:tcPr>
            <w:tcW w:type="dxa" w:w="2268"/>
          </w:tcPr>
          <w:p>
            <w:pPr>
              <w:jc w:val="center"/>
            </w:pPr>
            <w:r/>
            <w:r>
              <w:rPr>
                <w:rFonts w:ascii="Arial" w:hAnsi="Arial"/>
                <w:b w:val="0"/>
                <w:sz w:val="21"/>
              </w:rPr>
              <w:t>≈0,48C (tepe ~1,7C)</w:t>
            </w:r>
          </w:p>
        </w:tc>
        <w:tc>
          <w:tcPr>
            <w:tcW w:type="dxa" w:w="2268"/>
          </w:tcPr>
          <w:p>
            <w:pPr>
              <w:jc w:val="left"/>
            </w:pPr>
            <w:r/>
            <w:r>
              <w:rPr>
                <w:rFonts w:ascii="Arial" w:hAnsi="Arial"/>
                <w:b w:val="0"/>
                <w:sz w:val="21"/>
              </w:rPr>
              <w:t>Hücre sürekli deşarj sınırının altında</w:t>
            </w:r>
          </w:p>
        </w:tc>
      </w:tr>
      <w:tr>
        <w:trPr>
          <w:cantSplit/>
        </w:trPr>
        <w:tc>
          <w:tcPr>
            <w:tcW w:type="dxa" w:w="2268"/>
          </w:tcPr>
          <w:p>
            <w:pPr>
              <w:jc w:val="left"/>
            </w:pPr>
            <w:r/>
            <w:r>
              <w:rPr>
                <w:rFonts w:ascii="Arial" w:hAnsi="Arial"/>
                <w:b w:val="0"/>
                <w:sz w:val="21"/>
              </w:rPr>
              <w:t>Menzil (enerji)</w:t>
            </w:r>
          </w:p>
        </w:tc>
        <w:tc>
          <w:tcPr>
            <w:tcW w:type="dxa" w:w="2268"/>
          </w:tcPr>
          <w:p>
            <w:pPr>
              <w:jc w:val="left"/>
            </w:pPr>
            <w:r/>
            <w:r>
              <w:rPr>
                <w:rFonts w:ascii="Arial" w:hAnsi="Arial"/>
                <w:b w:val="0"/>
                <w:sz w:val="21"/>
              </w:rPr>
              <w:t>E/(P)·v ; 313 Wh, 150 W, 0,2 m/s</w:t>
            </w:r>
          </w:p>
        </w:tc>
        <w:tc>
          <w:tcPr>
            <w:tcW w:type="dxa" w:w="2268"/>
          </w:tcPr>
          <w:p>
            <w:pPr>
              <w:jc w:val="center"/>
            </w:pPr>
            <w:r/>
            <w:r>
              <w:rPr>
                <w:rFonts w:ascii="Arial" w:hAnsi="Arial"/>
                <w:b w:val="0"/>
                <w:sz w:val="21"/>
              </w:rPr>
              <w:t>≈1,4 km / ≈2,1 saat</w:t>
            </w:r>
          </w:p>
        </w:tc>
        <w:tc>
          <w:tcPr>
            <w:tcW w:type="dxa" w:w="2268"/>
          </w:tcPr>
          <w:p>
            <w:pPr>
              <w:jc w:val="left"/>
            </w:pPr>
            <w:r/>
            <w:r>
              <w:rPr>
                <w:rFonts w:ascii="Arial" w:hAnsi="Arial"/>
                <w:b w:val="0"/>
                <w:sz w:val="21"/>
              </w:rPr>
              <w:t>30 dk görev için ≈4× enerji marjı</w:t>
            </w:r>
          </w:p>
        </w:tc>
      </w:tr>
    </w:tbl>
    <w:p>
      <w:pPr>
        <w:keepLines/>
        <w:widowControl/>
        <w:spacing w:line="276" w:lineRule="auto"/>
        <w:jc w:val="center"/>
      </w:pPr>
      <w:r>
        <w:rPr>
          <w:rFonts w:ascii="Arial" w:hAnsi="Arial"/>
          <w:b w:val="0"/>
          <w:i/>
          <w:sz w:val="20"/>
        </w:rPr>
        <w:t>Tablo 7: Kritik senaryolar için mühendislik doğrulama hesapları (girdi, formül, sonuç, emniyet payı)</w:t>
      </w:r>
    </w:p>
    <w:p>
      <w:pPr>
        <w:pStyle w:val="Heading2"/>
        <w:keepNext/>
        <w:keepLines/>
        <w:widowControl/>
        <w:spacing w:line="276" w:lineRule="auto"/>
      </w:pPr>
      <w:r>
        <w:rPr>
          <w:rFonts w:ascii="Arial Black" w:hAnsi="Arial Black" w:cs="Arial Black"/>
          <w:b/>
          <w:i w:val="0"/>
          <w:color w:val="1F3A63"/>
          <w:sz w:val="26"/>
        </w:rPr>
        <w:t>4.3. Elektronik Tasarım, Algoritma ve Yazılım Tasarımı</w:t>
      </w:r>
    </w:p>
    <w:p>
      <w:pPr>
        <w:pStyle w:val="Heading2"/>
        <w:keepNext/>
        <w:keepLines/>
        <w:widowControl/>
        <w:spacing w:line="276" w:lineRule="auto"/>
      </w:pPr>
      <w:r>
        <w:rPr>
          <w:rFonts w:ascii="Arial Black" w:hAnsi="Arial Black" w:cs="Arial Black"/>
          <w:b/>
          <w:i w:val="0"/>
          <w:color w:val="1F3A63"/>
          <w:sz w:val="26"/>
        </w:rPr>
        <w:t>4.3.1. Elektronik Tasarım Süreci (3 Puan)</w:t>
      </w:r>
    </w:p>
    <w:p>
      <w:pPr>
        <w:widowControl/>
        <w:spacing w:after="120" w:line="276" w:lineRule="auto"/>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452727"/>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4527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7: Güç dağıtım ve sürüş mimarisi (Kelly KLS BLDC sürücü + hub motor) ve acil durdurma zinciri</w:t>
      </w:r>
    </w:p>
    <w:p>
      <w:pPr>
        <w:widowControl/>
        <w:spacing w:after="120" w:line="276" w:lineRule="auto"/>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8: Güç ve sinyal kablajının hazırlanması; konnektör ve sürücü uçlarının lehimlenmesi.</w:t>
      </w:r>
    </w:p>
    <w:p>
      <w:pPr>
        <w:keepNext/>
        <w:keepLines/>
        <w:widowControl/>
        <w:spacing w:before="80" w:after="40" w:line="276" w:lineRule="auto"/>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9: Hassas bağlantılar YIHUA 878D lehimleme/sıcak hava istasyonuyla yapıldı.</w:t>
      </w:r>
    </w:p>
    <w:p>
      <w:pPr>
        <w:pStyle w:val="Heading2"/>
        <w:keepNext/>
        <w:keepLines/>
        <w:widowControl/>
        <w:spacing w:line="276" w:lineRule="auto"/>
      </w:pPr>
      <w:r>
        <w:rPr>
          <w:rFonts w:ascii="Arial Black" w:hAnsi="Arial Black" w:cs="Arial Black"/>
          <w:b/>
          <w:i w:val="0"/>
          <w:color w:val="1F3A63"/>
          <w:sz w:val="26"/>
        </w:rPr>
        <w:t>4.3.2. Algoritma Tasarım Süreci (3 Puan)</w:t>
      </w:r>
    </w:p>
    <w:p>
      <w:pPr>
        <w:widowControl/>
        <w:spacing w:after="120" w:line="276" w:lineRule="auto"/>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line="276" w:lineRule="auto"/>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line="276" w:lineRule="auto"/>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line="276" w:lineRule="auto"/>
        <w:jc w:val="center"/>
      </w:pPr>
      <w:r>
        <w:drawing>
          <wp:inline xmlns:a="http://schemas.openxmlformats.org/drawingml/2006/main" xmlns:pic="http://schemas.openxmlformats.org/drawingml/2006/picture">
            <wp:extent cx="3780000" cy="2545200"/>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3780000" cy="2545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8: Yarışma senaryosu ana görev akış diyagramı</w:t>
      </w:r>
    </w:p>
    <w:p>
      <w:pPr>
        <w:keepNext/>
        <w:keepLines/>
        <w:widowControl/>
        <w:spacing w:before="40" w:after="40" w:line="276" w:lineRule="auto"/>
        <w:jc w:val="center"/>
      </w:pPr>
      <w:r>
        <w:drawing>
          <wp:inline xmlns:a="http://schemas.openxmlformats.org/drawingml/2006/main" xmlns:pic="http://schemas.openxmlformats.org/drawingml/2006/picture">
            <wp:extent cx="5760000" cy="3566022"/>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66022"/>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9: Görev yönetimi durum makinesi — şartnamedeki sekiz durumun (a–h) gerçeklenmesi</w:t>
      </w:r>
    </w:p>
    <w:p>
      <w:pPr>
        <w:keepNext/>
        <w:keepLines/>
        <w:widowControl/>
        <w:spacing w:before="40" w:after="40" w:line="276" w:lineRule="auto"/>
        <w:jc w:val="center"/>
      </w:pPr>
      <w:r>
        <w:drawing>
          <wp:inline xmlns:a="http://schemas.openxmlformats.org/drawingml/2006/main" xmlns:pic="http://schemas.openxmlformats.org/drawingml/2006/picture">
            <wp:extent cx="5760000" cy="1549714"/>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15497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10: Tek kameradan eş zamanlı çizgi takibi (üst) ve QR konum hesaplama (alt) hatları</w:t>
      </w:r>
    </w:p>
    <w:p>
      <w:pPr>
        <w:widowControl/>
        <w:spacing w:after="120" w:line="276" w:lineRule="auto"/>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line="276" w:lineRule="auto"/>
        <w:jc w:val="center"/>
      </w:pPr>
      <w:r>
        <w:drawing>
          <wp:inline xmlns:a="http://schemas.openxmlformats.org/drawingml/2006/main" xmlns:pic="http://schemas.openxmlformats.org/drawingml/2006/picture">
            <wp:extent cx="4680000" cy="211185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185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keepNext/>
        <w:keepLines/>
        <w:widowControl/>
        <w:spacing w:line="276" w:lineRule="auto"/>
      </w:pPr>
      <w:r>
        <w:rPr>
          <w:rFonts w:ascii="Arial Black" w:hAnsi="Arial Black" w:cs="Arial Black"/>
          <w:b/>
          <w:i w:val="0"/>
          <w:color w:val="1F3A63"/>
          <w:sz w:val="26"/>
        </w:rPr>
        <w:t>4.3.3. Yazılım Tasarım Süreci (4 Puan)</w:t>
      </w:r>
    </w:p>
    <w:p>
      <w:pPr>
        <w:widowControl/>
        <w:spacing w:after="120" w:line="276" w:lineRule="auto"/>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line="276" w:lineRule="auto"/>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line="276" w:lineRule="auto"/>
        <w:jc w:val="center"/>
      </w:pPr>
      <w:r>
        <w:rPr>
          <w:rFonts w:ascii="Arial" w:hAnsi="Arial" w:cs="Arial"/>
          <w:b w:val="0"/>
          <w:i/>
          <w:color w:val="555555"/>
          <w:sz w:val="20"/>
        </w:rPr>
        <w:t>Kod 1: Operatör paneli — PLC köprüsü WebSocket sunucusu (bağlantı kabulü ve motor komutu yönlendirme)</w:t>
      </w:r>
    </w:p>
    <w:p>
      <w:pPr>
        <w:widowControl/>
        <w:spacing w:after="120" w:line="276" w:lineRule="auto"/>
        <w:jc w:val="both"/>
      </w:pPr>
      <w:r>
        <w:rPr>
          <w:rFonts w:ascii="Arial" w:hAnsi="Arial" w:cs="Arial"/>
          <w:b w:val="0"/>
          <w:i w:val="0"/>
          <w:sz w:val="24"/>
        </w:rPr>
        <w:t>Jetson ile Arduino arasındaki haberleşmeyi, Tablo 8'de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rPr>
          <w:cantSplit/>
        </w:trP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rPr>
          <w:cantSplit/>
        </w:trP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keepNext/>
        <w:keepLines/>
        <w:widowControl/>
        <w:spacing w:before="60" w:after="200" w:line="276" w:lineRule="auto"/>
        <w:jc w:val="center"/>
      </w:pPr>
      <w:r>
        <w:rPr>
          <w:rFonts w:ascii="Arial" w:hAnsi="Arial" w:cs="Arial"/>
          <w:b w:val="0"/>
          <w:i/>
          <w:color w:val="555555"/>
          <w:sz w:val="20"/>
        </w:rPr>
        <w:t>Tablo 8: Jetson–Arduino UART çerçeve protokolü (0xAA başlangıç + ID + uzunluk + yük + CRC8)</w:t>
      </w:r>
    </w:p>
    <w:p>
      <w:pPr>
        <w:keepNext/>
        <w:keepLines/>
        <w:widowControl/>
        <w:spacing w:before="40" w:after="40" w:line="276" w:lineRule="auto"/>
        <w:jc w:val="center"/>
      </w:pPr>
      <w:r>
        <w:drawing>
          <wp:inline xmlns:a="http://schemas.openxmlformats.org/drawingml/2006/main" xmlns:pic="http://schemas.openxmlformats.org/drawingml/2006/picture">
            <wp:extent cx="5400000" cy="2217640"/>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21764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11: ROS 2 düğüm grafiği ve arayüz katmanı (yazılım mimarisi)</w:t>
      </w:r>
    </w:p>
    <w:p>
      <w:pPr>
        <w:keepNext/>
        <w:keepLines/>
        <w:widowControl/>
        <w:spacing w:before="80" w:after="40" w:line="276" w:lineRule="auto"/>
        <w:jc w:val="center"/>
      </w:pPr>
      <w:r>
        <w:drawing>
          <wp:inline xmlns:a="http://schemas.openxmlformats.org/drawingml/2006/main" xmlns:pic="http://schemas.openxmlformats.org/drawingml/2006/picture">
            <wp:extent cx="4680000" cy="83200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4680000" cy="8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keepNext/>
        <w:keepLines/>
        <w:widowControl/>
        <w:spacing w:line="276" w:lineRule="auto"/>
      </w:pPr>
      <w:r>
        <w:rPr>
          <w:rFonts w:ascii="Arial Black" w:hAnsi="Arial Black" w:cs="Arial Black"/>
          <w:b/>
          <w:i w:val="0"/>
          <w:color w:val="1F3A63"/>
          <w:sz w:val="26"/>
        </w:rPr>
        <w:t>4.4. Dış Arayüzler (10 Puan)</w:t>
      </w:r>
    </w:p>
    <w:p>
      <w:pPr>
        <w:widowControl/>
        <w:spacing w:after="120" w:line="276" w:lineRule="auto"/>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13'te yer almaktadır. Şartnamede sayılan tüm bilgi alanlarının panelde nasıl karşılandığını Tablo 9'de gösterdik [1].</w:t>
      </w:r>
    </w:p>
    <w:p>
      <w:pPr>
        <w:keepNext/>
        <w:keepLines/>
        <w:widowControl/>
        <w:spacing w:before="40" w:after="40" w:line="276" w:lineRule="auto"/>
        <w:jc w:val="center"/>
      </w:pPr>
      <w:r>
        <w:drawing>
          <wp:inline xmlns:a="http://schemas.openxmlformats.org/drawingml/2006/main" xmlns:pic="http://schemas.openxmlformats.org/drawingml/2006/picture">
            <wp:extent cx="5760000" cy="3663514"/>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35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12: Geliştirdiğimiz "OTONOM FORKLİFT GCS" operatör web arayüzü — canlı izleme ekranı</w:t>
      </w:r>
    </w:p>
    <w:p>
      <w:pPr>
        <w:keepNext/>
        <w:keepLines/>
        <w:widowControl/>
        <w:spacing w:before="80" w:after="40" w:line="276" w:lineRule="auto"/>
        <w:jc w:val="center"/>
      </w:pPr>
      <w:r>
        <w:drawing>
          <wp:inline xmlns:a="http://schemas.openxmlformats.org/drawingml/2006/main" xmlns:pic="http://schemas.openxmlformats.org/drawingml/2006/picture">
            <wp:extent cx="4500000" cy="60000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13: Operatör panelinin (GCS) saha denemesinde canlı çalışması: ekranda harita, rota ve renkli çizgi takibi izleniyor.</w:t>
      </w:r>
    </w:p>
    <w:p>
      <w:pPr>
        <w:widowControl/>
        <w:spacing w:after="120" w:line="276" w:lineRule="auto"/>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line="276" w:lineRule="auto"/>
        <w:jc w:val="center"/>
      </w:pPr>
      <w:r>
        <w:drawing>
          <wp:inline xmlns:a="http://schemas.openxmlformats.org/drawingml/2006/main" xmlns:pic="http://schemas.openxmlformats.org/drawingml/2006/picture">
            <wp:extent cx="5580000" cy="3171789"/>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7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rPr>
          <w:cantSplit/>
        </w:trP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keepNext/>
        <w:keepLines/>
        <w:widowControl/>
        <w:spacing w:before="60" w:after="200" w:line="276" w:lineRule="auto"/>
        <w:jc w:val="center"/>
      </w:pPr>
      <w:r>
        <w:rPr>
          <w:rFonts w:ascii="Arial" w:hAnsi="Arial" w:cs="Arial"/>
          <w:b w:val="0"/>
          <w:i/>
          <w:color w:val="555555"/>
          <w:sz w:val="20"/>
        </w:rPr>
        <w:t>Tablo 9: Şartname arayüz gereksinimleri ile panel bileşenlerinin eşleşmesi</w:t>
      </w:r>
    </w:p>
    <w:p>
      <w:pPr>
        <w:widowControl/>
        <w:spacing w:after="120" w:line="276" w:lineRule="auto"/>
        <w:jc w:val="both"/>
      </w:pPr>
      <w:r>
        <w:rPr>
          <w:rFonts w:ascii="Arial" w:hAnsi="Arial" w:cs="Arial"/>
          <w:b w:val="0"/>
          <w:i w:val="0"/>
          <w:sz w:val="24"/>
        </w:rPr>
        <w:t>PLC mesaj arayüzü için soyut bir görev sözlüğü tanımladık (Tablo 10).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rPr>
          <w:cantSplit/>
        </w:trP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keepNext/>
        <w:keepLines/>
        <w:widowControl/>
        <w:spacing w:before="60" w:after="200" w:line="276" w:lineRule="auto"/>
        <w:jc w:val="center"/>
      </w:pPr>
      <w:r>
        <w:rPr>
          <w:rFonts w:ascii="Arial" w:hAnsi="Arial" w:cs="Arial"/>
          <w:b w:val="0"/>
          <w:i/>
          <w:color w:val="555555"/>
          <w:sz w:val="20"/>
        </w:rPr>
        <w:t>Tablo 10: Robot–PLC mesaj sözlüğü (soyut katman; resmî protokole adaptörle bağlanır)</w:t>
      </w:r>
    </w:p>
    <w:p>
      <w:pPr>
        <w:widowControl/>
        <w:spacing w:after="120" w:line="276" w:lineRule="auto"/>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spacing w:line="276" w:lineRule="auto"/>
      </w:pPr>
      <w:r>
        <w:rPr>
          <w:rFonts w:ascii="Arial Black" w:hAnsi="Arial Black" w:cs="Arial Black"/>
          <w:b/>
          <w:i w:val="0"/>
          <w:color w:val="1F3A63"/>
          <w:sz w:val="28"/>
        </w:rPr>
        <w:t>5. GÜVENLİK (10 PUAN)</w:t>
      </w:r>
    </w:p>
    <w:p>
      <w:pPr>
        <w:widowControl/>
        <w:spacing w:after="120" w:line="276" w:lineRule="auto"/>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11'da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rPr>
          <w:cantSplit/>
        </w:trP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keepNext/>
        <w:keepLines/>
        <w:widowControl/>
        <w:spacing w:before="60" w:after="200" w:line="276" w:lineRule="auto"/>
        <w:jc w:val="center"/>
      </w:pPr>
      <w:r>
        <w:rPr>
          <w:rFonts w:ascii="Arial" w:hAnsi="Arial" w:cs="Arial"/>
          <w:b w:val="0"/>
          <w:i/>
          <w:color w:val="555555"/>
          <w:sz w:val="20"/>
        </w:rPr>
        <w:t>Tablo 11: Güvenlik tehlike-önlem matrisi</w:t>
      </w:r>
    </w:p>
    <w:p>
      <w:pPr>
        <w:widowControl/>
        <w:spacing w:after="120" w:line="276" w:lineRule="auto"/>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widowControl/>
        <w:spacing w:line="276" w:lineRule="auto"/>
        <w:jc w:val="both"/>
      </w:pPr>
      <w:r>
        <w:rPr>
          <w:rFonts w:ascii="Arial" w:hAnsi="Arial"/>
          <w:b w:val="0"/>
          <w:i w:val="0"/>
        </w:rPr>
        <w:t>Tehlike-önlem matrisini bir adım öteye taşıyıp kritik arıza modlarını biçimsel bir FMEA (Hata Türü ve Etkileri Analizi) ile de değerlendirdik. Her arıza modu için şiddet (Ş), olma olasılığı (O) ve tespit edilebilirlik (T) değerlerini 1–10 ölçeğinde puanlayıp Risk Öncelik Sayısını (RÖS = Ş×O×T) hesapladık; RÖS'ü en yüksek çıkan modlara öncelikli önlem tanımladık (Tablo 12). Önlemler sonrası hiçbir kritik arıza modunda RÖS'ü 100 eşiğinin üzerinde bırakmamayı hedefledik.</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cantSplit/>
        </w:trPr>
        <w:tc>
          <w:tcPr>
            <w:tcW w:type="dxa" w:w="1296"/>
            <w:shd w:val="clear" w:fill="1F3A63"/>
          </w:tcPr>
          <w:p>
            <w:pPr>
              <w:jc w:val="center"/>
            </w:pPr>
            <w:r/>
            <w:r>
              <w:rPr>
                <w:rFonts w:ascii="Arial" w:hAnsi="Arial"/>
                <w:b/>
                <w:color w:val="FFFFFF"/>
                <w:sz w:val="21"/>
              </w:rPr>
              <w:t>Arıza Modu</w:t>
            </w:r>
          </w:p>
        </w:tc>
        <w:tc>
          <w:tcPr>
            <w:tcW w:type="dxa" w:w="1296"/>
            <w:shd w:val="clear" w:fill="1F3A63"/>
          </w:tcPr>
          <w:p>
            <w:pPr>
              <w:jc w:val="center"/>
            </w:pPr>
            <w:r/>
            <w:r>
              <w:rPr>
                <w:rFonts w:ascii="Arial" w:hAnsi="Arial"/>
                <w:b/>
                <w:color w:val="FFFFFF"/>
                <w:sz w:val="21"/>
              </w:rPr>
              <w:t>Etkisi</w:t>
            </w:r>
          </w:p>
        </w:tc>
        <w:tc>
          <w:tcPr>
            <w:tcW w:type="dxa" w:w="1296"/>
            <w:shd w:val="clear" w:fill="1F3A63"/>
          </w:tcPr>
          <w:p>
            <w:pPr>
              <w:jc w:val="center"/>
            </w:pPr>
            <w:r/>
            <w:r>
              <w:rPr>
                <w:rFonts w:ascii="Arial" w:hAnsi="Arial"/>
                <w:b/>
                <w:color w:val="FFFFFF"/>
                <w:sz w:val="21"/>
              </w:rPr>
              <w:t>Ş</w:t>
            </w:r>
          </w:p>
        </w:tc>
        <w:tc>
          <w:tcPr>
            <w:tcW w:type="dxa" w:w="1296"/>
            <w:shd w:val="clear" w:fill="1F3A63"/>
          </w:tcPr>
          <w:p>
            <w:pPr>
              <w:jc w:val="center"/>
            </w:pPr>
            <w:r/>
            <w:r>
              <w:rPr>
                <w:rFonts w:ascii="Arial" w:hAnsi="Arial"/>
                <w:b/>
                <w:color w:val="FFFFFF"/>
                <w:sz w:val="21"/>
              </w:rPr>
              <w:t>O</w:t>
            </w:r>
          </w:p>
        </w:tc>
        <w:tc>
          <w:tcPr>
            <w:tcW w:type="dxa" w:w="1296"/>
            <w:shd w:val="clear" w:fill="1F3A63"/>
          </w:tcPr>
          <w:p>
            <w:pPr>
              <w:jc w:val="center"/>
            </w:pPr>
            <w:r/>
            <w:r>
              <w:rPr>
                <w:rFonts w:ascii="Arial" w:hAnsi="Arial"/>
                <w:b/>
                <w:color w:val="FFFFFF"/>
                <w:sz w:val="21"/>
              </w:rPr>
              <w:t>T</w:t>
            </w:r>
          </w:p>
        </w:tc>
        <w:tc>
          <w:tcPr>
            <w:tcW w:type="dxa" w:w="1296"/>
            <w:shd w:val="clear" w:fill="1F3A63"/>
          </w:tcPr>
          <w:p>
            <w:pPr>
              <w:jc w:val="center"/>
            </w:pPr>
            <w:r/>
            <w:r>
              <w:rPr>
                <w:rFonts w:ascii="Arial" w:hAnsi="Arial"/>
                <w:b/>
                <w:color w:val="FFFFFF"/>
                <w:sz w:val="21"/>
              </w:rPr>
              <w:t>RÖS</w:t>
            </w:r>
          </w:p>
        </w:tc>
        <w:tc>
          <w:tcPr>
            <w:tcW w:type="dxa" w:w="1296"/>
            <w:shd w:val="clear" w:fill="1F3A63"/>
          </w:tcPr>
          <w:p>
            <w:pPr>
              <w:jc w:val="center"/>
            </w:pPr>
            <w:r/>
            <w:r>
              <w:rPr>
                <w:rFonts w:ascii="Arial" w:hAnsi="Arial"/>
                <w:b/>
                <w:color w:val="FFFFFF"/>
                <w:sz w:val="21"/>
              </w:rPr>
              <w:t>Alınan Önlem</w:t>
            </w:r>
          </w:p>
        </w:tc>
      </w:tr>
      <w:tr>
        <w:trPr>
          <w:cantSplit/>
        </w:trPr>
        <w:tc>
          <w:tcPr>
            <w:tcW w:type="dxa" w:w="1296"/>
          </w:tcPr>
          <w:p>
            <w:pPr>
              <w:jc w:val="left"/>
            </w:pPr>
            <w:r/>
            <w:r>
              <w:rPr>
                <w:rFonts w:ascii="Arial" w:hAnsi="Arial"/>
                <w:b w:val="0"/>
                <w:sz w:val="21"/>
              </w:rPr>
              <w:t>E-stop kontağı yapışması</w:t>
            </w:r>
          </w:p>
        </w:tc>
        <w:tc>
          <w:tcPr>
            <w:tcW w:type="dxa" w:w="1296"/>
          </w:tcPr>
          <w:p>
            <w:pPr>
              <w:jc w:val="left"/>
            </w:pPr>
            <w:r/>
            <w:r>
              <w:rPr>
                <w:rFonts w:ascii="Arial" w:hAnsi="Arial"/>
                <w:b w:val="0"/>
                <w:sz w:val="21"/>
              </w:rPr>
              <w:t>Motor gücü kesilmez</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NC kontaktör + periyodik kontak testi; yedek mekanik kesme</w:t>
            </w:r>
          </w:p>
        </w:tc>
      </w:tr>
      <w:tr>
        <w:trPr>
          <w:cantSplit/>
        </w:trPr>
        <w:tc>
          <w:tcPr>
            <w:tcW w:type="dxa" w:w="1296"/>
          </w:tcPr>
          <w:p>
            <w:pPr>
              <w:jc w:val="left"/>
            </w:pPr>
            <w:r/>
            <w:r>
              <w:rPr>
                <w:rFonts w:ascii="Arial" w:hAnsi="Arial"/>
                <w:b w:val="0"/>
                <w:sz w:val="21"/>
              </w:rPr>
              <w:t>BMS hücre dengeleme hatası</w:t>
            </w:r>
          </w:p>
        </w:tc>
        <w:tc>
          <w:tcPr>
            <w:tcW w:type="dxa" w:w="1296"/>
          </w:tcPr>
          <w:p>
            <w:pPr>
              <w:jc w:val="left"/>
            </w:pPr>
            <w:r/>
            <w:r>
              <w:rPr>
                <w:rFonts w:ascii="Arial" w:hAnsi="Arial"/>
                <w:b w:val="0"/>
                <w:sz w:val="21"/>
              </w:rPr>
              <w:t>Aşırı şarj / termal olay</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72</w:t>
            </w:r>
          </w:p>
        </w:tc>
        <w:tc>
          <w:tcPr>
            <w:tcW w:type="dxa" w:w="1296"/>
          </w:tcPr>
          <w:p>
            <w:pPr>
              <w:jc w:val="left"/>
            </w:pPr>
            <w:r/>
            <w:r>
              <w:rPr>
                <w:rFonts w:ascii="Arial" w:hAnsi="Arial"/>
                <w:b w:val="0"/>
                <w:sz w:val="21"/>
              </w:rPr>
              <w:t>Daly BMS + hücre gerilim kaydı + gözetimli şarj</w:t>
            </w:r>
          </w:p>
        </w:tc>
      </w:tr>
      <w:tr>
        <w:trPr>
          <w:cantSplit/>
        </w:trPr>
        <w:tc>
          <w:tcPr>
            <w:tcW w:type="dxa" w:w="1296"/>
          </w:tcPr>
          <w:p>
            <w:pPr>
              <w:jc w:val="left"/>
            </w:pPr>
            <w:r/>
            <w:r>
              <w:rPr>
                <w:rFonts w:ascii="Arial" w:hAnsi="Arial"/>
                <w:b w:val="0"/>
                <w:sz w:val="21"/>
              </w:rPr>
              <w:t>Hall sinyali kaybı</w:t>
            </w:r>
          </w:p>
        </w:tc>
        <w:tc>
          <w:tcPr>
            <w:tcW w:type="dxa" w:w="1296"/>
          </w:tcPr>
          <w:p>
            <w:pPr>
              <w:jc w:val="left"/>
            </w:pPr>
            <w:r/>
            <w:r>
              <w:rPr>
                <w:rFonts w:ascii="Arial" w:hAnsi="Arial"/>
                <w:b w:val="0"/>
                <w:sz w:val="21"/>
              </w:rPr>
              <w:t>Odometri ve komütasyon bozulur</w:t>
            </w:r>
          </w:p>
        </w:tc>
        <w:tc>
          <w:tcPr>
            <w:tcW w:type="dxa" w:w="1296"/>
          </w:tcPr>
          <w:p>
            <w:pPr>
              <w:jc w:val="center"/>
            </w:pPr>
            <w:r/>
            <w:r>
              <w:rPr>
                <w:rFonts w:ascii="Arial" w:hAnsi="Arial"/>
                <w:b w:val="0"/>
                <w:sz w:val="21"/>
              </w:rPr>
              <w:t>7</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63</w:t>
            </w:r>
          </w:p>
        </w:tc>
        <w:tc>
          <w:tcPr>
            <w:tcW w:type="dxa" w:w="1296"/>
          </w:tcPr>
          <w:p>
            <w:pPr>
              <w:jc w:val="left"/>
            </w:pPr>
            <w:r/>
            <w:r>
              <w:rPr>
                <w:rFonts w:ascii="Arial" w:hAnsi="Arial"/>
                <w:b w:val="0"/>
                <w:sz w:val="21"/>
              </w:rPr>
              <w:t>EKF+IMU füzyonu, QR düzeltme, sürücü hata bayrağı</w:t>
            </w:r>
          </w:p>
        </w:tc>
      </w:tr>
      <w:tr>
        <w:trPr>
          <w:cantSplit/>
        </w:trPr>
        <w:tc>
          <w:tcPr>
            <w:tcW w:type="dxa" w:w="1296"/>
          </w:tcPr>
          <w:p>
            <w:pPr>
              <w:jc w:val="left"/>
            </w:pPr>
            <w:r/>
            <w:r>
              <w:rPr>
                <w:rFonts w:ascii="Arial" w:hAnsi="Arial"/>
                <w:b w:val="0"/>
                <w:sz w:val="21"/>
              </w:rPr>
              <w:t>Wi-Fi kopması</w:t>
            </w:r>
          </w:p>
        </w:tc>
        <w:tc>
          <w:tcPr>
            <w:tcW w:type="dxa" w:w="1296"/>
          </w:tcPr>
          <w:p>
            <w:pPr>
              <w:jc w:val="left"/>
            </w:pPr>
            <w:r/>
            <w:r>
              <w:rPr>
                <w:rFonts w:ascii="Arial" w:hAnsi="Arial"/>
                <w:b w:val="0"/>
                <w:sz w:val="21"/>
              </w:rPr>
              <w:t>Uzaktan izleme/görev durur</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40</w:t>
            </w:r>
          </w:p>
        </w:tc>
        <w:tc>
          <w:tcPr>
            <w:tcW w:type="dxa" w:w="1296"/>
          </w:tcPr>
          <w:p>
            <w:pPr>
              <w:jc w:val="left"/>
            </w:pPr>
            <w:r/>
            <w:r>
              <w:rPr>
                <w:rFonts w:ascii="Arial" w:hAnsi="Arial"/>
                <w:b w:val="0"/>
                <w:sz w:val="21"/>
              </w:rPr>
              <w:t>Watchdog güvenli duruş, otomatik yeniden bağlanma</w:t>
            </w:r>
          </w:p>
        </w:tc>
      </w:tr>
      <w:tr>
        <w:trPr>
          <w:cantSplit/>
        </w:trPr>
        <w:tc>
          <w:tcPr>
            <w:tcW w:type="dxa" w:w="1296"/>
          </w:tcPr>
          <w:p>
            <w:pPr>
              <w:jc w:val="left"/>
            </w:pPr>
            <w:r/>
            <w:r>
              <w:rPr>
                <w:rFonts w:ascii="Arial" w:hAnsi="Arial"/>
                <w:b w:val="0"/>
                <w:sz w:val="21"/>
              </w:rPr>
              <w:t>UART çerçeve bozulması</w:t>
            </w:r>
          </w:p>
        </w:tc>
        <w:tc>
          <w:tcPr>
            <w:tcW w:type="dxa" w:w="1296"/>
          </w:tcPr>
          <w:p>
            <w:pPr>
              <w:jc w:val="left"/>
            </w:pPr>
            <w:r/>
            <w:r>
              <w:rPr>
                <w:rFonts w:ascii="Arial" w:hAnsi="Arial"/>
                <w:b w:val="0"/>
                <w:sz w:val="21"/>
              </w:rPr>
              <w:t>Hatalı motor komutu</w:t>
            </w:r>
          </w:p>
        </w:tc>
        <w:tc>
          <w:tcPr>
            <w:tcW w:type="dxa" w:w="1296"/>
          </w:tcPr>
          <w:p>
            <w:pPr>
              <w:jc w:val="center"/>
            </w:pPr>
            <w:r/>
            <w:r>
              <w:rPr>
                <w:rFonts w:ascii="Arial" w:hAnsi="Arial"/>
                <w:b w:val="0"/>
                <w:sz w:val="21"/>
              </w:rPr>
              <w:t>8</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48</w:t>
            </w:r>
          </w:p>
        </w:tc>
        <w:tc>
          <w:tcPr>
            <w:tcW w:type="dxa" w:w="1296"/>
          </w:tcPr>
          <w:p>
            <w:pPr>
              <w:jc w:val="left"/>
            </w:pPr>
            <w:r/>
            <w:r>
              <w:rPr>
                <w:rFonts w:ascii="Arial" w:hAnsi="Arial"/>
                <w:b w:val="0"/>
                <w:sz w:val="21"/>
              </w:rPr>
              <w:t>CRC8 doğrulama + kalp atışı; bozuk çerçeve reddi</w:t>
            </w:r>
          </w:p>
        </w:tc>
      </w:tr>
      <w:tr>
        <w:trPr>
          <w:cantSplit/>
        </w:trPr>
        <w:tc>
          <w:tcPr>
            <w:tcW w:type="dxa" w:w="1296"/>
          </w:tcPr>
          <w:p>
            <w:pPr>
              <w:jc w:val="left"/>
            </w:pPr>
            <w:r/>
            <w:r>
              <w:rPr>
                <w:rFonts w:ascii="Arial" w:hAnsi="Arial"/>
                <w:b w:val="0"/>
                <w:sz w:val="21"/>
              </w:rPr>
              <w:t>Yük paletten kayması</w:t>
            </w:r>
          </w:p>
        </w:tc>
        <w:tc>
          <w:tcPr>
            <w:tcW w:type="dxa" w:w="1296"/>
          </w:tcPr>
          <w:p>
            <w:pPr>
              <w:jc w:val="left"/>
            </w:pPr>
            <w:r/>
            <w:r>
              <w:rPr>
                <w:rFonts w:ascii="Arial" w:hAnsi="Arial"/>
                <w:b w:val="0"/>
                <w:sz w:val="21"/>
              </w:rPr>
              <w:t>Yük düşer / hatalı taşıma</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Load cell + limit SW teyidi, yüklü modda hız limiti</w:t>
            </w:r>
          </w:p>
        </w:tc>
      </w:tr>
      <w:tr>
        <w:trPr>
          <w:cantSplit/>
        </w:trPr>
        <w:tc>
          <w:tcPr>
            <w:tcW w:type="dxa" w:w="1296"/>
          </w:tcPr>
          <w:p>
            <w:pPr>
              <w:jc w:val="left"/>
            </w:pPr>
            <w:r/>
            <w:r>
              <w:rPr>
                <w:rFonts w:ascii="Arial" w:hAnsi="Arial"/>
                <w:b w:val="0"/>
                <w:sz w:val="21"/>
              </w:rPr>
              <w:t>Aktüatör aşırı sürüş</w:t>
            </w:r>
          </w:p>
        </w:tc>
        <w:tc>
          <w:tcPr>
            <w:tcW w:type="dxa" w:w="1296"/>
          </w:tcPr>
          <w:p>
            <w:pPr>
              <w:jc w:val="left"/>
            </w:pPr>
            <w:r/>
            <w:r>
              <w:rPr>
                <w:rFonts w:ascii="Arial" w:hAnsi="Arial"/>
                <w:b w:val="0"/>
                <w:sz w:val="21"/>
              </w:rPr>
              <w:t>Mast mekanik hasarı</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36</w:t>
            </w:r>
          </w:p>
        </w:tc>
        <w:tc>
          <w:tcPr>
            <w:tcW w:type="dxa" w:w="1296"/>
          </w:tcPr>
          <w:p>
            <w:pPr>
              <w:jc w:val="left"/>
            </w:pPr>
            <w:r/>
            <w:r>
              <w:rPr>
                <w:rFonts w:ascii="Arial" w:hAnsi="Arial"/>
                <w:b w:val="0"/>
                <w:sz w:val="21"/>
              </w:rPr>
              <w:t>Üst/alt limit SW + akım izleme ile sıkışma tespiti</w:t>
            </w:r>
          </w:p>
        </w:tc>
      </w:tr>
      <w:tr>
        <w:trPr>
          <w:cantSplit/>
        </w:trPr>
        <w:tc>
          <w:tcPr>
            <w:tcW w:type="dxa" w:w="1296"/>
          </w:tcPr>
          <w:p>
            <w:pPr>
              <w:jc w:val="left"/>
            </w:pPr>
            <w:r/>
            <w:r>
              <w:rPr>
                <w:rFonts w:ascii="Arial" w:hAnsi="Arial"/>
                <w:b w:val="0"/>
                <w:sz w:val="21"/>
              </w:rPr>
              <w:t>Görüntü işleme FPS düşüşü</w:t>
            </w:r>
          </w:p>
        </w:tc>
        <w:tc>
          <w:tcPr>
            <w:tcW w:type="dxa" w:w="1296"/>
          </w:tcPr>
          <w:p>
            <w:pPr>
              <w:jc w:val="left"/>
            </w:pPr>
            <w:r/>
            <w:r>
              <w:rPr>
                <w:rFonts w:ascii="Arial" w:hAnsi="Arial"/>
                <w:b w:val="0"/>
                <w:sz w:val="21"/>
              </w:rPr>
              <w:t>Çizgi/QR gecikmesi</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60</w:t>
            </w:r>
          </w:p>
        </w:tc>
        <w:tc>
          <w:tcPr>
            <w:tcW w:type="dxa" w:w="1296"/>
          </w:tcPr>
          <w:p>
            <w:pPr>
              <w:jc w:val="left"/>
            </w:pPr>
            <w:r/>
            <w:r>
              <w:rPr>
                <w:rFonts w:ascii="Arial" w:hAnsi="Arial"/>
                <w:b w:val="0"/>
                <w:sz w:val="21"/>
              </w:rPr>
              <w:t>Ayrı Arduino kontrol döngüsü; ROI/çözünürlük optimizasyonu; C++ taşıma opsiyonu</w:t>
            </w:r>
          </w:p>
        </w:tc>
      </w:tr>
    </w:tbl>
    <w:p>
      <w:pPr>
        <w:keepLines/>
        <w:widowControl/>
        <w:spacing w:line="276" w:lineRule="auto"/>
        <w:jc w:val="center"/>
      </w:pPr>
      <w:r>
        <w:rPr>
          <w:rFonts w:ascii="Arial" w:hAnsi="Arial"/>
          <w:b w:val="0"/>
          <w:i/>
          <w:sz w:val="20"/>
        </w:rPr>
        <w:t>Tablo 12: Kritik arıza modları için FMEA — Risk Öncelik Sayısı (RÖS = Ş×O×T) ve önlemler</w:t>
      </w:r>
    </w:p>
    <w:p>
      <w:pPr>
        <w:pStyle w:val="Heading1"/>
        <w:keepNext/>
        <w:keepLines/>
        <w:widowControl/>
        <w:spacing w:line="276" w:lineRule="auto"/>
      </w:pPr>
      <w:r>
        <w:rPr>
          <w:rFonts w:ascii="Arial Black" w:hAnsi="Arial Black" w:cs="Arial Black"/>
          <w:b/>
          <w:i w:val="0"/>
          <w:color w:val="1F3A63"/>
          <w:sz w:val="28"/>
        </w:rPr>
        <w:t>6. TEST (5 PUAN)</w:t>
      </w:r>
    </w:p>
    <w:p>
      <w:pPr>
        <w:widowControl/>
        <w:spacing w:after="120" w:line="276" w:lineRule="auto"/>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13).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rPr>
          <w:cantSplit/>
        </w:trP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keepNext/>
        <w:keepLines/>
        <w:widowControl/>
        <w:spacing w:before="60" w:after="200" w:line="276" w:lineRule="auto"/>
        <w:jc w:val="center"/>
      </w:pPr>
      <w:r>
        <w:rPr>
          <w:rFonts w:ascii="Arial" w:hAnsi="Arial" w:cs="Arial"/>
          <w:b w:val="0"/>
          <w:i/>
          <w:color w:val="555555"/>
          <w:sz w:val="20"/>
        </w:rPr>
        <w:t>Tablo 13: Test planı, metrikler ve kabul kriterleri</w:t>
      </w:r>
    </w:p>
    <w:p>
      <w:pPr>
        <w:widowControl/>
        <w:spacing w:line="276" w:lineRule="auto"/>
        <w:jc w:val="both"/>
      </w:pPr>
      <w:r>
        <w:rPr>
          <w:rFonts w:ascii="Arial" w:hAnsi="Arial"/>
          <w:b w:val="0"/>
          <w:i w:val="0"/>
        </w:rPr>
        <w:t>Testlerde kullanacağımız başlıca ekipmanlar: akım-gerilim kaydı için programlanabilir DC yük ve şönt (güç ve batarya testleri), milimetrik referans şerit ve lazer mesafe ölçer (haritalama ve yanaşma doğruluğu), yüksek kare hızlı kamera (E-stop kesme süresi ve fren mesafesi ölçümü), dijital terazi (yük hücresi kalibrasyonu) ve rosbag2 kayıtları (algoritma tekrarlanabilirliği). Her testi tabloda belirtilen tekrar sayısı kadar koşup ortalama ve standart sapmayı raporlayacak, kabul kriterini sağlamayan testlerde kök-neden analizi yapıp düzeltici işlemi karar defterimize işleyeceğiz. Ölçülen değerleri, grafikleri ve düzenek fotoğraflarını Hareket-Kabiliyet Videosu tesliminden önce Tablo 13'e 'ölçülen sonuç' sütunu olarak ekleyeceğiz.</w:t>
      </w:r>
    </w:p>
    <w:p>
      <w:pPr>
        <w:keepNext/>
        <w:keepLines/>
        <w:widowControl/>
        <w:spacing w:before="80" w:after="40" w:line="276" w:lineRule="auto"/>
        <w:jc w:val="center"/>
      </w:pPr>
      <w:r>
        <w:drawing>
          <wp:inline xmlns:a="http://schemas.openxmlformats.org/drawingml/2006/main" xmlns:pic="http://schemas.openxmlformats.org/drawingml/2006/picture">
            <wp:extent cx="4140000" cy="55200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14: Motor sürücü konfigürasyonu ve ilk hareket testleri; Kelly KLS sürücüler, Arduino ve hub motor tezgâh üzerinde denenirken.</w:t>
      </w:r>
    </w:p>
    <w:p>
      <w:pPr>
        <w:widowControl/>
        <w:spacing w:after="120" w:line="276" w:lineRule="auto"/>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spacing w:line="276" w:lineRule="auto"/>
      </w:pPr>
      <w:r>
        <w:rPr>
          <w:rFonts w:ascii="Arial Black" w:hAnsi="Arial Black" w:cs="Arial Black"/>
          <w:b/>
          <w:i w:val="0"/>
          <w:color w:val="1F3A63"/>
          <w:sz w:val="28"/>
        </w:rPr>
        <w:t>7. TECRÜBE (5 PUAN)</w:t>
      </w:r>
    </w:p>
    <w:p>
      <w:pPr>
        <w:widowControl/>
        <w:spacing w:after="120" w:line="276" w:lineRule="auto"/>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line="276" w:lineRule="auto"/>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line="276" w:lineRule="auto"/>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line="276" w:lineRule="auto"/>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line="276" w:lineRule="auto"/>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line="276" w:lineRule="auto"/>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line="276" w:lineRule="auto"/>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line="276" w:lineRule="auto"/>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line="276" w:lineRule="auto"/>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line="276" w:lineRule="auto"/>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spacing w:line="276" w:lineRule="auto"/>
      </w:pPr>
      <w:r>
        <w:rPr>
          <w:rFonts w:ascii="Arial Black" w:hAnsi="Arial Black" w:cs="Arial Black"/>
          <w:b/>
          <w:i w:val="0"/>
          <w:color w:val="1F3A63"/>
          <w:sz w:val="28"/>
        </w:rPr>
        <w:t>8. ZAMAN, BÜTÇE VE RİSK PLANLAMASI (5 PUAN)</w:t>
      </w:r>
    </w:p>
    <w:p>
      <w:pPr>
        <w:widowControl/>
        <w:spacing w:after="120" w:line="276" w:lineRule="auto"/>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line="276" w:lineRule="auto"/>
        <w:jc w:val="center"/>
      </w:pPr>
      <w:r>
        <w:drawing>
          <wp:inline xmlns:a="http://schemas.openxmlformats.org/drawingml/2006/main" xmlns:pic="http://schemas.openxmlformats.org/drawingml/2006/picture">
            <wp:extent cx="5760000" cy="3302765"/>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276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14: Proje zaman planı ve kilometre taşları (Haziran–Eylül 2026)</w:t>
      </w:r>
    </w:p>
    <w:p>
      <w:pPr>
        <w:widowControl/>
        <w:spacing w:after="120" w:line="276" w:lineRule="auto"/>
        <w:jc w:val="both"/>
      </w:pPr>
      <w:r>
        <w:rPr>
          <w:rFonts w:ascii="Arial" w:hAnsi="Arial" w:cs="Arial"/>
          <w:b w:val="0"/>
          <w:i w:val="0"/>
          <w:sz w:val="24"/>
        </w:rPr>
        <w:t>Bütçeyi, 51 kalemlik malzeme listemizi 29.05.2026 tarihli piyasa fiyatlarıyla hesaplayarak çıkardık (Tablo 14,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rPr>
          <w:cantSplit/>
        </w:trP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keepNext/>
        <w:keepLines/>
        <w:widowControl/>
        <w:spacing w:before="60" w:after="200" w:line="276" w:lineRule="auto"/>
        <w:jc w:val="center"/>
      </w:pPr>
      <w:r>
        <w:rPr>
          <w:rFonts w:ascii="Arial" w:hAnsi="Arial" w:cs="Arial"/>
          <w:b w:val="0"/>
          <w:i/>
          <w:color w:val="555555"/>
          <w:sz w:val="20"/>
        </w:rPr>
        <w:t>Tablo 14: Nihai bütçe kategori kırılımı (fiyat kontrol tarihi: 29.05.2026)</w:t>
      </w:r>
    </w:p>
    <w:p>
      <w:pPr>
        <w:keepNext/>
        <w:keepLines/>
        <w:widowControl/>
        <w:spacing w:before="40" w:after="40" w:line="276" w:lineRule="auto"/>
        <w:jc w:val="center"/>
      </w:pPr>
      <w:r>
        <w:drawing>
          <wp:inline xmlns:a="http://schemas.openxmlformats.org/drawingml/2006/main" xmlns:pic="http://schemas.openxmlformats.org/drawingml/2006/picture">
            <wp:extent cx="5760000" cy="2578235"/>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823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15: Bütçe dağılımı ve finansman kaynakları</w:t>
      </w:r>
    </w:p>
    <w:p>
      <w:pPr>
        <w:widowControl/>
        <w:spacing w:after="120" w:line="276" w:lineRule="auto"/>
        <w:jc w:val="both"/>
      </w:pPr>
      <w:r>
        <w:rPr>
          <w:rFonts w:ascii="Arial" w:hAnsi="Arial" w:cs="Arial"/>
          <w:b w:val="0"/>
          <w:i w:val="0"/>
          <w:sz w:val="24"/>
        </w:rPr>
        <w:t>Riskleri olasılık × etki matrisine yerleştirip (Şekil 16) her biri için bir azaltım önlemi tanımladık (Tablo 15).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rPr>
          <w:cantSplit/>
        </w:trP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keepNext/>
        <w:keepLines/>
        <w:widowControl/>
        <w:spacing w:before="60" w:after="200" w:line="276" w:lineRule="auto"/>
        <w:jc w:val="center"/>
      </w:pPr>
      <w:r>
        <w:rPr>
          <w:rFonts w:ascii="Arial" w:hAnsi="Arial" w:cs="Arial"/>
          <w:b w:val="0"/>
          <w:i/>
          <w:color w:val="555555"/>
          <w:sz w:val="20"/>
        </w:rPr>
        <w:t>Tablo 15: Risk kayıt tablosu ve azaltım önlemleri</w:t>
      </w:r>
    </w:p>
    <w:p>
      <w:pPr>
        <w:keepNext/>
        <w:keepLines/>
        <w:widowControl/>
        <w:spacing w:before="40" w:after="40" w:line="276" w:lineRule="auto"/>
        <w:jc w:val="center"/>
      </w:pPr>
      <w:r>
        <w:drawing>
          <wp:inline xmlns:a="http://schemas.openxmlformats.org/drawingml/2006/main" xmlns:pic="http://schemas.openxmlformats.org/drawingml/2006/picture">
            <wp:extent cx="4140000" cy="3920781"/>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78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16: Olasılık × etki risk matrisi (azaltım öncesi konumlar)</w:t>
      </w:r>
    </w:p>
    <w:p>
      <w:pPr>
        <w:pStyle w:val="Heading1"/>
        <w:keepNext/>
        <w:keepLines/>
        <w:widowControl/>
        <w:spacing w:line="276" w:lineRule="auto"/>
      </w:pPr>
      <w:r>
        <w:rPr>
          <w:rFonts w:ascii="Arial Black" w:hAnsi="Arial Black" w:cs="Arial Black"/>
          <w:b/>
          <w:i w:val="0"/>
          <w:color w:val="1F3A63"/>
          <w:sz w:val="28"/>
        </w:rPr>
        <w:t>9. ÖZGÜNLÜK VE YERLİLİK (5 PUAN)</w:t>
      </w:r>
    </w:p>
    <w:p>
      <w:pPr>
        <w:widowControl/>
        <w:spacing w:after="120" w:line="276" w:lineRule="auto"/>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line="276" w:lineRule="auto"/>
        <w:jc w:val="both"/>
      </w:pPr>
      <w:r>
        <w:rPr>
          <w:rFonts w:ascii="Arial" w:hAnsi="Arial" w:cs="Arial"/>
          <w:b w:val="0"/>
          <w:i w:val="0"/>
          <w:sz w:val="24"/>
        </w:rPr>
        <w:t>Özgünlük: Çözümümüzü benzerlerinden ayıran başlıca yönler şunlar:</w:t>
      </w:r>
    </w:p>
    <w:p>
      <w:pPr>
        <w:pStyle w:val="ListBullet"/>
        <w:widowControl/>
        <w:spacing w:after="60" w:line="276" w:lineRule="auto"/>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line="276" w:lineRule="auto"/>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line="276" w:lineRule="auto"/>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line="276" w:lineRule="auto"/>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line="276" w:lineRule="auto"/>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line="276" w:lineRule="auto"/>
        <w:jc w:val="both"/>
      </w:pPr>
      <w:r>
        <w:rPr>
          <w:rFonts w:ascii="Arial" w:hAnsi="Arial"/>
          <w:b w:val="0"/>
          <w:i w:val="0"/>
        </w:rPr>
        <w:t>Dijital ikiz ile doğrulama: Projemizi benzerlerinden ayıran en güçlü yönlerden biri, algoritmalarımızı sahaya inmeden denediğimiz, kendi geliştirdiğimiz MuJoCo tabanlı dijital ikiz. forklift.xml modelimiz; kütle, atalet, tekerlek sürtünmesi ve çatal kinematiği gerçek araca göre parametrelenmiş bir fizik modeli. Rota ayrımında QR okuma, A* ile kol seçimi, çizgi takibi ve çatal uzatma davranışlarını bu ortamda kapalı çevrimde çalıştırıp gerçek araca aktarmadan önce mantık hatalarını ayıklıyoruz. Dijital ikizi bir 'sim-to-real' doğrulama çerçevesi olarak kullanıyoruz: benzetimde ölçtüğümüz çizgi takip yanal sapması, yanaşma tekrarlanabilirliği ve görev süresi metriklerini üretim sonrası saha ölçümleriyle karşılaştırıp aradaki farkı (reality gap) niceliksel raporlamayı planlıyoruz; hedefimiz benzetim ile saha arasındaki yanaşma sapması farkını ±2 cm bandında tutmak. Çoğu takımın hazır simülatör kullandığı ya da hiç simülasyon yapmadığı bir alanda bu yaklaşım bize hem geliştirme hızı hem de tekrarlanabilir bir doğrulama zemini kazandırıyor.</w:t>
      </w:r>
    </w:p>
    <w:p>
      <w:pPr>
        <w:widowControl/>
        <w:spacing w:line="276" w:lineRule="auto"/>
        <w:jc w:val="both"/>
      </w:pPr>
      <w:r>
        <w:rPr>
          <w:rFonts w:ascii="Arial" w:hAnsi="Arial"/>
          <w:b w:val="0"/>
          <w:i w:val="0"/>
        </w:rPr>
        <w:t>Döngüsel ekonomi ve karbon etkisi: Tahrik sistemimizi atıl bir hoverboard'dan kurtardığımız iki BLDC hub motor üzerine kurmamız yalnızca maliyet değil, sürdürülebilirlik açısından da özgün bir tercih. Geri kazandığımız her hoverboard'dan iki hub motor, tekerlek, entegre Hall sensörleri ve mekanik göbek grubu yeniden değerlendiriliyor; bu da tahrik grubu başına yaklaşık 3–4 kg elektronik/mekanik atığın çöpe gitmek yerine üretime dönmesi anlamına geliyor. Sıfırdan enkoderli redüktörlü motor + sürücü + tekerlek seti almaya kıyasla hem yaklaşık 5.000–7.000 ₺'lik bir kalemi sıfırladık, hem de yeni bileşen üretiminden kaynaklanacak gömülü karbon salımından kaçınmış olduk. Elektronik atığın dünyanın en hızlı büyüyen atık akışlarından biri olduğu düşünülürse, atıl bir mobiliteyi endüstriyel bir robota dönüştürmek projemizin 'milli ve sürdürülebilir teknoloji' vurgusuyla da doğrudan örtüşüyor.</w:t>
      </w:r>
    </w:p>
    <w:p>
      <w:pPr>
        <w:widowControl/>
        <w:spacing w:after="120" w:line="276" w:lineRule="auto"/>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spacing w:line="276" w:lineRule="auto"/>
      </w:pPr>
      <w:r>
        <w:rPr>
          <w:rFonts w:ascii="Arial Black" w:hAnsi="Arial Black" w:cs="Arial Black"/>
          <w:b/>
          <w:i w:val="0"/>
          <w:color w:val="1F3A63"/>
          <w:sz w:val="28"/>
        </w:rPr>
        <w:t>10. TİCARİLEŞME POTANSİYELİ (5 PUAN)</w:t>
      </w:r>
    </w:p>
    <w:p>
      <w:pPr>
        <w:widowControl/>
        <w:spacing w:after="120" w:line="276" w:lineRule="auto"/>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line="276" w:lineRule="auto"/>
        <w:jc w:val="both"/>
      </w:pPr>
      <w:r>
        <w:rPr>
          <w:rFonts w:ascii="Arial" w:hAnsi="Arial" w:cs="Arial"/>
          <w:b w:val="0"/>
          <w:i w:val="0"/>
          <w:sz w:val="24"/>
        </w:rPr>
        <w:t>Rakip Analizi: Pazardaki başlıca oyuncular ve bizim konumumuz Tablo 16'te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rPr>
          <w:cantSplit/>
        </w:trP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rPr>
          <w:cantSplit/>
        </w:trP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keepNext/>
        <w:keepLines/>
        <w:widowControl/>
        <w:spacing w:before="60" w:after="200" w:line="276" w:lineRule="auto"/>
        <w:jc w:val="center"/>
      </w:pPr>
      <w:r>
        <w:rPr>
          <w:rFonts w:ascii="Arial" w:hAnsi="Arial" w:cs="Arial"/>
          <w:b w:val="0"/>
          <w:i/>
          <w:color w:val="555555"/>
          <w:sz w:val="20"/>
        </w:rPr>
        <w:t>Tablo 16: Rekabet ortamı karşılaştırması ve konumlanma</w:t>
      </w:r>
    </w:p>
    <w:p>
      <w:pPr>
        <w:widowControl/>
        <w:spacing w:line="276" w:lineRule="auto"/>
        <w:jc w:val="both"/>
      </w:pPr>
      <w:r>
        <w:rPr>
          <w:rFonts w:ascii="Arial" w:hAnsi="Arial"/>
          <w:b w:val="0"/>
          <w:i w:val="0"/>
        </w:rPr>
        <w:t>Hedef segmentimizi netleştirmek gerekirse: küresel forklift AGV üreticilerinin çözümleri yüksek yatırım eşiği nedeniyle çoğunlukla büyük ölçekli tesislere hitap ediyor; oysa Türkiye'deki organize sanayi bölgelerinde 5–100 kg bandında tekrarlı iç lojistik ihtiyacı olan çok sayıda KOBİ, bu eşiği aşamadığı için hâlâ manuel forklift ve operatörle çalışıyor. Bizim konumlandığımız yer tam da bu boşluk: düşük toplam sahip olma maliyeti (TCO) ile otomasyona geçmek isteyen hafif sınıf kullanıcılar. Rakip sınıflarla beş yıllık TCO karşılaştırmamız Tablo 17'de verilmiştir (değerler hafif sınıf AGV için yaklaşık aralıklardır).</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Kalem</w:t>
            </w:r>
          </w:p>
        </w:tc>
        <w:tc>
          <w:tcPr>
            <w:tcW w:type="dxa" w:w="2268"/>
            <w:shd w:val="clear" w:fill="1F3A63"/>
          </w:tcPr>
          <w:p>
            <w:pPr>
              <w:jc w:val="center"/>
            </w:pPr>
            <w:r/>
            <w:r>
              <w:rPr>
                <w:rFonts w:ascii="Arial" w:hAnsi="Arial"/>
                <w:b/>
                <w:color w:val="FFFFFF"/>
                <w:sz w:val="21"/>
              </w:rPr>
              <w:t>İthal Forklift AGV</w:t>
            </w:r>
          </w:p>
        </w:tc>
        <w:tc>
          <w:tcPr>
            <w:tcW w:type="dxa" w:w="2268"/>
            <w:shd w:val="clear" w:fill="1F3A63"/>
          </w:tcPr>
          <w:p>
            <w:pPr>
              <w:jc w:val="center"/>
            </w:pPr>
            <w:r/>
            <w:r>
              <w:rPr>
                <w:rFonts w:ascii="Arial" w:hAnsi="Arial"/>
                <w:b/>
                <w:color w:val="FFFFFF"/>
                <w:sz w:val="21"/>
              </w:rPr>
              <w:t>Yerli Entegratör</w:t>
            </w:r>
          </w:p>
        </w:tc>
        <w:tc>
          <w:tcPr>
            <w:tcW w:type="dxa" w:w="2268"/>
            <w:shd w:val="clear" w:fill="1F3A63"/>
          </w:tcPr>
          <w:p>
            <w:pPr>
              <w:jc w:val="center"/>
            </w:pPr>
            <w:r/>
            <w:r>
              <w:rPr>
                <w:rFonts w:ascii="Arial" w:hAnsi="Arial"/>
                <w:b/>
                <w:color w:val="FFFFFF"/>
                <w:sz w:val="21"/>
              </w:rPr>
              <w:t>RoboVizyon</w:t>
            </w:r>
          </w:p>
        </w:tc>
      </w:tr>
      <w:tr>
        <w:trPr>
          <w:cantSplit/>
        </w:trPr>
        <w:tc>
          <w:tcPr>
            <w:tcW w:type="dxa" w:w="2268"/>
          </w:tcPr>
          <w:p>
            <w:pPr>
              <w:jc w:val="left"/>
            </w:pPr>
            <w:r/>
            <w:r>
              <w:rPr>
                <w:rFonts w:ascii="Arial" w:hAnsi="Arial"/>
                <w:b w:val="0"/>
                <w:sz w:val="21"/>
              </w:rPr>
              <w:t>Donanım + kurulum</w:t>
            </w:r>
          </w:p>
        </w:tc>
        <w:tc>
          <w:tcPr>
            <w:tcW w:type="dxa" w:w="2268"/>
          </w:tcPr>
          <w:p>
            <w:pPr>
              <w:jc w:val="left"/>
            </w:pPr>
            <w:r/>
            <w:r>
              <w:rPr>
                <w:rFonts w:ascii="Arial" w:hAnsi="Arial"/>
                <w:b w:val="0"/>
                <w:sz w:val="21"/>
              </w:rPr>
              <w:t>1.200.000 – 2.500.000 ₺</w:t>
            </w:r>
          </w:p>
        </w:tc>
        <w:tc>
          <w:tcPr>
            <w:tcW w:type="dxa" w:w="2268"/>
          </w:tcPr>
          <w:p>
            <w:pPr>
              <w:jc w:val="left"/>
            </w:pPr>
            <w:r/>
            <w:r>
              <w:rPr>
                <w:rFonts w:ascii="Arial" w:hAnsi="Arial"/>
                <w:b w:val="0"/>
                <w:sz w:val="21"/>
              </w:rPr>
              <w:t>600.000 – 1.200.000 ₺</w:t>
            </w:r>
          </w:p>
        </w:tc>
        <w:tc>
          <w:tcPr>
            <w:tcW w:type="dxa" w:w="2268"/>
          </w:tcPr>
          <w:p>
            <w:pPr>
              <w:jc w:val="left"/>
            </w:pPr>
            <w:r/>
            <w:r>
              <w:rPr>
                <w:rFonts w:ascii="Arial" w:hAnsi="Arial"/>
                <w:b w:val="0"/>
                <w:sz w:val="21"/>
              </w:rPr>
              <w:t>Hedef 250.000 – 400.000 ₺</w:t>
            </w:r>
          </w:p>
        </w:tc>
      </w:tr>
      <w:tr>
        <w:trPr>
          <w:cantSplit/>
        </w:trPr>
        <w:tc>
          <w:tcPr>
            <w:tcW w:type="dxa" w:w="2268"/>
          </w:tcPr>
          <w:p>
            <w:pPr>
              <w:jc w:val="left"/>
            </w:pPr>
            <w:r/>
            <w:r>
              <w:rPr>
                <w:rFonts w:ascii="Arial" w:hAnsi="Arial"/>
                <w:b w:val="0"/>
                <w:sz w:val="21"/>
              </w:rPr>
              <w:t>Yıllık bakım / servis</w:t>
            </w:r>
          </w:p>
        </w:tc>
        <w:tc>
          <w:tcPr>
            <w:tcW w:type="dxa" w:w="2268"/>
          </w:tcPr>
          <w:p>
            <w:pPr>
              <w:jc w:val="left"/>
            </w:pPr>
            <w:r/>
            <w:r>
              <w:rPr>
                <w:rFonts w:ascii="Arial" w:hAnsi="Arial"/>
                <w:b w:val="0"/>
                <w:sz w:val="21"/>
              </w:rPr>
              <w:t>Yüksek (ithal parça, uzun tedarik)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Düşük (yerli parça, yerinde servis)</w:t>
            </w:r>
          </w:p>
        </w:tc>
      </w:tr>
      <w:tr>
        <w:trPr>
          <w:cantSplit/>
        </w:trPr>
        <w:tc>
          <w:tcPr>
            <w:tcW w:type="dxa" w:w="2268"/>
          </w:tcPr>
          <w:p>
            <w:pPr>
              <w:jc w:val="left"/>
            </w:pPr>
            <w:r/>
            <w:r>
              <w:rPr>
                <w:rFonts w:ascii="Arial" w:hAnsi="Arial"/>
                <w:b w:val="0"/>
                <w:sz w:val="21"/>
              </w:rPr>
              <w:t>Yazılım lisans / güncelleme</w:t>
            </w:r>
          </w:p>
        </w:tc>
        <w:tc>
          <w:tcPr>
            <w:tcW w:type="dxa" w:w="2268"/>
          </w:tcPr>
          <w:p>
            <w:pPr>
              <w:jc w:val="left"/>
            </w:pPr>
            <w:r/>
            <w:r>
              <w:rPr>
                <w:rFonts w:ascii="Arial" w:hAnsi="Arial"/>
                <w:b w:val="0"/>
                <w:sz w:val="21"/>
              </w:rPr>
              <w:t>Lisanslı, sağlayıcıya bağımlı</w:t>
            </w:r>
          </w:p>
        </w:tc>
        <w:tc>
          <w:tcPr>
            <w:tcW w:type="dxa" w:w="2268"/>
          </w:tcPr>
          <w:p>
            <w:pPr>
              <w:jc w:val="left"/>
            </w:pPr>
            <w:r/>
            <w:r>
              <w:rPr>
                <w:rFonts w:ascii="Arial" w:hAnsi="Arial"/>
                <w:b w:val="0"/>
                <w:sz w:val="21"/>
              </w:rPr>
              <w:t>Çoğunlukla ithal çekirdek</w:t>
            </w:r>
          </w:p>
        </w:tc>
        <w:tc>
          <w:tcPr>
            <w:tcW w:type="dxa" w:w="2268"/>
          </w:tcPr>
          <w:p>
            <w:pPr>
              <w:jc w:val="left"/>
            </w:pPr>
            <w:r/>
            <w:r>
              <w:rPr>
                <w:rFonts w:ascii="Arial" w:hAnsi="Arial"/>
                <w:b w:val="0"/>
                <w:sz w:val="21"/>
              </w:rPr>
              <w:t>Açık mimari, ücretsiz güncelleme</w:t>
            </w:r>
          </w:p>
        </w:tc>
      </w:tr>
      <w:tr>
        <w:trPr>
          <w:cantSplit/>
        </w:trPr>
        <w:tc>
          <w:tcPr>
            <w:tcW w:type="dxa" w:w="2268"/>
          </w:tcPr>
          <w:p>
            <w:pPr>
              <w:jc w:val="left"/>
            </w:pPr>
            <w:r/>
            <w:r>
              <w:rPr>
                <w:rFonts w:ascii="Arial" w:hAnsi="Arial"/>
                <w:b w:val="0"/>
                <w:sz w:val="21"/>
              </w:rPr>
              <w:t>Yedek parça temini</w:t>
            </w:r>
          </w:p>
        </w:tc>
        <w:tc>
          <w:tcPr>
            <w:tcW w:type="dxa" w:w="2268"/>
          </w:tcPr>
          <w:p>
            <w:pPr>
              <w:jc w:val="left"/>
            </w:pPr>
            <w:r/>
            <w:r>
              <w:rPr>
                <w:rFonts w:ascii="Arial" w:hAnsi="Arial"/>
                <w:b w:val="0"/>
                <w:sz w:val="21"/>
              </w:rPr>
              <w:t>Uzun (ithalat)</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Kısa (yurt içi + 3B baskı)</w:t>
            </w:r>
          </w:p>
        </w:tc>
      </w:tr>
      <w:tr>
        <w:trPr>
          <w:cantSplit/>
        </w:trPr>
        <w:tc>
          <w:tcPr>
            <w:tcW w:type="dxa" w:w="2268"/>
          </w:tcPr>
          <w:p>
            <w:pPr>
              <w:jc w:val="left"/>
            </w:pPr>
            <w:r/>
            <w:r>
              <w:rPr>
                <w:rFonts w:ascii="Arial" w:hAnsi="Arial"/>
                <w:b w:val="0"/>
                <w:sz w:val="21"/>
              </w:rPr>
              <w:t>5 yıllık tahmini TCO</w:t>
            </w:r>
          </w:p>
        </w:tc>
        <w:tc>
          <w:tcPr>
            <w:tcW w:type="dxa" w:w="2268"/>
          </w:tcPr>
          <w:p>
            <w:pPr>
              <w:jc w:val="left"/>
            </w:pPr>
            <w:r/>
            <w:r>
              <w:rPr>
                <w:rFonts w:ascii="Arial" w:hAnsi="Arial"/>
                <w:b w:val="0"/>
                <w:sz w:val="21"/>
              </w:rPr>
              <w:t>En yüksek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En düşük (hedef)</w:t>
            </w:r>
          </w:p>
        </w:tc>
      </w:tr>
    </w:tbl>
    <w:p>
      <w:pPr>
        <w:keepLines/>
        <w:widowControl/>
        <w:spacing w:line="276" w:lineRule="auto"/>
        <w:jc w:val="center"/>
      </w:pPr>
      <w:r>
        <w:rPr>
          <w:rFonts w:ascii="Arial" w:hAnsi="Arial"/>
          <w:b w:val="0"/>
          <w:i/>
          <w:sz w:val="20"/>
        </w:rPr>
        <w:t>Tablo 17: Beş yıllık toplam sahip olma maliyeti (TCO) karşılaştırması (hafif sınıf AGV, yaklaşık değerler)</w:t>
      </w:r>
    </w:p>
    <w:p>
      <w:pPr>
        <w:widowControl/>
        <w:spacing w:line="276" w:lineRule="auto"/>
        <w:jc w:val="both"/>
      </w:pPr>
      <w:r>
        <w:rPr>
          <w:rFonts w:ascii="Arial" w:hAnsi="Arial"/>
          <w:b w:val="0"/>
          <w:i w:val="0"/>
        </w:rPr>
        <w:t>Konumumuzu bir GZFT (SWOT) analiziyle de özetleyebiliriz. Güclü yönler: yerli yazılım-donanım bütünlüğü, düşük TCO, hızlı yerinde servis ve modüler mast sayesinde ürün ailesine genişleyebilme. Zayıf yönler: yeni bir marka olmamız, saha referansının henüz oluşuyor olması ve üretim ölçeğimizin küçük olması. Fırsatlar: artan işçilik maliyetleri, e-ticaret depolamasının büyümesi, ithal ikamesi talebi ve KOSGEB/TÜBİTAK yerli üretim teşvikleri. Tehditler: küresel üreticilerin fiyat baskısı, döviz kuruna bağlı bileşen maliyeti ve endüstriyel sertifikasyon süreçlerinin gerektirdiği zaman/kaynak.</w:t>
      </w:r>
    </w:p>
    <w:p>
      <w:pPr>
        <w:widowControl/>
        <w:spacing w:after="120" w:line="276" w:lineRule="auto"/>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11. KAYNAKÇA (5 PUAN)</w:t>
      </w:r>
    </w:p>
    <w:p>
      <w:pPr>
        <w:widowControl/>
        <w:spacing w:after="100" w:line="276" w:lineRule="auto"/>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widowControl/>
        <w:spacing w:after="100" w:line="276" w:lineRule="auto"/>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widowControl/>
        <w:spacing w:after="100" w:line="276" w:lineRule="auto"/>
        <w:ind w:left="454" w:hanging="454"/>
        <w:jc w:val="both"/>
      </w:pPr>
      <w:r>
        <w:rPr>
          <w:rFonts w:ascii="Arial" w:hAnsi="Arial" w:cs="Arial"/>
          <w:b w:val="0"/>
          <w:i w:val="0"/>
          <w:sz w:val="21"/>
        </w:rPr>
        <w:t>[3] Macenski, S., Jambrecic, I., (2021) SLAM Toolbox: SLAM for the dynamic world, Journal of Open Source Software, 6(61), 2783, DOI: 10.21105/joss.02783</w:t>
      </w:r>
    </w:p>
    <w:p>
      <w:pPr>
        <w:widowControl/>
        <w:spacing w:after="100" w:line="276" w:lineRule="auto"/>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widowControl/>
        <w:spacing w:after="100" w:line="276" w:lineRule="auto"/>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widowControl/>
        <w:spacing w:after="100" w:line="276" w:lineRule="auto"/>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widowControl/>
        <w:spacing w:after="100" w:line="276" w:lineRule="auto"/>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widowControl/>
        <w:spacing w:after="100" w:line="276" w:lineRule="auto"/>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widowControl/>
        <w:spacing w:after="100" w:line="276" w:lineRule="auto"/>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widowControl/>
        <w:spacing w:after="100" w:line="276" w:lineRule="auto"/>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widowControl/>
        <w:spacing w:after="100" w:line="276" w:lineRule="auto"/>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widowControl/>
        <w:spacing w:after="100" w:line="276" w:lineRule="auto"/>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widowControl/>
        <w:spacing w:after="100" w:line="276" w:lineRule="auto"/>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widowControl/>
        <w:spacing w:after="100" w:line="276" w:lineRule="auto"/>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widowControl/>
        <w:spacing w:after="100" w:line="276" w:lineRule="auto"/>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